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EC07C">
      <w:pPr>
        <w:pStyle w:val="2"/>
        <w:keepNext/>
        <w:keepLines/>
        <w:pageBreakBefore/>
        <w:widowControl w:val="0"/>
        <w:kinsoku/>
        <w:wordWrap/>
        <w:overflowPunct/>
        <w:topLinePunct w:val="0"/>
        <w:autoSpaceDE/>
        <w:autoSpaceDN/>
        <w:bidi w:val="0"/>
        <w:adjustRightInd/>
        <w:snapToGrid/>
        <w:jc w:val="center"/>
        <w:textAlignment w:val="auto"/>
        <w:rPr>
          <w:rFonts w:hint="eastAsia" w:ascii="宋体" w:hAnsi="宋体" w:cs="仿宋_GB2312"/>
          <w:sz w:val="48"/>
          <w:szCs w:val="28"/>
        </w:rPr>
      </w:pPr>
      <w:bookmarkStart w:id="0" w:name="_Toc198048043"/>
      <w:r>
        <w:rPr>
          <w:rFonts w:hint="eastAsia" w:ascii="宋体" w:hAnsi="宋体" w:cs="仿宋_GB2312"/>
          <w:sz w:val="48"/>
          <w:szCs w:val="28"/>
        </w:rPr>
        <w:t>第三章 技术服务及其他商务要求</w:t>
      </w:r>
      <w:bookmarkEnd w:id="0"/>
    </w:p>
    <w:p w14:paraId="24D65555">
      <w:pPr>
        <w:rPr>
          <w:rFonts w:hint="eastAsia"/>
        </w:rPr>
      </w:pPr>
      <w:r>
        <w:rPr>
          <w:rFonts w:hint="eastAsia"/>
        </w:rPr>
        <w:t>一、采购内容明细</w:t>
      </w:r>
    </w:p>
    <w:tbl>
      <w:tblPr>
        <w:tblStyle w:val="3"/>
        <w:tblW w:w="5000" w:type="pct"/>
        <w:tblInd w:w="0" w:type="dxa"/>
        <w:tblLayout w:type="autofit"/>
        <w:tblCellMar>
          <w:top w:w="0" w:type="dxa"/>
          <w:left w:w="108" w:type="dxa"/>
          <w:bottom w:w="0" w:type="dxa"/>
          <w:right w:w="108" w:type="dxa"/>
        </w:tblCellMar>
      </w:tblPr>
      <w:tblGrid>
        <w:gridCol w:w="789"/>
        <w:gridCol w:w="1537"/>
        <w:gridCol w:w="4619"/>
        <w:gridCol w:w="789"/>
        <w:gridCol w:w="788"/>
      </w:tblGrid>
      <w:tr w14:paraId="3180C379">
        <w:tblPrEx>
          <w:tblCellMar>
            <w:top w:w="0" w:type="dxa"/>
            <w:left w:w="108" w:type="dxa"/>
            <w:bottom w:w="0" w:type="dxa"/>
            <w:right w:w="108" w:type="dxa"/>
          </w:tblCellMar>
        </w:tblPrEx>
        <w:trPr>
          <w:trHeight w:val="285" w:hRule="atLeast"/>
        </w:trPr>
        <w:tc>
          <w:tcPr>
            <w:tcW w:w="463" w:type="pct"/>
            <w:tcBorders>
              <w:top w:val="single" w:color="auto" w:sz="4" w:space="0"/>
              <w:left w:val="single" w:color="auto" w:sz="4" w:space="0"/>
              <w:bottom w:val="single" w:color="auto" w:sz="4" w:space="0"/>
              <w:right w:val="single" w:color="auto" w:sz="4" w:space="0"/>
            </w:tcBorders>
            <w:noWrap/>
            <w:vAlign w:val="center"/>
          </w:tcPr>
          <w:p w14:paraId="3C31B49A">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902" w:type="pct"/>
            <w:tcBorders>
              <w:top w:val="single" w:color="auto" w:sz="4" w:space="0"/>
              <w:left w:val="nil"/>
              <w:bottom w:val="single" w:color="auto" w:sz="4" w:space="0"/>
              <w:right w:val="single" w:color="auto" w:sz="4" w:space="0"/>
            </w:tcBorders>
            <w:noWrap/>
            <w:vAlign w:val="center"/>
          </w:tcPr>
          <w:p w14:paraId="57C61E85">
            <w:pPr>
              <w:widowControl/>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2710" w:type="pct"/>
            <w:tcBorders>
              <w:top w:val="single" w:color="auto" w:sz="4" w:space="0"/>
              <w:left w:val="nil"/>
              <w:bottom w:val="single" w:color="auto" w:sz="4" w:space="0"/>
              <w:right w:val="single" w:color="auto" w:sz="4" w:space="0"/>
            </w:tcBorders>
            <w:noWrap/>
            <w:vAlign w:val="center"/>
          </w:tcPr>
          <w:p w14:paraId="6EAC7E60">
            <w:pPr>
              <w:widowControl/>
              <w:jc w:val="center"/>
              <w:rPr>
                <w:rFonts w:hint="eastAsia" w:ascii="宋体" w:hAnsi="宋体" w:cs="宋体"/>
                <w:b/>
                <w:bCs/>
                <w:kern w:val="0"/>
                <w:sz w:val="22"/>
                <w:szCs w:val="22"/>
              </w:rPr>
            </w:pPr>
            <w:r>
              <w:rPr>
                <w:rFonts w:hint="eastAsia" w:ascii="宋体" w:hAnsi="宋体" w:cs="宋体"/>
                <w:b/>
                <w:bCs/>
                <w:kern w:val="0"/>
                <w:sz w:val="22"/>
                <w:szCs w:val="22"/>
              </w:rPr>
              <w:t>规格要求</w:t>
            </w:r>
          </w:p>
        </w:tc>
        <w:tc>
          <w:tcPr>
            <w:tcW w:w="463" w:type="pct"/>
            <w:tcBorders>
              <w:top w:val="single" w:color="auto" w:sz="4" w:space="0"/>
              <w:left w:val="nil"/>
              <w:bottom w:val="single" w:color="auto" w:sz="4" w:space="0"/>
              <w:right w:val="single" w:color="auto" w:sz="4" w:space="0"/>
            </w:tcBorders>
            <w:noWrap/>
            <w:vAlign w:val="center"/>
          </w:tcPr>
          <w:p w14:paraId="487398CE">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463" w:type="pct"/>
            <w:tcBorders>
              <w:top w:val="single" w:color="auto" w:sz="4" w:space="0"/>
              <w:left w:val="nil"/>
              <w:bottom w:val="single" w:color="auto" w:sz="4" w:space="0"/>
              <w:right w:val="single" w:color="auto" w:sz="4" w:space="0"/>
            </w:tcBorders>
            <w:noWrap/>
            <w:vAlign w:val="center"/>
          </w:tcPr>
          <w:p w14:paraId="5113E0F5">
            <w:pPr>
              <w:widowControl/>
              <w:jc w:val="center"/>
              <w:rPr>
                <w:rFonts w:hint="eastAsia" w:ascii="宋体" w:hAnsi="宋体" w:cs="宋体"/>
                <w:b/>
                <w:bCs/>
                <w:kern w:val="0"/>
                <w:sz w:val="22"/>
                <w:szCs w:val="22"/>
              </w:rPr>
            </w:pPr>
            <w:r>
              <w:rPr>
                <w:rFonts w:hint="eastAsia" w:ascii="宋体" w:hAnsi="宋体" w:cs="宋体"/>
                <w:b/>
                <w:bCs/>
                <w:kern w:val="0"/>
                <w:sz w:val="22"/>
                <w:szCs w:val="22"/>
              </w:rPr>
              <w:t>单位</w:t>
            </w:r>
          </w:p>
        </w:tc>
      </w:tr>
      <w:tr w14:paraId="71202D97">
        <w:tblPrEx>
          <w:tblCellMar>
            <w:top w:w="0" w:type="dxa"/>
            <w:left w:w="108" w:type="dxa"/>
            <w:bottom w:w="0" w:type="dxa"/>
            <w:right w:w="108" w:type="dxa"/>
          </w:tblCellMar>
        </w:tblPrEx>
        <w:trPr>
          <w:trHeight w:val="285" w:hRule="atLeast"/>
        </w:trPr>
        <w:tc>
          <w:tcPr>
            <w:tcW w:w="463" w:type="pct"/>
            <w:tcBorders>
              <w:top w:val="nil"/>
              <w:left w:val="single" w:color="auto" w:sz="4" w:space="0"/>
              <w:bottom w:val="single" w:color="auto" w:sz="4" w:space="0"/>
              <w:right w:val="single" w:color="auto" w:sz="4" w:space="0"/>
            </w:tcBorders>
            <w:noWrap/>
            <w:vAlign w:val="center"/>
          </w:tcPr>
          <w:p w14:paraId="6B0D63CF">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902" w:type="pct"/>
            <w:tcBorders>
              <w:top w:val="nil"/>
              <w:left w:val="nil"/>
              <w:bottom w:val="single" w:color="auto" w:sz="4" w:space="0"/>
              <w:right w:val="single" w:color="auto" w:sz="4" w:space="0"/>
            </w:tcBorders>
            <w:noWrap/>
            <w:vAlign w:val="center"/>
          </w:tcPr>
          <w:p w14:paraId="3A22BA54">
            <w:pPr>
              <w:widowControl/>
              <w:jc w:val="center"/>
              <w:rPr>
                <w:rFonts w:hint="eastAsia" w:ascii="宋体" w:hAnsi="宋体" w:cs="宋体"/>
                <w:kern w:val="0"/>
                <w:sz w:val="22"/>
                <w:szCs w:val="22"/>
              </w:rPr>
            </w:pPr>
            <w:r>
              <w:rPr>
                <w:rFonts w:hint="eastAsia" w:ascii="宋体" w:hAnsi="宋体" w:cs="宋体"/>
                <w:kern w:val="0"/>
                <w:sz w:val="22"/>
                <w:szCs w:val="22"/>
              </w:rPr>
              <w:t>机房静电地</w:t>
            </w:r>
          </w:p>
        </w:tc>
        <w:tc>
          <w:tcPr>
            <w:tcW w:w="2710" w:type="pct"/>
            <w:tcBorders>
              <w:top w:val="nil"/>
              <w:left w:val="nil"/>
              <w:bottom w:val="single" w:color="auto" w:sz="4" w:space="0"/>
              <w:right w:val="single" w:color="auto" w:sz="4" w:space="0"/>
            </w:tcBorders>
            <w:noWrap/>
            <w:vAlign w:val="center"/>
          </w:tcPr>
          <w:p w14:paraId="612B80FE">
            <w:pPr>
              <w:widowControl/>
              <w:jc w:val="center"/>
              <w:rPr>
                <w:rFonts w:hint="eastAsia" w:ascii="宋体" w:hAnsi="宋体" w:cs="宋体"/>
                <w:kern w:val="0"/>
                <w:sz w:val="22"/>
                <w:szCs w:val="22"/>
              </w:rPr>
            </w:pPr>
            <w:r>
              <w:rPr>
                <w:rFonts w:hint="eastAsia" w:ascii="宋体" w:hAnsi="宋体" w:cs="宋体"/>
                <w:kern w:val="0"/>
                <w:sz w:val="22"/>
                <w:szCs w:val="22"/>
              </w:rPr>
              <w:t>无边框，含10块通风地板</w:t>
            </w:r>
          </w:p>
        </w:tc>
        <w:tc>
          <w:tcPr>
            <w:tcW w:w="463" w:type="pct"/>
            <w:tcBorders>
              <w:top w:val="nil"/>
              <w:left w:val="nil"/>
              <w:bottom w:val="single" w:color="auto" w:sz="4" w:space="0"/>
              <w:right w:val="single" w:color="auto" w:sz="4" w:space="0"/>
            </w:tcBorders>
            <w:noWrap/>
            <w:vAlign w:val="center"/>
          </w:tcPr>
          <w:p w14:paraId="624BAA75">
            <w:pPr>
              <w:widowControl/>
              <w:jc w:val="center"/>
              <w:rPr>
                <w:rFonts w:hint="eastAsia" w:ascii="宋体" w:hAnsi="宋体" w:cs="宋体"/>
                <w:kern w:val="0"/>
                <w:sz w:val="22"/>
                <w:szCs w:val="22"/>
              </w:rPr>
            </w:pPr>
            <w:r>
              <w:rPr>
                <w:rFonts w:hint="eastAsia" w:ascii="宋体" w:hAnsi="宋体" w:cs="宋体"/>
                <w:kern w:val="0"/>
                <w:sz w:val="22"/>
                <w:szCs w:val="22"/>
              </w:rPr>
              <w:t>50</w:t>
            </w:r>
          </w:p>
        </w:tc>
        <w:tc>
          <w:tcPr>
            <w:tcW w:w="463" w:type="pct"/>
            <w:tcBorders>
              <w:top w:val="nil"/>
              <w:left w:val="nil"/>
              <w:bottom w:val="single" w:color="auto" w:sz="4" w:space="0"/>
              <w:right w:val="single" w:color="auto" w:sz="4" w:space="0"/>
            </w:tcBorders>
            <w:noWrap/>
            <w:vAlign w:val="center"/>
          </w:tcPr>
          <w:p w14:paraId="48F563C6">
            <w:pPr>
              <w:widowControl/>
              <w:jc w:val="center"/>
              <w:rPr>
                <w:rFonts w:hint="eastAsia" w:ascii="宋体" w:hAnsi="宋体" w:cs="宋体"/>
                <w:kern w:val="0"/>
                <w:sz w:val="22"/>
                <w:szCs w:val="22"/>
              </w:rPr>
            </w:pPr>
            <w:r>
              <w:rPr>
                <w:rFonts w:hint="eastAsia" w:ascii="宋体" w:hAnsi="宋体" w:cs="宋体"/>
                <w:kern w:val="0"/>
                <w:sz w:val="22"/>
                <w:szCs w:val="22"/>
              </w:rPr>
              <w:t>平</w:t>
            </w:r>
          </w:p>
        </w:tc>
      </w:tr>
      <w:tr w14:paraId="6DCA5C68">
        <w:tblPrEx>
          <w:tblCellMar>
            <w:top w:w="0" w:type="dxa"/>
            <w:left w:w="108" w:type="dxa"/>
            <w:bottom w:w="0" w:type="dxa"/>
            <w:right w:w="108" w:type="dxa"/>
          </w:tblCellMar>
        </w:tblPrEx>
        <w:trPr>
          <w:trHeight w:val="285" w:hRule="atLeast"/>
        </w:trPr>
        <w:tc>
          <w:tcPr>
            <w:tcW w:w="463" w:type="pct"/>
            <w:tcBorders>
              <w:top w:val="nil"/>
              <w:left w:val="single" w:color="auto" w:sz="4" w:space="0"/>
              <w:bottom w:val="single" w:color="auto" w:sz="4" w:space="0"/>
              <w:right w:val="single" w:color="auto" w:sz="4" w:space="0"/>
            </w:tcBorders>
            <w:noWrap/>
            <w:vAlign w:val="center"/>
          </w:tcPr>
          <w:p w14:paraId="3BA1D623">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902" w:type="pct"/>
            <w:tcBorders>
              <w:top w:val="nil"/>
              <w:left w:val="nil"/>
              <w:bottom w:val="single" w:color="auto" w:sz="4" w:space="0"/>
              <w:right w:val="single" w:color="auto" w:sz="4" w:space="0"/>
            </w:tcBorders>
            <w:noWrap/>
            <w:vAlign w:val="center"/>
          </w:tcPr>
          <w:p w14:paraId="438B862E">
            <w:pPr>
              <w:widowControl/>
              <w:jc w:val="center"/>
              <w:rPr>
                <w:rFonts w:hint="eastAsia" w:ascii="宋体" w:hAnsi="宋体" w:cs="宋体"/>
                <w:kern w:val="0"/>
                <w:sz w:val="22"/>
                <w:szCs w:val="22"/>
              </w:rPr>
            </w:pPr>
            <w:r>
              <w:rPr>
                <w:rFonts w:hint="eastAsia" w:ascii="宋体" w:hAnsi="宋体" w:cs="宋体"/>
                <w:kern w:val="0"/>
                <w:sz w:val="22"/>
                <w:szCs w:val="22"/>
              </w:rPr>
              <w:t>机柜</w:t>
            </w:r>
          </w:p>
        </w:tc>
        <w:tc>
          <w:tcPr>
            <w:tcW w:w="2710" w:type="pct"/>
            <w:tcBorders>
              <w:top w:val="nil"/>
              <w:left w:val="nil"/>
              <w:bottom w:val="single" w:color="auto" w:sz="4" w:space="0"/>
              <w:right w:val="single" w:color="auto" w:sz="4" w:space="0"/>
            </w:tcBorders>
            <w:noWrap/>
            <w:vAlign w:val="center"/>
          </w:tcPr>
          <w:p w14:paraId="33AA2C30">
            <w:pPr>
              <w:widowControl/>
              <w:jc w:val="center"/>
              <w:rPr>
                <w:rFonts w:hint="eastAsia" w:ascii="宋体" w:hAnsi="宋体" w:cs="宋体"/>
                <w:kern w:val="0"/>
                <w:sz w:val="22"/>
                <w:szCs w:val="22"/>
              </w:rPr>
            </w:pPr>
            <w:r>
              <w:rPr>
                <w:rFonts w:hint="eastAsia" w:ascii="宋体" w:hAnsi="宋体" w:cs="宋体"/>
                <w:kern w:val="0"/>
                <w:sz w:val="22"/>
                <w:szCs w:val="22"/>
              </w:rPr>
              <w:t>含12位PDU，隔板等配件</w:t>
            </w:r>
          </w:p>
        </w:tc>
        <w:tc>
          <w:tcPr>
            <w:tcW w:w="463" w:type="pct"/>
            <w:tcBorders>
              <w:top w:val="nil"/>
              <w:left w:val="nil"/>
              <w:bottom w:val="single" w:color="auto" w:sz="4" w:space="0"/>
              <w:right w:val="single" w:color="auto" w:sz="4" w:space="0"/>
            </w:tcBorders>
            <w:noWrap/>
            <w:vAlign w:val="center"/>
          </w:tcPr>
          <w:p w14:paraId="6B6E03ED">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463" w:type="pct"/>
            <w:tcBorders>
              <w:top w:val="nil"/>
              <w:left w:val="nil"/>
              <w:bottom w:val="single" w:color="auto" w:sz="4" w:space="0"/>
              <w:right w:val="single" w:color="auto" w:sz="4" w:space="0"/>
            </w:tcBorders>
            <w:noWrap/>
            <w:vAlign w:val="center"/>
          </w:tcPr>
          <w:p w14:paraId="37F82FB1">
            <w:pPr>
              <w:widowControl/>
              <w:jc w:val="center"/>
              <w:rPr>
                <w:rFonts w:hint="eastAsia" w:ascii="宋体" w:hAnsi="宋体" w:cs="宋体"/>
                <w:kern w:val="0"/>
                <w:sz w:val="22"/>
                <w:szCs w:val="22"/>
              </w:rPr>
            </w:pPr>
            <w:r>
              <w:rPr>
                <w:rFonts w:hint="eastAsia" w:ascii="宋体" w:hAnsi="宋体" w:cs="宋体"/>
                <w:kern w:val="0"/>
                <w:sz w:val="22"/>
                <w:szCs w:val="22"/>
              </w:rPr>
              <w:t>个</w:t>
            </w:r>
          </w:p>
        </w:tc>
      </w:tr>
      <w:tr w14:paraId="25B18DBF">
        <w:tblPrEx>
          <w:tblCellMar>
            <w:top w:w="0" w:type="dxa"/>
            <w:left w:w="108" w:type="dxa"/>
            <w:bottom w:w="0" w:type="dxa"/>
            <w:right w:w="108" w:type="dxa"/>
          </w:tblCellMar>
        </w:tblPrEx>
        <w:trPr>
          <w:trHeight w:val="285" w:hRule="atLeast"/>
        </w:trPr>
        <w:tc>
          <w:tcPr>
            <w:tcW w:w="463" w:type="pct"/>
            <w:tcBorders>
              <w:top w:val="nil"/>
              <w:left w:val="single" w:color="auto" w:sz="4" w:space="0"/>
              <w:bottom w:val="single" w:color="auto" w:sz="4" w:space="0"/>
              <w:right w:val="single" w:color="auto" w:sz="4" w:space="0"/>
            </w:tcBorders>
            <w:noWrap/>
            <w:vAlign w:val="center"/>
          </w:tcPr>
          <w:p w14:paraId="645C84BF">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902" w:type="pct"/>
            <w:tcBorders>
              <w:top w:val="nil"/>
              <w:left w:val="nil"/>
              <w:bottom w:val="single" w:color="auto" w:sz="4" w:space="0"/>
              <w:right w:val="single" w:color="auto" w:sz="4" w:space="0"/>
            </w:tcBorders>
            <w:noWrap/>
            <w:vAlign w:val="center"/>
          </w:tcPr>
          <w:p w14:paraId="62086FE9">
            <w:pPr>
              <w:widowControl/>
              <w:jc w:val="center"/>
              <w:rPr>
                <w:rFonts w:hint="eastAsia" w:ascii="宋体" w:hAnsi="宋体" w:cs="宋体"/>
                <w:kern w:val="0"/>
                <w:sz w:val="22"/>
                <w:szCs w:val="22"/>
              </w:rPr>
            </w:pPr>
            <w:r>
              <w:rPr>
                <w:rFonts w:hint="eastAsia" w:ascii="宋体" w:hAnsi="宋体" w:cs="宋体"/>
                <w:kern w:val="0"/>
                <w:sz w:val="22"/>
                <w:szCs w:val="22"/>
              </w:rPr>
              <w:t>机柜底座</w:t>
            </w:r>
          </w:p>
        </w:tc>
        <w:tc>
          <w:tcPr>
            <w:tcW w:w="2710" w:type="pct"/>
            <w:tcBorders>
              <w:top w:val="nil"/>
              <w:left w:val="nil"/>
              <w:bottom w:val="single" w:color="auto" w:sz="4" w:space="0"/>
              <w:right w:val="single" w:color="auto" w:sz="4" w:space="0"/>
            </w:tcBorders>
            <w:noWrap/>
            <w:vAlign w:val="center"/>
          </w:tcPr>
          <w:p w14:paraId="2990AA32">
            <w:pPr>
              <w:widowControl/>
              <w:jc w:val="center"/>
              <w:rPr>
                <w:rFonts w:hint="eastAsia" w:ascii="宋体" w:hAnsi="宋体" w:cs="宋体"/>
                <w:kern w:val="0"/>
                <w:sz w:val="22"/>
                <w:szCs w:val="22"/>
              </w:rPr>
            </w:pPr>
            <w:r>
              <w:rPr>
                <w:rFonts w:hint="eastAsia" w:ascii="宋体" w:hAnsi="宋体" w:cs="宋体"/>
                <w:kern w:val="0"/>
                <w:sz w:val="22"/>
                <w:szCs w:val="22"/>
              </w:rPr>
              <w:t>配套机柜承重底座</w:t>
            </w:r>
          </w:p>
        </w:tc>
        <w:tc>
          <w:tcPr>
            <w:tcW w:w="463" w:type="pct"/>
            <w:tcBorders>
              <w:top w:val="nil"/>
              <w:left w:val="nil"/>
              <w:bottom w:val="single" w:color="auto" w:sz="4" w:space="0"/>
              <w:right w:val="single" w:color="auto" w:sz="4" w:space="0"/>
            </w:tcBorders>
            <w:noWrap/>
            <w:vAlign w:val="center"/>
          </w:tcPr>
          <w:p w14:paraId="1B89DD37">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463" w:type="pct"/>
            <w:tcBorders>
              <w:top w:val="nil"/>
              <w:left w:val="nil"/>
              <w:bottom w:val="single" w:color="auto" w:sz="4" w:space="0"/>
              <w:right w:val="single" w:color="auto" w:sz="4" w:space="0"/>
            </w:tcBorders>
            <w:noWrap/>
            <w:vAlign w:val="center"/>
          </w:tcPr>
          <w:p w14:paraId="1ACD76DB">
            <w:pPr>
              <w:widowControl/>
              <w:jc w:val="center"/>
              <w:rPr>
                <w:rFonts w:hint="eastAsia" w:ascii="宋体" w:hAnsi="宋体" w:cs="宋体"/>
                <w:kern w:val="0"/>
                <w:sz w:val="22"/>
                <w:szCs w:val="22"/>
              </w:rPr>
            </w:pPr>
            <w:r>
              <w:rPr>
                <w:rFonts w:hint="eastAsia" w:ascii="宋体" w:hAnsi="宋体" w:cs="宋体"/>
                <w:kern w:val="0"/>
                <w:sz w:val="22"/>
                <w:szCs w:val="22"/>
              </w:rPr>
              <w:t>个</w:t>
            </w:r>
          </w:p>
        </w:tc>
      </w:tr>
      <w:tr w14:paraId="2A572BD2">
        <w:tblPrEx>
          <w:tblCellMar>
            <w:top w:w="0" w:type="dxa"/>
            <w:left w:w="108" w:type="dxa"/>
            <w:bottom w:w="0" w:type="dxa"/>
            <w:right w:w="108" w:type="dxa"/>
          </w:tblCellMar>
        </w:tblPrEx>
        <w:trPr>
          <w:trHeight w:val="285" w:hRule="atLeast"/>
        </w:trPr>
        <w:tc>
          <w:tcPr>
            <w:tcW w:w="463" w:type="pct"/>
            <w:tcBorders>
              <w:top w:val="nil"/>
              <w:left w:val="single" w:color="auto" w:sz="4" w:space="0"/>
              <w:bottom w:val="single" w:color="auto" w:sz="4" w:space="0"/>
              <w:right w:val="single" w:color="auto" w:sz="4" w:space="0"/>
            </w:tcBorders>
            <w:noWrap/>
            <w:vAlign w:val="center"/>
          </w:tcPr>
          <w:p w14:paraId="76E8D709">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902" w:type="pct"/>
            <w:tcBorders>
              <w:top w:val="nil"/>
              <w:left w:val="nil"/>
              <w:bottom w:val="single" w:color="auto" w:sz="4" w:space="0"/>
              <w:right w:val="single" w:color="auto" w:sz="4" w:space="0"/>
            </w:tcBorders>
            <w:noWrap/>
            <w:vAlign w:val="center"/>
          </w:tcPr>
          <w:p w14:paraId="64B68D78">
            <w:pPr>
              <w:widowControl/>
              <w:jc w:val="center"/>
              <w:rPr>
                <w:rFonts w:hint="eastAsia" w:ascii="宋体" w:hAnsi="宋体" w:cs="宋体"/>
                <w:kern w:val="0"/>
                <w:sz w:val="22"/>
                <w:szCs w:val="22"/>
              </w:rPr>
            </w:pPr>
            <w:r>
              <w:rPr>
                <w:rFonts w:hint="eastAsia" w:ascii="宋体" w:hAnsi="宋体" w:cs="宋体"/>
                <w:kern w:val="0"/>
                <w:sz w:val="22"/>
                <w:szCs w:val="22"/>
              </w:rPr>
              <w:t>主机</w:t>
            </w:r>
          </w:p>
        </w:tc>
        <w:tc>
          <w:tcPr>
            <w:tcW w:w="2710" w:type="pct"/>
            <w:tcBorders>
              <w:top w:val="nil"/>
              <w:left w:val="nil"/>
              <w:bottom w:val="single" w:color="auto" w:sz="4" w:space="0"/>
              <w:right w:val="single" w:color="auto" w:sz="4" w:space="0"/>
            </w:tcBorders>
            <w:noWrap/>
            <w:vAlign w:val="center"/>
          </w:tcPr>
          <w:p w14:paraId="031289A1">
            <w:pPr>
              <w:widowControl/>
              <w:jc w:val="center"/>
              <w:rPr>
                <w:rFonts w:hint="eastAsia" w:ascii="宋体" w:hAnsi="宋体" w:cs="宋体"/>
                <w:kern w:val="0"/>
                <w:sz w:val="22"/>
                <w:szCs w:val="22"/>
              </w:rPr>
            </w:pPr>
            <w:r>
              <w:rPr>
                <w:rFonts w:hint="eastAsia" w:ascii="宋体" w:hAnsi="宋体" w:cs="宋体"/>
                <w:kern w:val="0"/>
                <w:sz w:val="22"/>
                <w:szCs w:val="22"/>
              </w:rPr>
              <w:t>机房操作间监控主机</w:t>
            </w:r>
          </w:p>
        </w:tc>
        <w:tc>
          <w:tcPr>
            <w:tcW w:w="463" w:type="pct"/>
            <w:tcBorders>
              <w:top w:val="nil"/>
              <w:left w:val="nil"/>
              <w:bottom w:val="single" w:color="auto" w:sz="4" w:space="0"/>
              <w:right w:val="single" w:color="auto" w:sz="4" w:space="0"/>
            </w:tcBorders>
            <w:noWrap/>
            <w:vAlign w:val="center"/>
          </w:tcPr>
          <w:p w14:paraId="10BE50EB">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463" w:type="pct"/>
            <w:tcBorders>
              <w:top w:val="nil"/>
              <w:left w:val="nil"/>
              <w:bottom w:val="single" w:color="auto" w:sz="4" w:space="0"/>
              <w:right w:val="single" w:color="auto" w:sz="4" w:space="0"/>
            </w:tcBorders>
            <w:noWrap/>
            <w:vAlign w:val="center"/>
          </w:tcPr>
          <w:p w14:paraId="76D5980D">
            <w:pPr>
              <w:widowControl/>
              <w:jc w:val="center"/>
              <w:rPr>
                <w:rFonts w:hint="eastAsia" w:ascii="宋体" w:hAnsi="宋体" w:cs="宋体"/>
                <w:kern w:val="0"/>
                <w:sz w:val="22"/>
                <w:szCs w:val="22"/>
              </w:rPr>
            </w:pPr>
            <w:r>
              <w:rPr>
                <w:rFonts w:hint="eastAsia" w:ascii="宋体" w:hAnsi="宋体" w:cs="宋体"/>
                <w:kern w:val="0"/>
                <w:sz w:val="22"/>
                <w:szCs w:val="22"/>
              </w:rPr>
              <w:t>台</w:t>
            </w:r>
          </w:p>
        </w:tc>
      </w:tr>
      <w:tr w14:paraId="3C6E1A9C">
        <w:tblPrEx>
          <w:tblCellMar>
            <w:top w:w="0" w:type="dxa"/>
            <w:left w:w="108" w:type="dxa"/>
            <w:bottom w:w="0" w:type="dxa"/>
            <w:right w:w="108" w:type="dxa"/>
          </w:tblCellMar>
        </w:tblPrEx>
        <w:trPr>
          <w:trHeight w:val="285" w:hRule="atLeast"/>
        </w:trPr>
        <w:tc>
          <w:tcPr>
            <w:tcW w:w="463" w:type="pct"/>
            <w:tcBorders>
              <w:top w:val="nil"/>
              <w:left w:val="single" w:color="auto" w:sz="4" w:space="0"/>
              <w:bottom w:val="single" w:color="auto" w:sz="4" w:space="0"/>
              <w:right w:val="single" w:color="auto" w:sz="4" w:space="0"/>
            </w:tcBorders>
            <w:noWrap/>
            <w:vAlign w:val="center"/>
          </w:tcPr>
          <w:p w14:paraId="312D5AB1">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902" w:type="pct"/>
            <w:tcBorders>
              <w:top w:val="nil"/>
              <w:left w:val="nil"/>
              <w:bottom w:val="single" w:color="auto" w:sz="4" w:space="0"/>
              <w:right w:val="single" w:color="auto" w:sz="4" w:space="0"/>
            </w:tcBorders>
            <w:noWrap/>
            <w:vAlign w:val="center"/>
          </w:tcPr>
          <w:p w14:paraId="5AB6286D">
            <w:pPr>
              <w:widowControl/>
              <w:jc w:val="center"/>
              <w:rPr>
                <w:rFonts w:hint="eastAsia" w:ascii="宋体" w:hAnsi="宋体" w:cs="宋体"/>
                <w:kern w:val="0"/>
                <w:sz w:val="22"/>
                <w:szCs w:val="22"/>
              </w:rPr>
            </w:pPr>
            <w:r>
              <w:rPr>
                <w:rFonts w:hint="eastAsia" w:ascii="宋体" w:hAnsi="宋体" w:cs="宋体"/>
                <w:kern w:val="0"/>
                <w:sz w:val="22"/>
                <w:szCs w:val="22"/>
              </w:rPr>
              <w:t>交换机</w:t>
            </w:r>
          </w:p>
        </w:tc>
        <w:tc>
          <w:tcPr>
            <w:tcW w:w="2710" w:type="pct"/>
            <w:tcBorders>
              <w:top w:val="nil"/>
              <w:left w:val="nil"/>
              <w:bottom w:val="single" w:color="auto" w:sz="4" w:space="0"/>
              <w:right w:val="single" w:color="auto" w:sz="4" w:space="0"/>
            </w:tcBorders>
            <w:noWrap/>
            <w:vAlign w:val="center"/>
          </w:tcPr>
          <w:p w14:paraId="38175E42">
            <w:pPr>
              <w:widowControl/>
              <w:jc w:val="center"/>
              <w:rPr>
                <w:rFonts w:hint="eastAsia" w:ascii="宋体" w:hAnsi="宋体" w:cs="宋体"/>
                <w:kern w:val="0"/>
                <w:sz w:val="22"/>
                <w:szCs w:val="22"/>
              </w:rPr>
            </w:pPr>
            <w:r>
              <w:rPr>
                <w:rFonts w:hint="eastAsia" w:ascii="宋体" w:hAnsi="宋体" w:cs="宋体"/>
                <w:kern w:val="0"/>
                <w:sz w:val="22"/>
                <w:szCs w:val="22"/>
              </w:rPr>
              <w:t>48口千兆电口+千兆光口</w:t>
            </w:r>
          </w:p>
        </w:tc>
        <w:tc>
          <w:tcPr>
            <w:tcW w:w="463" w:type="pct"/>
            <w:tcBorders>
              <w:top w:val="nil"/>
              <w:left w:val="nil"/>
              <w:bottom w:val="single" w:color="auto" w:sz="4" w:space="0"/>
              <w:right w:val="single" w:color="auto" w:sz="4" w:space="0"/>
            </w:tcBorders>
            <w:noWrap/>
            <w:vAlign w:val="center"/>
          </w:tcPr>
          <w:p w14:paraId="2833784C">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463" w:type="pct"/>
            <w:tcBorders>
              <w:top w:val="nil"/>
              <w:left w:val="nil"/>
              <w:bottom w:val="single" w:color="auto" w:sz="4" w:space="0"/>
              <w:right w:val="single" w:color="auto" w:sz="4" w:space="0"/>
            </w:tcBorders>
            <w:noWrap/>
            <w:vAlign w:val="center"/>
          </w:tcPr>
          <w:p w14:paraId="71F1696E">
            <w:pPr>
              <w:widowControl/>
              <w:jc w:val="center"/>
              <w:rPr>
                <w:rFonts w:hint="eastAsia" w:ascii="宋体" w:hAnsi="宋体" w:cs="宋体"/>
                <w:kern w:val="0"/>
                <w:sz w:val="22"/>
                <w:szCs w:val="22"/>
              </w:rPr>
            </w:pPr>
            <w:r>
              <w:rPr>
                <w:rFonts w:hint="eastAsia" w:ascii="宋体" w:hAnsi="宋体" w:cs="宋体"/>
                <w:kern w:val="0"/>
                <w:sz w:val="22"/>
                <w:szCs w:val="22"/>
              </w:rPr>
              <w:t>台</w:t>
            </w:r>
          </w:p>
        </w:tc>
      </w:tr>
      <w:tr w14:paraId="56BEB63F">
        <w:tblPrEx>
          <w:tblCellMar>
            <w:top w:w="0" w:type="dxa"/>
            <w:left w:w="108" w:type="dxa"/>
            <w:bottom w:w="0" w:type="dxa"/>
            <w:right w:w="108" w:type="dxa"/>
          </w:tblCellMar>
        </w:tblPrEx>
        <w:trPr>
          <w:trHeight w:val="285" w:hRule="atLeast"/>
        </w:trPr>
        <w:tc>
          <w:tcPr>
            <w:tcW w:w="463" w:type="pct"/>
            <w:tcBorders>
              <w:top w:val="nil"/>
              <w:left w:val="single" w:color="auto" w:sz="4" w:space="0"/>
              <w:bottom w:val="single" w:color="auto" w:sz="4" w:space="0"/>
              <w:right w:val="single" w:color="auto" w:sz="4" w:space="0"/>
            </w:tcBorders>
            <w:noWrap/>
            <w:vAlign w:val="center"/>
          </w:tcPr>
          <w:p w14:paraId="2BE27E1E">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902" w:type="pct"/>
            <w:tcBorders>
              <w:top w:val="nil"/>
              <w:left w:val="nil"/>
              <w:bottom w:val="single" w:color="auto" w:sz="4" w:space="0"/>
              <w:right w:val="single" w:color="auto" w:sz="4" w:space="0"/>
            </w:tcBorders>
            <w:noWrap/>
            <w:vAlign w:val="center"/>
          </w:tcPr>
          <w:p w14:paraId="53B0ED99">
            <w:pPr>
              <w:widowControl/>
              <w:jc w:val="center"/>
              <w:rPr>
                <w:rFonts w:hint="eastAsia" w:ascii="宋体" w:hAnsi="宋体" w:cs="宋体"/>
                <w:kern w:val="0"/>
                <w:sz w:val="22"/>
                <w:szCs w:val="22"/>
              </w:rPr>
            </w:pPr>
            <w:r>
              <w:rPr>
                <w:rFonts w:hint="eastAsia" w:ascii="宋体" w:hAnsi="宋体" w:cs="宋体"/>
                <w:kern w:val="0"/>
                <w:sz w:val="22"/>
                <w:szCs w:val="22"/>
              </w:rPr>
              <w:t>超6类网线</w:t>
            </w:r>
          </w:p>
        </w:tc>
        <w:tc>
          <w:tcPr>
            <w:tcW w:w="2710" w:type="pct"/>
            <w:tcBorders>
              <w:top w:val="nil"/>
              <w:left w:val="nil"/>
              <w:bottom w:val="single" w:color="auto" w:sz="4" w:space="0"/>
              <w:right w:val="single" w:color="auto" w:sz="4" w:space="0"/>
            </w:tcBorders>
            <w:noWrap/>
            <w:vAlign w:val="center"/>
          </w:tcPr>
          <w:p w14:paraId="01F0E850">
            <w:pPr>
              <w:widowControl/>
              <w:jc w:val="center"/>
              <w:rPr>
                <w:rFonts w:hint="eastAsia" w:ascii="宋体" w:hAnsi="宋体" w:cs="宋体"/>
                <w:kern w:val="0"/>
                <w:sz w:val="22"/>
                <w:szCs w:val="22"/>
              </w:rPr>
            </w:pPr>
            <w:r>
              <w:rPr>
                <w:rFonts w:hint="eastAsia" w:ascii="宋体" w:hAnsi="宋体" w:cs="宋体"/>
                <w:kern w:val="0"/>
                <w:sz w:val="22"/>
                <w:szCs w:val="22"/>
              </w:rPr>
              <w:t>超6类网线</w:t>
            </w:r>
          </w:p>
        </w:tc>
        <w:tc>
          <w:tcPr>
            <w:tcW w:w="463" w:type="pct"/>
            <w:tcBorders>
              <w:top w:val="nil"/>
              <w:left w:val="nil"/>
              <w:bottom w:val="single" w:color="auto" w:sz="4" w:space="0"/>
              <w:right w:val="single" w:color="auto" w:sz="4" w:space="0"/>
            </w:tcBorders>
            <w:noWrap/>
            <w:vAlign w:val="center"/>
          </w:tcPr>
          <w:p w14:paraId="4E38CC33">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463" w:type="pct"/>
            <w:tcBorders>
              <w:top w:val="nil"/>
              <w:left w:val="nil"/>
              <w:bottom w:val="single" w:color="auto" w:sz="4" w:space="0"/>
              <w:right w:val="single" w:color="auto" w:sz="4" w:space="0"/>
            </w:tcBorders>
            <w:noWrap/>
            <w:vAlign w:val="center"/>
          </w:tcPr>
          <w:p w14:paraId="33660506">
            <w:pPr>
              <w:widowControl/>
              <w:jc w:val="center"/>
              <w:rPr>
                <w:rFonts w:hint="eastAsia" w:ascii="宋体" w:hAnsi="宋体" w:cs="宋体"/>
                <w:kern w:val="0"/>
                <w:sz w:val="22"/>
                <w:szCs w:val="22"/>
              </w:rPr>
            </w:pPr>
            <w:r>
              <w:rPr>
                <w:rFonts w:hint="eastAsia" w:ascii="宋体" w:hAnsi="宋体" w:cs="宋体"/>
                <w:kern w:val="0"/>
                <w:sz w:val="22"/>
                <w:szCs w:val="22"/>
              </w:rPr>
              <w:t>箱</w:t>
            </w:r>
          </w:p>
        </w:tc>
      </w:tr>
      <w:tr w14:paraId="15A3714B">
        <w:tblPrEx>
          <w:tblCellMar>
            <w:top w:w="0" w:type="dxa"/>
            <w:left w:w="108" w:type="dxa"/>
            <w:bottom w:w="0" w:type="dxa"/>
            <w:right w:w="108" w:type="dxa"/>
          </w:tblCellMar>
        </w:tblPrEx>
        <w:trPr>
          <w:trHeight w:val="285" w:hRule="atLeast"/>
        </w:trPr>
        <w:tc>
          <w:tcPr>
            <w:tcW w:w="463" w:type="pct"/>
            <w:tcBorders>
              <w:top w:val="nil"/>
              <w:left w:val="single" w:color="auto" w:sz="4" w:space="0"/>
              <w:bottom w:val="single" w:color="auto" w:sz="4" w:space="0"/>
              <w:right w:val="single" w:color="auto" w:sz="4" w:space="0"/>
            </w:tcBorders>
            <w:noWrap/>
            <w:vAlign w:val="center"/>
          </w:tcPr>
          <w:p w14:paraId="612343EB">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902" w:type="pct"/>
            <w:tcBorders>
              <w:top w:val="nil"/>
              <w:left w:val="nil"/>
              <w:bottom w:val="single" w:color="auto" w:sz="4" w:space="0"/>
              <w:right w:val="single" w:color="auto" w:sz="4" w:space="0"/>
            </w:tcBorders>
            <w:noWrap/>
            <w:vAlign w:val="center"/>
          </w:tcPr>
          <w:p w14:paraId="02135350">
            <w:pPr>
              <w:widowControl/>
              <w:jc w:val="center"/>
              <w:rPr>
                <w:rFonts w:hint="eastAsia" w:ascii="宋体" w:hAnsi="宋体" w:cs="宋体"/>
                <w:kern w:val="0"/>
                <w:sz w:val="22"/>
                <w:szCs w:val="22"/>
              </w:rPr>
            </w:pPr>
            <w:r>
              <w:rPr>
                <w:rFonts w:hint="eastAsia" w:ascii="宋体" w:hAnsi="宋体" w:cs="宋体"/>
                <w:kern w:val="0"/>
                <w:sz w:val="22"/>
                <w:szCs w:val="22"/>
              </w:rPr>
              <w:t>网络跳线</w:t>
            </w:r>
          </w:p>
        </w:tc>
        <w:tc>
          <w:tcPr>
            <w:tcW w:w="2710" w:type="pct"/>
            <w:tcBorders>
              <w:top w:val="nil"/>
              <w:left w:val="nil"/>
              <w:bottom w:val="single" w:color="auto" w:sz="4" w:space="0"/>
              <w:right w:val="single" w:color="auto" w:sz="4" w:space="0"/>
            </w:tcBorders>
            <w:noWrap/>
            <w:vAlign w:val="center"/>
          </w:tcPr>
          <w:p w14:paraId="33047F4A">
            <w:pPr>
              <w:widowControl/>
              <w:jc w:val="center"/>
              <w:rPr>
                <w:rFonts w:hint="eastAsia" w:ascii="宋体" w:hAnsi="宋体" w:cs="宋体"/>
                <w:kern w:val="0"/>
                <w:sz w:val="22"/>
                <w:szCs w:val="22"/>
              </w:rPr>
            </w:pPr>
            <w:r>
              <w:rPr>
                <w:rFonts w:hint="eastAsia" w:ascii="宋体" w:hAnsi="宋体" w:cs="宋体"/>
                <w:kern w:val="0"/>
                <w:sz w:val="22"/>
                <w:szCs w:val="22"/>
              </w:rPr>
              <w:t>3米网络跳线</w:t>
            </w:r>
          </w:p>
        </w:tc>
        <w:tc>
          <w:tcPr>
            <w:tcW w:w="463" w:type="pct"/>
            <w:tcBorders>
              <w:top w:val="nil"/>
              <w:left w:val="nil"/>
              <w:bottom w:val="single" w:color="auto" w:sz="4" w:space="0"/>
              <w:right w:val="single" w:color="auto" w:sz="4" w:space="0"/>
            </w:tcBorders>
            <w:noWrap/>
            <w:vAlign w:val="center"/>
          </w:tcPr>
          <w:p w14:paraId="694C6E24">
            <w:pPr>
              <w:widowControl/>
              <w:jc w:val="center"/>
              <w:rPr>
                <w:rFonts w:hint="eastAsia" w:ascii="宋体" w:hAnsi="宋体" w:cs="宋体"/>
                <w:kern w:val="0"/>
                <w:sz w:val="22"/>
                <w:szCs w:val="22"/>
              </w:rPr>
            </w:pPr>
            <w:r>
              <w:rPr>
                <w:rFonts w:hint="eastAsia" w:ascii="宋体" w:hAnsi="宋体" w:cs="宋体"/>
                <w:kern w:val="0"/>
                <w:sz w:val="22"/>
                <w:szCs w:val="22"/>
              </w:rPr>
              <w:t>50</w:t>
            </w:r>
          </w:p>
        </w:tc>
        <w:tc>
          <w:tcPr>
            <w:tcW w:w="463" w:type="pct"/>
            <w:tcBorders>
              <w:top w:val="nil"/>
              <w:left w:val="nil"/>
              <w:bottom w:val="single" w:color="auto" w:sz="4" w:space="0"/>
              <w:right w:val="single" w:color="auto" w:sz="4" w:space="0"/>
            </w:tcBorders>
            <w:noWrap/>
            <w:vAlign w:val="center"/>
          </w:tcPr>
          <w:p w14:paraId="5D4647A5">
            <w:pPr>
              <w:widowControl/>
              <w:jc w:val="center"/>
              <w:rPr>
                <w:rFonts w:hint="eastAsia" w:ascii="宋体" w:hAnsi="宋体" w:cs="宋体"/>
                <w:kern w:val="0"/>
                <w:sz w:val="22"/>
                <w:szCs w:val="22"/>
              </w:rPr>
            </w:pPr>
            <w:r>
              <w:rPr>
                <w:rFonts w:hint="eastAsia" w:ascii="宋体" w:hAnsi="宋体" w:cs="宋体"/>
                <w:kern w:val="0"/>
                <w:sz w:val="22"/>
                <w:szCs w:val="22"/>
              </w:rPr>
              <w:t>根</w:t>
            </w:r>
          </w:p>
        </w:tc>
      </w:tr>
      <w:tr w14:paraId="01D93750">
        <w:tblPrEx>
          <w:tblCellMar>
            <w:top w:w="0" w:type="dxa"/>
            <w:left w:w="108" w:type="dxa"/>
            <w:bottom w:w="0" w:type="dxa"/>
            <w:right w:w="108" w:type="dxa"/>
          </w:tblCellMar>
        </w:tblPrEx>
        <w:trPr>
          <w:trHeight w:val="285" w:hRule="atLeast"/>
        </w:trPr>
        <w:tc>
          <w:tcPr>
            <w:tcW w:w="463" w:type="pct"/>
            <w:tcBorders>
              <w:top w:val="nil"/>
              <w:left w:val="single" w:color="auto" w:sz="4" w:space="0"/>
              <w:bottom w:val="single" w:color="auto" w:sz="4" w:space="0"/>
              <w:right w:val="single" w:color="auto" w:sz="4" w:space="0"/>
            </w:tcBorders>
            <w:noWrap/>
            <w:vAlign w:val="center"/>
          </w:tcPr>
          <w:p w14:paraId="6AA73EF7">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902" w:type="pct"/>
            <w:tcBorders>
              <w:top w:val="nil"/>
              <w:left w:val="nil"/>
              <w:bottom w:val="single" w:color="auto" w:sz="4" w:space="0"/>
              <w:right w:val="single" w:color="auto" w:sz="4" w:space="0"/>
            </w:tcBorders>
            <w:noWrap/>
            <w:vAlign w:val="center"/>
          </w:tcPr>
          <w:p w14:paraId="11EE17B4">
            <w:pPr>
              <w:widowControl/>
              <w:jc w:val="center"/>
              <w:rPr>
                <w:rFonts w:hint="eastAsia" w:ascii="宋体" w:hAnsi="宋体" w:cs="宋体"/>
                <w:kern w:val="0"/>
                <w:sz w:val="22"/>
                <w:szCs w:val="22"/>
              </w:rPr>
            </w:pPr>
            <w:r>
              <w:rPr>
                <w:rFonts w:hint="eastAsia" w:ascii="宋体" w:hAnsi="宋体" w:cs="宋体"/>
                <w:kern w:val="0"/>
                <w:sz w:val="22"/>
                <w:szCs w:val="22"/>
              </w:rPr>
              <w:t>光纤跳线</w:t>
            </w:r>
          </w:p>
        </w:tc>
        <w:tc>
          <w:tcPr>
            <w:tcW w:w="2710" w:type="pct"/>
            <w:tcBorders>
              <w:top w:val="nil"/>
              <w:left w:val="nil"/>
              <w:bottom w:val="single" w:color="auto" w:sz="4" w:space="0"/>
              <w:right w:val="single" w:color="auto" w:sz="4" w:space="0"/>
            </w:tcBorders>
            <w:noWrap/>
            <w:vAlign w:val="center"/>
          </w:tcPr>
          <w:p w14:paraId="7B4169F1">
            <w:pPr>
              <w:widowControl/>
              <w:jc w:val="center"/>
              <w:rPr>
                <w:rFonts w:hint="eastAsia" w:ascii="宋体" w:hAnsi="宋体" w:cs="宋体"/>
                <w:kern w:val="0"/>
                <w:sz w:val="22"/>
                <w:szCs w:val="22"/>
              </w:rPr>
            </w:pPr>
            <w:r>
              <w:rPr>
                <w:rFonts w:hint="eastAsia" w:ascii="宋体" w:hAnsi="宋体" w:cs="宋体"/>
                <w:kern w:val="0"/>
                <w:sz w:val="22"/>
                <w:szCs w:val="22"/>
              </w:rPr>
              <w:t>3米光纤跳线</w:t>
            </w:r>
          </w:p>
        </w:tc>
        <w:tc>
          <w:tcPr>
            <w:tcW w:w="463" w:type="pct"/>
            <w:tcBorders>
              <w:top w:val="nil"/>
              <w:left w:val="nil"/>
              <w:bottom w:val="single" w:color="auto" w:sz="4" w:space="0"/>
              <w:right w:val="single" w:color="auto" w:sz="4" w:space="0"/>
            </w:tcBorders>
            <w:noWrap/>
            <w:vAlign w:val="center"/>
          </w:tcPr>
          <w:p w14:paraId="184CE3E6">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463" w:type="pct"/>
            <w:tcBorders>
              <w:top w:val="nil"/>
              <w:left w:val="nil"/>
              <w:bottom w:val="single" w:color="auto" w:sz="4" w:space="0"/>
              <w:right w:val="single" w:color="auto" w:sz="4" w:space="0"/>
            </w:tcBorders>
            <w:noWrap/>
            <w:vAlign w:val="center"/>
          </w:tcPr>
          <w:p w14:paraId="4994D262">
            <w:pPr>
              <w:widowControl/>
              <w:jc w:val="center"/>
              <w:rPr>
                <w:rFonts w:hint="eastAsia" w:ascii="宋体" w:hAnsi="宋体" w:cs="宋体"/>
                <w:kern w:val="0"/>
                <w:sz w:val="22"/>
                <w:szCs w:val="22"/>
              </w:rPr>
            </w:pPr>
            <w:r>
              <w:rPr>
                <w:rFonts w:hint="eastAsia" w:ascii="宋体" w:hAnsi="宋体" w:cs="宋体"/>
                <w:kern w:val="0"/>
                <w:sz w:val="22"/>
                <w:szCs w:val="22"/>
              </w:rPr>
              <w:t>根</w:t>
            </w:r>
          </w:p>
        </w:tc>
      </w:tr>
      <w:tr w14:paraId="57E77C8E">
        <w:tblPrEx>
          <w:tblCellMar>
            <w:top w:w="0" w:type="dxa"/>
            <w:left w:w="108" w:type="dxa"/>
            <w:bottom w:w="0" w:type="dxa"/>
            <w:right w:w="108" w:type="dxa"/>
          </w:tblCellMar>
        </w:tblPrEx>
        <w:trPr>
          <w:trHeight w:val="285" w:hRule="atLeast"/>
        </w:trPr>
        <w:tc>
          <w:tcPr>
            <w:tcW w:w="463" w:type="pct"/>
            <w:tcBorders>
              <w:top w:val="nil"/>
              <w:left w:val="single" w:color="auto" w:sz="4" w:space="0"/>
              <w:bottom w:val="single" w:color="auto" w:sz="4" w:space="0"/>
              <w:right w:val="single" w:color="auto" w:sz="4" w:space="0"/>
            </w:tcBorders>
            <w:noWrap/>
            <w:vAlign w:val="center"/>
          </w:tcPr>
          <w:p w14:paraId="5B86A6BB">
            <w:pPr>
              <w:widowControl/>
              <w:jc w:val="center"/>
              <w:rPr>
                <w:rFonts w:hint="eastAsia" w:ascii="宋体" w:hAnsi="宋体" w:cs="宋体"/>
                <w:kern w:val="0"/>
                <w:sz w:val="22"/>
                <w:szCs w:val="22"/>
              </w:rPr>
            </w:pPr>
            <w:r>
              <w:rPr>
                <w:rFonts w:hint="eastAsia" w:ascii="宋体" w:hAnsi="宋体" w:cs="宋体"/>
                <w:kern w:val="0"/>
                <w:sz w:val="22"/>
                <w:szCs w:val="22"/>
              </w:rPr>
              <w:t>9</w:t>
            </w:r>
          </w:p>
        </w:tc>
        <w:tc>
          <w:tcPr>
            <w:tcW w:w="902" w:type="pct"/>
            <w:tcBorders>
              <w:top w:val="nil"/>
              <w:left w:val="nil"/>
              <w:bottom w:val="single" w:color="auto" w:sz="4" w:space="0"/>
              <w:right w:val="single" w:color="auto" w:sz="4" w:space="0"/>
            </w:tcBorders>
            <w:noWrap/>
            <w:vAlign w:val="center"/>
          </w:tcPr>
          <w:p w14:paraId="5C822B59">
            <w:pPr>
              <w:widowControl/>
              <w:jc w:val="center"/>
              <w:rPr>
                <w:rFonts w:hint="eastAsia" w:ascii="宋体" w:hAnsi="宋体" w:cs="宋体"/>
                <w:kern w:val="0"/>
                <w:sz w:val="22"/>
                <w:szCs w:val="22"/>
              </w:rPr>
            </w:pPr>
            <w:r>
              <w:rPr>
                <w:rFonts w:hint="eastAsia" w:ascii="宋体" w:hAnsi="宋体" w:cs="宋体"/>
                <w:kern w:val="0"/>
                <w:sz w:val="22"/>
                <w:szCs w:val="22"/>
              </w:rPr>
              <w:t>光纤跳线</w:t>
            </w:r>
          </w:p>
        </w:tc>
        <w:tc>
          <w:tcPr>
            <w:tcW w:w="2710" w:type="pct"/>
            <w:tcBorders>
              <w:top w:val="nil"/>
              <w:left w:val="nil"/>
              <w:bottom w:val="single" w:color="auto" w:sz="4" w:space="0"/>
              <w:right w:val="single" w:color="auto" w:sz="4" w:space="0"/>
            </w:tcBorders>
            <w:noWrap/>
            <w:vAlign w:val="center"/>
          </w:tcPr>
          <w:p w14:paraId="5DCC0851">
            <w:pPr>
              <w:widowControl/>
              <w:jc w:val="center"/>
              <w:rPr>
                <w:rFonts w:hint="eastAsia" w:ascii="宋体" w:hAnsi="宋体" w:cs="宋体"/>
                <w:kern w:val="0"/>
                <w:sz w:val="22"/>
                <w:szCs w:val="22"/>
              </w:rPr>
            </w:pPr>
            <w:r>
              <w:rPr>
                <w:rFonts w:hint="eastAsia" w:ascii="宋体" w:hAnsi="宋体" w:cs="宋体"/>
                <w:kern w:val="0"/>
                <w:sz w:val="22"/>
                <w:szCs w:val="22"/>
              </w:rPr>
              <w:t>10米光纤跳线</w:t>
            </w:r>
          </w:p>
        </w:tc>
        <w:tc>
          <w:tcPr>
            <w:tcW w:w="463" w:type="pct"/>
            <w:tcBorders>
              <w:top w:val="nil"/>
              <w:left w:val="nil"/>
              <w:bottom w:val="single" w:color="auto" w:sz="4" w:space="0"/>
              <w:right w:val="single" w:color="auto" w:sz="4" w:space="0"/>
            </w:tcBorders>
            <w:noWrap/>
            <w:vAlign w:val="center"/>
          </w:tcPr>
          <w:p w14:paraId="0921924D">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463" w:type="pct"/>
            <w:tcBorders>
              <w:top w:val="nil"/>
              <w:left w:val="nil"/>
              <w:bottom w:val="single" w:color="auto" w:sz="4" w:space="0"/>
              <w:right w:val="single" w:color="auto" w:sz="4" w:space="0"/>
            </w:tcBorders>
            <w:noWrap/>
            <w:vAlign w:val="center"/>
          </w:tcPr>
          <w:p w14:paraId="450CFCE5">
            <w:pPr>
              <w:widowControl/>
              <w:jc w:val="center"/>
              <w:rPr>
                <w:rFonts w:hint="eastAsia" w:ascii="宋体" w:hAnsi="宋体" w:cs="宋体"/>
                <w:kern w:val="0"/>
                <w:sz w:val="22"/>
                <w:szCs w:val="22"/>
              </w:rPr>
            </w:pPr>
            <w:r>
              <w:rPr>
                <w:rFonts w:hint="eastAsia" w:ascii="宋体" w:hAnsi="宋体" w:cs="宋体"/>
                <w:kern w:val="0"/>
                <w:sz w:val="22"/>
                <w:szCs w:val="22"/>
              </w:rPr>
              <w:t>根</w:t>
            </w:r>
          </w:p>
        </w:tc>
      </w:tr>
      <w:tr w14:paraId="0652E140">
        <w:tblPrEx>
          <w:tblCellMar>
            <w:top w:w="0" w:type="dxa"/>
            <w:left w:w="108" w:type="dxa"/>
            <w:bottom w:w="0" w:type="dxa"/>
            <w:right w:w="108" w:type="dxa"/>
          </w:tblCellMar>
        </w:tblPrEx>
        <w:trPr>
          <w:trHeight w:val="285" w:hRule="atLeast"/>
        </w:trPr>
        <w:tc>
          <w:tcPr>
            <w:tcW w:w="463" w:type="pct"/>
            <w:tcBorders>
              <w:top w:val="nil"/>
              <w:left w:val="single" w:color="auto" w:sz="4" w:space="0"/>
              <w:bottom w:val="single" w:color="auto" w:sz="4" w:space="0"/>
              <w:right w:val="single" w:color="auto" w:sz="4" w:space="0"/>
            </w:tcBorders>
            <w:noWrap/>
            <w:vAlign w:val="center"/>
          </w:tcPr>
          <w:p w14:paraId="1130221B">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902" w:type="pct"/>
            <w:tcBorders>
              <w:top w:val="nil"/>
              <w:left w:val="nil"/>
              <w:bottom w:val="single" w:color="auto" w:sz="4" w:space="0"/>
              <w:right w:val="single" w:color="auto" w:sz="4" w:space="0"/>
            </w:tcBorders>
            <w:noWrap/>
            <w:vAlign w:val="center"/>
          </w:tcPr>
          <w:p w14:paraId="379FA48E">
            <w:pPr>
              <w:widowControl/>
              <w:jc w:val="center"/>
              <w:rPr>
                <w:rFonts w:hint="eastAsia" w:ascii="宋体" w:hAnsi="宋体" w:cs="宋体"/>
                <w:kern w:val="0"/>
                <w:sz w:val="22"/>
                <w:szCs w:val="22"/>
              </w:rPr>
            </w:pPr>
            <w:r>
              <w:rPr>
                <w:rFonts w:hint="eastAsia" w:ascii="宋体" w:hAnsi="宋体" w:cs="宋体"/>
                <w:kern w:val="0"/>
                <w:sz w:val="22"/>
                <w:szCs w:val="22"/>
              </w:rPr>
              <w:t>配线架</w:t>
            </w:r>
          </w:p>
        </w:tc>
        <w:tc>
          <w:tcPr>
            <w:tcW w:w="2710" w:type="pct"/>
            <w:tcBorders>
              <w:top w:val="nil"/>
              <w:left w:val="nil"/>
              <w:bottom w:val="single" w:color="auto" w:sz="4" w:space="0"/>
              <w:right w:val="single" w:color="auto" w:sz="4" w:space="0"/>
            </w:tcBorders>
            <w:noWrap/>
            <w:vAlign w:val="center"/>
          </w:tcPr>
          <w:p w14:paraId="2B834F4E">
            <w:pPr>
              <w:widowControl/>
              <w:jc w:val="center"/>
              <w:rPr>
                <w:rFonts w:hint="eastAsia" w:ascii="宋体" w:hAnsi="宋体" w:cs="宋体"/>
                <w:kern w:val="0"/>
                <w:sz w:val="22"/>
                <w:szCs w:val="22"/>
              </w:rPr>
            </w:pPr>
            <w:r>
              <w:rPr>
                <w:rFonts w:hint="eastAsia" w:ascii="宋体" w:hAnsi="宋体" w:cs="宋体"/>
                <w:kern w:val="0"/>
                <w:sz w:val="22"/>
                <w:szCs w:val="22"/>
              </w:rPr>
              <w:t>24口配线架带模块</w:t>
            </w:r>
          </w:p>
        </w:tc>
        <w:tc>
          <w:tcPr>
            <w:tcW w:w="463" w:type="pct"/>
            <w:tcBorders>
              <w:top w:val="nil"/>
              <w:left w:val="nil"/>
              <w:bottom w:val="single" w:color="auto" w:sz="4" w:space="0"/>
              <w:right w:val="single" w:color="auto" w:sz="4" w:space="0"/>
            </w:tcBorders>
            <w:noWrap/>
            <w:vAlign w:val="center"/>
          </w:tcPr>
          <w:p w14:paraId="57C15640">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463" w:type="pct"/>
            <w:tcBorders>
              <w:top w:val="nil"/>
              <w:left w:val="nil"/>
              <w:bottom w:val="single" w:color="auto" w:sz="4" w:space="0"/>
              <w:right w:val="single" w:color="auto" w:sz="4" w:space="0"/>
            </w:tcBorders>
            <w:noWrap/>
            <w:vAlign w:val="center"/>
          </w:tcPr>
          <w:p w14:paraId="0BD57838">
            <w:pPr>
              <w:widowControl/>
              <w:jc w:val="center"/>
              <w:rPr>
                <w:rFonts w:hint="eastAsia" w:ascii="宋体" w:hAnsi="宋体" w:cs="宋体"/>
                <w:kern w:val="0"/>
                <w:sz w:val="22"/>
                <w:szCs w:val="22"/>
              </w:rPr>
            </w:pPr>
            <w:r>
              <w:rPr>
                <w:rFonts w:hint="eastAsia" w:ascii="宋体" w:hAnsi="宋体" w:cs="宋体"/>
                <w:kern w:val="0"/>
                <w:sz w:val="22"/>
                <w:szCs w:val="22"/>
              </w:rPr>
              <w:t>个</w:t>
            </w:r>
          </w:p>
        </w:tc>
      </w:tr>
      <w:tr w14:paraId="63CB3C99">
        <w:tblPrEx>
          <w:tblCellMar>
            <w:top w:w="0" w:type="dxa"/>
            <w:left w:w="108" w:type="dxa"/>
            <w:bottom w:w="0" w:type="dxa"/>
            <w:right w:w="108" w:type="dxa"/>
          </w:tblCellMar>
        </w:tblPrEx>
        <w:trPr>
          <w:trHeight w:val="285" w:hRule="atLeast"/>
        </w:trPr>
        <w:tc>
          <w:tcPr>
            <w:tcW w:w="463" w:type="pct"/>
            <w:tcBorders>
              <w:top w:val="nil"/>
              <w:left w:val="single" w:color="auto" w:sz="4" w:space="0"/>
              <w:bottom w:val="single" w:color="auto" w:sz="4" w:space="0"/>
              <w:right w:val="single" w:color="auto" w:sz="4" w:space="0"/>
            </w:tcBorders>
            <w:noWrap/>
            <w:vAlign w:val="center"/>
          </w:tcPr>
          <w:p w14:paraId="4ED5E708">
            <w:pPr>
              <w:widowControl/>
              <w:jc w:val="center"/>
              <w:rPr>
                <w:rFonts w:hint="eastAsia" w:ascii="宋体" w:hAnsi="宋体" w:cs="宋体"/>
                <w:kern w:val="0"/>
                <w:sz w:val="22"/>
                <w:szCs w:val="22"/>
              </w:rPr>
            </w:pPr>
            <w:r>
              <w:rPr>
                <w:rFonts w:hint="eastAsia" w:ascii="宋体" w:hAnsi="宋体" w:cs="宋体"/>
                <w:kern w:val="0"/>
                <w:sz w:val="22"/>
                <w:szCs w:val="22"/>
              </w:rPr>
              <w:t>11</w:t>
            </w:r>
          </w:p>
        </w:tc>
        <w:tc>
          <w:tcPr>
            <w:tcW w:w="902" w:type="pct"/>
            <w:tcBorders>
              <w:top w:val="nil"/>
              <w:left w:val="nil"/>
              <w:bottom w:val="single" w:color="auto" w:sz="4" w:space="0"/>
              <w:right w:val="single" w:color="auto" w:sz="4" w:space="0"/>
            </w:tcBorders>
            <w:noWrap/>
            <w:vAlign w:val="center"/>
          </w:tcPr>
          <w:p w14:paraId="20740A73">
            <w:pPr>
              <w:widowControl/>
              <w:jc w:val="center"/>
              <w:rPr>
                <w:rFonts w:hint="eastAsia" w:ascii="宋体" w:hAnsi="宋体" w:cs="宋体"/>
                <w:kern w:val="0"/>
                <w:sz w:val="22"/>
                <w:szCs w:val="22"/>
              </w:rPr>
            </w:pPr>
            <w:r>
              <w:rPr>
                <w:rFonts w:hint="eastAsia" w:ascii="宋体" w:hAnsi="宋体" w:cs="宋体"/>
                <w:kern w:val="0"/>
                <w:sz w:val="22"/>
                <w:szCs w:val="22"/>
              </w:rPr>
              <w:t>配件</w:t>
            </w:r>
          </w:p>
        </w:tc>
        <w:tc>
          <w:tcPr>
            <w:tcW w:w="2710" w:type="pct"/>
            <w:tcBorders>
              <w:top w:val="nil"/>
              <w:left w:val="nil"/>
              <w:bottom w:val="single" w:color="auto" w:sz="4" w:space="0"/>
              <w:right w:val="single" w:color="auto" w:sz="4" w:space="0"/>
            </w:tcBorders>
            <w:noWrap/>
            <w:vAlign w:val="center"/>
          </w:tcPr>
          <w:p w14:paraId="478352E2">
            <w:pPr>
              <w:widowControl/>
              <w:jc w:val="center"/>
              <w:rPr>
                <w:rFonts w:hint="eastAsia" w:ascii="宋体" w:hAnsi="宋体" w:cs="宋体"/>
                <w:kern w:val="0"/>
                <w:sz w:val="22"/>
                <w:szCs w:val="22"/>
              </w:rPr>
            </w:pPr>
            <w:r>
              <w:rPr>
                <w:rFonts w:hint="eastAsia" w:ascii="宋体" w:hAnsi="宋体" w:cs="宋体"/>
                <w:kern w:val="0"/>
                <w:sz w:val="22"/>
                <w:szCs w:val="22"/>
              </w:rPr>
              <w:t>水晶头，扎带，胶布，标签，桥架</w:t>
            </w:r>
          </w:p>
        </w:tc>
        <w:tc>
          <w:tcPr>
            <w:tcW w:w="463" w:type="pct"/>
            <w:tcBorders>
              <w:top w:val="nil"/>
              <w:left w:val="nil"/>
              <w:bottom w:val="single" w:color="auto" w:sz="4" w:space="0"/>
              <w:right w:val="single" w:color="auto" w:sz="4" w:space="0"/>
            </w:tcBorders>
            <w:noWrap/>
            <w:vAlign w:val="center"/>
          </w:tcPr>
          <w:p w14:paraId="5E43CB7C">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463" w:type="pct"/>
            <w:tcBorders>
              <w:top w:val="nil"/>
              <w:left w:val="nil"/>
              <w:bottom w:val="single" w:color="auto" w:sz="4" w:space="0"/>
              <w:right w:val="single" w:color="auto" w:sz="4" w:space="0"/>
            </w:tcBorders>
            <w:noWrap/>
            <w:vAlign w:val="center"/>
          </w:tcPr>
          <w:p w14:paraId="7C873A3E">
            <w:pPr>
              <w:widowControl/>
              <w:jc w:val="center"/>
              <w:rPr>
                <w:rFonts w:hint="eastAsia" w:ascii="宋体" w:hAnsi="宋体" w:cs="宋体"/>
                <w:kern w:val="0"/>
                <w:sz w:val="22"/>
                <w:szCs w:val="22"/>
              </w:rPr>
            </w:pPr>
            <w:r>
              <w:rPr>
                <w:rFonts w:hint="eastAsia" w:ascii="宋体" w:hAnsi="宋体" w:cs="宋体"/>
                <w:kern w:val="0"/>
                <w:sz w:val="22"/>
                <w:szCs w:val="22"/>
              </w:rPr>
              <w:t>批</w:t>
            </w:r>
          </w:p>
        </w:tc>
      </w:tr>
    </w:tbl>
    <w:p w14:paraId="4058E2D4">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二、交货地点：湖北省烟草公司天门市公司。</w:t>
      </w:r>
    </w:p>
    <w:p w14:paraId="7AD445DE">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三、交货期限：合同生效后7日内需完成供货。</w:t>
      </w:r>
    </w:p>
    <w:p w14:paraId="6EB4879B">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29C36D3B">
      <w:pPr>
        <w:adjustRightInd w:val="0"/>
        <w:snapToGrid w:val="0"/>
        <w:spacing w:line="360" w:lineRule="auto"/>
        <w:ind w:firstLine="440" w:firstLineChars="200"/>
        <w:rPr>
          <w:rFonts w:hint="eastAsia" w:ascii="宋体" w:hAnsi="宋体" w:cs="仿宋_GB2312"/>
          <w:sz w:val="22"/>
          <w:szCs w:val="22"/>
        </w:rPr>
      </w:pPr>
      <w:bookmarkStart w:id="1" w:name="_Hlk195607267"/>
      <w:r>
        <w:rPr>
          <w:rFonts w:hint="eastAsia" w:ascii="宋体" w:hAnsi="宋体" w:cs="仿宋_GB2312"/>
          <w:sz w:val="22"/>
          <w:szCs w:val="22"/>
        </w:rPr>
        <w:t xml:space="preserve">设备到货并经甲乙双方验收合格后，由供应商单位开具全额增值税专用发票，甲方收到发票后30个工作日内支付合同金额的全款。 </w:t>
      </w:r>
    </w:p>
    <w:bookmarkEnd w:id="1"/>
    <w:p w14:paraId="219D409B">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45AD0DCA">
      <w:pPr>
        <w:adjustRightInd w:val="0"/>
        <w:snapToGrid w:val="0"/>
        <w:spacing w:line="360" w:lineRule="auto"/>
        <w:ind w:firstLine="440" w:firstLineChars="200"/>
        <w:rPr>
          <w:rFonts w:hint="eastAsia" w:ascii="宋体" w:hAnsi="宋体" w:cs="仿宋_GB2312"/>
          <w:sz w:val="22"/>
          <w:szCs w:val="22"/>
        </w:rPr>
      </w:pPr>
      <w:bookmarkStart w:id="2" w:name="_Hlk195607323"/>
      <w:r>
        <w:rPr>
          <w:rFonts w:hint="eastAsia" w:ascii="宋体" w:hAnsi="宋体" w:cs="仿宋_GB2312"/>
          <w:sz w:val="22"/>
          <w:szCs w:val="22"/>
        </w:rPr>
        <w:t>1.所提供的货物及产品应符合国家相关生产标准，如采用假冒伪劣产品，应无偿更换，因此造成直接或间接损失的应由乙方承担，货物安装实施应按项目属性对应的国家标准、规范完成现场安装实施工作，确保项目整体质量达标。</w:t>
      </w:r>
    </w:p>
    <w:p w14:paraId="2600B81A">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2.供应商提供给我方的本项目下的所有设备均应通过工厂严格测试和检验，设备必须是全新的，不存在质量问题或二次销售情形。</w:t>
      </w:r>
    </w:p>
    <w:p w14:paraId="764452C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3.供应商需配合我方完成安装集成工作，保证项目顺利进行。</w:t>
      </w:r>
    </w:p>
    <w:bookmarkEnd w:id="2"/>
    <w:p w14:paraId="7CA906FD">
      <w:pPr>
        <w:spacing w:line="360" w:lineRule="auto"/>
        <w:rPr>
          <w:rFonts w:ascii="宋体" w:hAnsi="宋体" w:cs="仿宋_GB2312"/>
          <w:sz w:val="22"/>
          <w:szCs w:val="22"/>
        </w:rPr>
      </w:pPr>
      <w:r>
        <w:rPr>
          <w:rFonts w:hint="eastAsia" w:ascii="宋体" w:hAnsi="宋体" w:cs="仿宋_GB2312"/>
          <w:sz w:val="22"/>
          <w:szCs w:val="22"/>
        </w:rPr>
        <w:t>六、</w:t>
      </w:r>
      <w:bookmarkStart w:id="3" w:name="_Hlk195606140"/>
      <w:r>
        <w:rPr>
          <w:rFonts w:hint="eastAsia" w:ascii="宋体" w:hAnsi="宋体" w:cs="仿宋_GB2312"/>
          <w:sz w:val="22"/>
          <w:szCs w:val="22"/>
        </w:rPr>
        <w:t>验收标准及方法</w:t>
      </w:r>
      <w:bookmarkEnd w:id="3"/>
      <w:r>
        <w:rPr>
          <w:rFonts w:hint="eastAsia" w:ascii="宋体" w:hAnsi="宋体" w:cs="仿宋_GB2312"/>
          <w:sz w:val="22"/>
          <w:szCs w:val="22"/>
        </w:rPr>
        <w:t>：</w:t>
      </w:r>
    </w:p>
    <w:p w14:paraId="63A24CD6">
      <w:pPr>
        <w:adjustRightInd w:val="0"/>
        <w:snapToGrid w:val="0"/>
        <w:spacing w:line="360" w:lineRule="auto"/>
        <w:ind w:firstLine="440" w:firstLineChars="200"/>
        <w:rPr>
          <w:rFonts w:hint="eastAsia" w:ascii="宋体" w:hAnsi="宋体" w:cs="仿宋_GB2312"/>
          <w:sz w:val="22"/>
          <w:szCs w:val="22"/>
        </w:rPr>
      </w:pPr>
      <w:bookmarkStart w:id="4" w:name="_Hlk218610174"/>
      <w:bookmarkStart w:id="5" w:name="_Hlk218609720"/>
      <w:r>
        <w:rPr>
          <w:rFonts w:hint="eastAsia" w:ascii="宋体" w:hAnsi="宋体" w:cs="仿宋_GB2312"/>
          <w:sz w:val="22"/>
          <w:szCs w:val="22"/>
        </w:rPr>
        <w:t>1.验收方法：一次验收。</w:t>
      </w:r>
    </w:p>
    <w:p w14:paraId="3B1A16E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2.验收条件：乙方在合同约定时间内完成供货。</w:t>
      </w:r>
    </w:p>
    <w:p w14:paraId="4F4BBB5A">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3.验收内容：双方签订项目验收报告(含设备到货确认单）。</w:t>
      </w:r>
    </w:p>
    <w:p w14:paraId="4904F2F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4.验收标准：</w:t>
      </w:r>
    </w:p>
    <w:p w14:paraId="57D7106F">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4.1、乙方所供货物是否符合本合同的约定；</w:t>
      </w:r>
    </w:p>
    <w:p w14:paraId="0CF4A50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4.2、乙方是否按照合同约定安装完成并投入正常使用；</w:t>
      </w:r>
    </w:p>
    <w:p w14:paraId="36F17FF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5.验收时间：货到后30日内</w:t>
      </w:r>
      <w:bookmarkEnd w:id="4"/>
      <w:r>
        <w:rPr>
          <w:rFonts w:hint="eastAsia" w:ascii="宋体" w:hAnsi="宋体" w:cs="仿宋_GB2312"/>
          <w:sz w:val="22"/>
          <w:szCs w:val="22"/>
        </w:rPr>
        <w:t>。</w:t>
      </w:r>
    </w:p>
    <w:bookmarkEnd w:id="5"/>
    <w:p w14:paraId="53E4AA13">
      <w:pPr>
        <w:spacing w:line="360" w:lineRule="auto"/>
        <w:rPr>
          <w:rFonts w:ascii="宋体" w:hAnsi="宋体" w:cs="仿宋_GB2312"/>
          <w:sz w:val="22"/>
          <w:szCs w:val="22"/>
        </w:rPr>
      </w:pPr>
      <w:r>
        <w:rPr>
          <w:rFonts w:hint="eastAsia" w:ascii="宋体" w:hAnsi="宋体" w:cs="仿宋_GB2312"/>
          <w:sz w:val="22"/>
          <w:szCs w:val="22"/>
        </w:rPr>
        <w:t>七、售后服务</w:t>
      </w:r>
    </w:p>
    <w:p w14:paraId="4034C049">
      <w:pPr>
        <w:adjustRightInd w:val="0"/>
        <w:snapToGrid w:val="0"/>
        <w:spacing w:line="360" w:lineRule="auto"/>
        <w:ind w:firstLine="440" w:firstLineChars="200"/>
        <w:rPr>
          <w:rFonts w:hint="eastAsia" w:ascii="宋体" w:hAnsi="宋体" w:cs="仿宋_GB2312"/>
          <w:sz w:val="22"/>
          <w:szCs w:val="22"/>
        </w:rPr>
      </w:pPr>
      <w:bookmarkStart w:id="6" w:name="_Hlk207896899"/>
      <w:r>
        <w:rPr>
          <w:rFonts w:hint="eastAsia" w:ascii="宋体" w:hAnsi="宋体" w:cs="仿宋_GB2312"/>
          <w:sz w:val="22"/>
          <w:szCs w:val="22"/>
        </w:rPr>
        <w:t>1、</w:t>
      </w:r>
      <w:bookmarkStart w:id="7" w:name="_Hlk211332617"/>
      <w:r>
        <w:rPr>
          <w:rFonts w:hint="eastAsia" w:ascii="宋体" w:hAnsi="宋体" w:cs="仿宋_GB2312"/>
          <w:sz w:val="22"/>
          <w:szCs w:val="22"/>
        </w:rPr>
        <w:t>本项目售后服务期：自项目验收合格之日起</w:t>
      </w:r>
      <w:r>
        <w:rPr>
          <w:rFonts w:hint="eastAsia" w:ascii="宋体" w:hAnsi="宋体" w:cs="仿宋_GB2312"/>
          <w:sz w:val="22"/>
          <w:szCs w:val="22"/>
          <w:lang w:val="en-US" w:eastAsia="zh-CN"/>
        </w:rPr>
        <w:t>1</w:t>
      </w:r>
      <w:r>
        <w:rPr>
          <w:rFonts w:hint="eastAsia" w:ascii="宋体" w:hAnsi="宋体" w:cs="仿宋_GB2312"/>
          <w:sz w:val="22"/>
          <w:szCs w:val="22"/>
        </w:rPr>
        <w:t>年</w:t>
      </w:r>
      <w:bookmarkEnd w:id="7"/>
      <w:r>
        <w:rPr>
          <w:rFonts w:hint="eastAsia" w:ascii="宋体" w:hAnsi="宋体" w:cs="仿宋_GB2312"/>
          <w:sz w:val="22"/>
          <w:szCs w:val="22"/>
        </w:rPr>
        <w:t>。</w:t>
      </w:r>
    </w:p>
    <w:p w14:paraId="089198F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售后服务期内，乙方应提1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2498FAC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3、在售后服务期内，如果由于乙方的责任，合同设备功能不能达到或者合同设备不能进行正常运行，质保期将按照上述问题持续的时间作相应延长。</w:t>
      </w:r>
    </w:p>
    <w:p w14:paraId="5A026EB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4、在售后服务期内，为了提供合同设备的维护，在收到甲方的书面或电话通知后，乙方应迅速免费（包括免收但不限于免收运费、保险费、包装费用）补充或更换设备中有故障的部件。</w:t>
      </w:r>
    </w:p>
    <w:p w14:paraId="4B49AD9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5、在售后服务期内，乙方将指定1名技术人员作为项目固定支持人员，如果该类人员出现交替乙方须提前一周告知甲方。</w:t>
      </w:r>
    </w:p>
    <w:p w14:paraId="6BC0EEBD">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6、合同售后服务期满后，如甲方有要求，乙方有义务继续以优惠价格向甲方提供与本合同设备相兼容的性能不低于原部件并能使合同设备正常运行的零部件</w:t>
      </w:r>
      <w:bookmarkEnd w:id="6"/>
      <w:r>
        <w:rPr>
          <w:rFonts w:hint="eastAsia" w:ascii="宋体" w:hAnsi="宋体" w:cs="仿宋_GB2312"/>
          <w:sz w:val="22"/>
          <w:szCs w:val="22"/>
        </w:rPr>
        <w:t>。</w:t>
      </w:r>
    </w:p>
    <w:p w14:paraId="23EE4370"/>
    <w:p w14:paraId="44593DF9">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000D7"/>
    <w:rsid w:val="2B200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2026-04-08T08:53:00Z</dcterms:created>
  <dc:creator>哈哈</dc:creator>
  <cp:lastModifiedBy>哈哈</cp:lastModifiedBy>
  <dcterms:modified xsi:type="dcterms:W3CDTF">2026-04-08T08:53:25Z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1D738B5129F34E56AFA363C55065F5AA_11</vt:lpwstr>
  </property>
  <property fmtid="{D5CDD505-2E9C-101B-9397-08002B2CF9AE}" pid="4" name="KSOTemplateDocerSaveRecord">
    <vt:lpwstr>eyJoZGlkIjoiMjdjMjgyNTRmOWI1N2E3NzI0MzBmNTBkY2M4MzUyYTkiLCJ1c2VySWQiOiI0MDQwNzE2MzYifQ==</vt:lpwstr>
  </property>
</Properties>
</file>