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D5EC4">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46CCE6F5">
      <w:r>
        <w:rPr>
          <w:rFonts w:hint="eastAsia"/>
        </w:rPr>
        <w:t>一、采购内容明细</w:t>
      </w:r>
    </w:p>
    <w:tbl>
      <w:tblPr>
        <w:tblStyle w:val="3"/>
        <w:tblW w:w="5000" w:type="pct"/>
        <w:tblInd w:w="0" w:type="dxa"/>
        <w:tblLayout w:type="autofit"/>
        <w:tblCellMar>
          <w:top w:w="0" w:type="dxa"/>
          <w:left w:w="108" w:type="dxa"/>
          <w:bottom w:w="0" w:type="dxa"/>
          <w:right w:w="108" w:type="dxa"/>
        </w:tblCellMar>
      </w:tblPr>
      <w:tblGrid>
        <w:gridCol w:w="542"/>
        <w:gridCol w:w="724"/>
        <w:gridCol w:w="6618"/>
        <w:gridCol w:w="638"/>
      </w:tblGrid>
      <w:tr w14:paraId="08FA0FF9">
        <w:tblPrEx>
          <w:tblCellMar>
            <w:top w:w="0" w:type="dxa"/>
            <w:left w:w="108" w:type="dxa"/>
            <w:bottom w:w="0" w:type="dxa"/>
            <w:right w:w="108" w:type="dxa"/>
          </w:tblCellMar>
        </w:tblPrEx>
        <w:trPr>
          <w:trHeight w:val="439" w:hRule="atLeast"/>
        </w:trPr>
        <w:tc>
          <w:tcPr>
            <w:tcW w:w="318" w:type="pct"/>
            <w:tcBorders>
              <w:top w:val="single" w:color="auto" w:sz="4" w:space="0"/>
              <w:left w:val="single" w:color="auto" w:sz="4" w:space="0"/>
              <w:bottom w:val="single" w:color="auto" w:sz="4" w:space="0"/>
              <w:right w:val="single" w:color="auto" w:sz="4" w:space="0"/>
            </w:tcBorders>
            <w:shd w:val="clear" w:color="000000" w:fill="D0CECE"/>
            <w:noWrap w:val="0"/>
            <w:vAlign w:val="center"/>
          </w:tcPr>
          <w:p w14:paraId="3D60E263">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425" w:type="pct"/>
            <w:tcBorders>
              <w:top w:val="single" w:color="auto" w:sz="4" w:space="0"/>
              <w:left w:val="nil"/>
              <w:bottom w:val="single" w:color="auto" w:sz="4" w:space="0"/>
              <w:right w:val="single" w:color="auto" w:sz="4" w:space="0"/>
            </w:tcBorders>
            <w:shd w:val="clear" w:color="000000" w:fill="D0CECE"/>
            <w:noWrap w:val="0"/>
            <w:vAlign w:val="center"/>
          </w:tcPr>
          <w:p w14:paraId="413D50BF">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服务名称</w:t>
            </w:r>
          </w:p>
        </w:tc>
        <w:tc>
          <w:tcPr>
            <w:tcW w:w="3883" w:type="pct"/>
            <w:tcBorders>
              <w:top w:val="single" w:color="auto" w:sz="4" w:space="0"/>
              <w:left w:val="nil"/>
              <w:bottom w:val="single" w:color="auto" w:sz="4" w:space="0"/>
              <w:right w:val="single" w:color="auto" w:sz="4" w:space="0"/>
            </w:tcBorders>
            <w:shd w:val="clear" w:color="000000" w:fill="D0CECE"/>
            <w:noWrap w:val="0"/>
            <w:vAlign w:val="center"/>
          </w:tcPr>
          <w:p w14:paraId="6877C84C">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服务内容</w:t>
            </w:r>
          </w:p>
        </w:tc>
        <w:tc>
          <w:tcPr>
            <w:tcW w:w="374" w:type="pct"/>
            <w:tcBorders>
              <w:top w:val="single" w:color="auto" w:sz="4" w:space="0"/>
              <w:left w:val="nil"/>
              <w:bottom w:val="single" w:color="auto" w:sz="4" w:space="0"/>
              <w:right w:val="single" w:color="auto" w:sz="4" w:space="0"/>
            </w:tcBorders>
            <w:shd w:val="clear" w:color="000000" w:fill="D0CECE"/>
            <w:noWrap w:val="0"/>
            <w:vAlign w:val="center"/>
          </w:tcPr>
          <w:p w14:paraId="3C516DB7">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服务期限</w:t>
            </w:r>
          </w:p>
        </w:tc>
      </w:tr>
      <w:tr w14:paraId="0EF9A87E">
        <w:tblPrEx>
          <w:tblCellMar>
            <w:top w:w="0" w:type="dxa"/>
            <w:left w:w="108" w:type="dxa"/>
            <w:bottom w:w="0" w:type="dxa"/>
            <w:right w:w="108" w:type="dxa"/>
          </w:tblCellMar>
        </w:tblPrEx>
        <w:trPr>
          <w:trHeight w:val="399" w:hRule="atLeast"/>
        </w:trPr>
        <w:tc>
          <w:tcPr>
            <w:tcW w:w="318" w:type="pct"/>
            <w:vMerge w:val="restart"/>
            <w:tcBorders>
              <w:top w:val="nil"/>
              <w:left w:val="single" w:color="auto" w:sz="4" w:space="0"/>
              <w:right w:val="single" w:color="auto" w:sz="4" w:space="0"/>
            </w:tcBorders>
            <w:noWrap w:val="0"/>
            <w:vAlign w:val="center"/>
          </w:tcPr>
          <w:p w14:paraId="5C08AFCA">
            <w:pPr>
              <w:jc w:val="center"/>
              <w:rPr>
                <w:rFonts w:hint="eastAsia" w:ascii="宋体" w:hAnsi="宋体" w:cs="宋体"/>
                <w:color w:val="000000"/>
                <w:kern w:val="0"/>
                <w:sz w:val="20"/>
                <w:szCs w:val="20"/>
              </w:rPr>
            </w:pPr>
            <w:r>
              <w:rPr>
                <w:rFonts w:ascii="宋体" w:hAnsi="宋体" w:cs="宋体"/>
                <w:color w:val="000000"/>
                <w:kern w:val="0"/>
                <w:sz w:val="20"/>
                <w:szCs w:val="20"/>
              </w:rPr>
              <w:t>1</w:t>
            </w:r>
          </w:p>
        </w:tc>
        <w:tc>
          <w:tcPr>
            <w:tcW w:w="425" w:type="pct"/>
            <w:vMerge w:val="restart"/>
            <w:tcBorders>
              <w:top w:val="nil"/>
              <w:left w:val="nil"/>
              <w:right w:val="single" w:color="auto" w:sz="4" w:space="0"/>
            </w:tcBorders>
            <w:noWrap w:val="0"/>
            <w:vAlign w:val="center"/>
          </w:tcPr>
          <w:p w14:paraId="580EAAB2">
            <w:pPr>
              <w:jc w:val="center"/>
              <w:rPr>
                <w:rFonts w:hint="eastAsia" w:ascii="宋体" w:hAnsi="宋体" w:cs="宋体"/>
                <w:kern w:val="0"/>
                <w:sz w:val="20"/>
                <w:szCs w:val="20"/>
              </w:rPr>
            </w:pPr>
            <w:r>
              <w:rPr>
                <w:rFonts w:hint="eastAsia" w:ascii="宋体" w:hAnsi="宋体" w:cs="宋体"/>
                <w:kern w:val="0"/>
                <w:sz w:val="20"/>
                <w:szCs w:val="20"/>
              </w:rPr>
              <w:t>安全服务</w:t>
            </w:r>
          </w:p>
        </w:tc>
        <w:tc>
          <w:tcPr>
            <w:tcW w:w="3883" w:type="pct"/>
            <w:tcBorders>
              <w:top w:val="nil"/>
              <w:left w:val="nil"/>
              <w:bottom w:val="single" w:color="auto" w:sz="4" w:space="0"/>
              <w:right w:val="single" w:color="auto" w:sz="4" w:space="0"/>
            </w:tcBorders>
            <w:noWrap w:val="0"/>
            <w:vAlign w:val="center"/>
          </w:tcPr>
          <w:p w14:paraId="49C0E6D6">
            <w:pPr>
              <w:spacing w:line="320" w:lineRule="exact"/>
              <w:rPr>
                <w:color w:val="000000"/>
              </w:rPr>
            </w:pPr>
            <w:r>
              <w:rPr>
                <w:color w:val="000000"/>
              </w:rPr>
              <w:t>信息资产梳理服务</w:t>
            </w:r>
            <w:r>
              <w:rPr>
                <w:rFonts w:hint="eastAsia"/>
                <w:color w:val="000000"/>
              </w:rPr>
              <w:t>：</w:t>
            </w:r>
            <w:r>
              <w:rPr>
                <w:color w:val="000000"/>
              </w:rPr>
              <w:t>协助</w:t>
            </w:r>
            <w:r>
              <w:rPr>
                <w:rFonts w:hint="eastAsia"/>
                <w:color w:val="000000"/>
              </w:rPr>
              <w:t>我局</w:t>
            </w:r>
            <w:r>
              <w:rPr>
                <w:color w:val="000000"/>
              </w:rPr>
              <w:t>完成对网络设备服务器、机房环境、信息系统等软件、硬件资产进行识别、梳理，形成信息资产清单。</w:t>
            </w:r>
          </w:p>
        </w:tc>
        <w:tc>
          <w:tcPr>
            <w:tcW w:w="374" w:type="pct"/>
            <w:vMerge w:val="restart"/>
            <w:tcBorders>
              <w:top w:val="nil"/>
              <w:left w:val="nil"/>
              <w:right w:val="single" w:color="auto" w:sz="4" w:space="0"/>
            </w:tcBorders>
            <w:noWrap w:val="0"/>
            <w:vAlign w:val="center"/>
          </w:tcPr>
          <w:p w14:paraId="0E4E2FE9">
            <w:pPr>
              <w:widowControl/>
              <w:jc w:val="center"/>
              <w:rPr>
                <w:rFonts w:hint="eastAsia" w:ascii="宋体" w:hAnsi="宋体" w:cs="宋体"/>
                <w:kern w:val="0"/>
                <w:sz w:val="20"/>
                <w:szCs w:val="20"/>
              </w:rPr>
            </w:pPr>
            <w:r>
              <w:rPr>
                <w:rFonts w:hint="eastAsia" w:ascii="宋体" w:hAnsi="宋体" w:cs="宋体"/>
                <w:kern w:val="0"/>
                <w:sz w:val="20"/>
                <w:szCs w:val="20"/>
              </w:rPr>
              <w:t>1年</w:t>
            </w:r>
          </w:p>
        </w:tc>
      </w:tr>
      <w:tr w14:paraId="5227FF5F">
        <w:tblPrEx>
          <w:tblCellMar>
            <w:top w:w="0" w:type="dxa"/>
            <w:left w:w="108" w:type="dxa"/>
            <w:bottom w:w="0" w:type="dxa"/>
            <w:right w:w="108" w:type="dxa"/>
          </w:tblCellMar>
        </w:tblPrEx>
        <w:trPr>
          <w:trHeight w:val="1283" w:hRule="atLeast"/>
        </w:trPr>
        <w:tc>
          <w:tcPr>
            <w:tcW w:w="318" w:type="pct"/>
            <w:vMerge w:val="continue"/>
            <w:tcBorders>
              <w:left w:val="single" w:color="auto" w:sz="4" w:space="0"/>
              <w:right w:val="single" w:color="auto" w:sz="4" w:space="0"/>
            </w:tcBorders>
            <w:noWrap w:val="0"/>
            <w:vAlign w:val="center"/>
          </w:tcPr>
          <w:p w14:paraId="07514589">
            <w:pPr>
              <w:jc w:val="center"/>
              <w:rPr>
                <w:rFonts w:hint="eastAsia" w:ascii="宋体" w:hAnsi="宋体" w:cs="宋体"/>
                <w:color w:val="000000"/>
                <w:kern w:val="0"/>
                <w:sz w:val="20"/>
                <w:szCs w:val="20"/>
              </w:rPr>
            </w:pPr>
          </w:p>
        </w:tc>
        <w:tc>
          <w:tcPr>
            <w:tcW w:w="425" w:type="pct"/>
            <w:vMerge w:val="continue"/>
            <w:tcBorders>
              <w:left w:val="nil"/>
              <w:right w:val="single" w:color="auto" w:sz="4" w:space="0"/>
            </w:tcBorders>
            <w:noWrap w:val="0"/>
            <w:vAlign w:val="center"/>
          </w:tcPr>
          <w:p w14:paraId="793B3AE3">
            <w:pPr>
              <w:jc w:val="center"/>
              <w:rPr>
                <w:rFonts w:hint="eastAsia" w:ascii="宋体" w:hAnsi="宋体" w:cs="宋体"/>
                <w:kern w:val="0"/>
                <w:sz w:val="20"/>
                <w:szCs w:val="20"/>
              </w:rPr>
            </w:pPr>
          </w:p>
        </w:tc>
        <w:tc>
          <w:tcPr>
            <w:tcW w:w="3883" w:type="pct"/>
            <w:tcBorders>
              <w:top w:val="nil"/>
              <w:left w:val="nil"/>
              <w:bottom w:val="single" w:color="auto" w:sz="4" w:space="0"/>
              <w:right w:val="single" w:color="auto" w:sz="4" w:space="0"/>
            </w:tcBorders>
            <w:noWrap w:val="0"/>
            <w:vAlign w:val="center"/>
          </w:tcPr>
          <w:p w14:paraId="65129037">
            <w:pPr>
              <w:spacing w:line="320" w:lineRule="exact"/>
              <w:rPr>
                <w:color w:val="000000"/>
              </w:rPr>
            </w:pPr>
            <w:r>
              <w:rPr>
                <w:color w:val="000000"/>
              </w:rPr>
              <w:t>安全风险评估服务</w:t>
            </w:r>
            <w:r>
              <w:rPr>
                <w:rFonts w:hint="eastAsia"/>
                <w:color w:val="000000"/>
              </w:rPr>
              <w:t>：</w:t>
            </w:r>
            <w:r>
              <w:rPr>
                <w:color w:val="000000"/>
              </w:rPr>
              <w:t>应提交安全风险评估报告，评估内容应包括但不限于以下内容：</w:t>
            </w:r>
            <w:r>
              <w:rPr>
                <w:rFonts w:hint="eastAsia"/>
                <w:color w:val="000000"/>
              </w:rPr>
              <w:br w:type="textWrapping"/>
            </w:r>
            <w:r>
              <w:rPr>
                <w:color w:val="000000"/>
              </w:rPr>
              <w:t>（1）定期检查信息资产运行状态、配置文件、 日志等， 及时发现不合安全要求的配置项目或可能影响正常运行的故障隐患；</w:t>
            </w:r>
            <w:r>
              <w:rPr>
                <w:rFonts w:hint="eastAsia"/>
                <w:color w:val="000000"/>
              </w:rPr>
              <w:br w:type="textWrapping"/>
            </w:r>
            <w:r>
              <w:rPr>
                <w:color w:val="000000"/>
              </w:rPr>
              <w:t>（2）定期开展日志分析和审计，追溯异常情况，及时发现可能存在的风险；</w:t>
            </w:r>
            <w:r>
              <w:rPr>
                <w:rFonts w:hint="eastAsia"/>
                <w:color w:val="000000"/>
              </w:rPr>
              <w:br w:type="textWrapping"/>
            </w:r>
            <w:r>
              <w:rPr>
                <w:color w:val="000000"/>
              </w:rPr>
              <w:t>（3）按要求开展专项检查，协助完成省局和当地政府下发的巡检任务。</w:t>
            </w:r>
          </w:p>
        </w:tc>
        <w:tc>
          <w:tcPr>
            <w:tcW w:w="374" w:type="pct"/>
            <w:vMerge w:val="continue"/>
            <w:tcBorders>
              <w:left w:val="nil"/>
              <w:right w:val="single" w:color="auto" w:sz="4" w:space="0"/>
            </w:tcBorders>
            <w:noWrap w:val="0"/>
            <w:vAlign w:val="center"/>
          </w:tcPr>
          <w:p w14:paraId="7E8C71CB">
            <w:pPr>
              <w:jc w:val="center"/>
              <w:rPr>
                <w:rFonts w:hint="eastAsia" w:ascii="宋体" w:hAnsi="宋体" w:cs="宋体"/>
                <w:kern w:val="0"/>
                <w:sz w:val="20"/>
                <w:szCs w:val="20"/>
              </w:rPr>
            </w:pPr>
          </w:p>
        </w:tc>
      </w:tr>
      <w:tr w14:paraId="664E49D9">
        <w:tblPrEx>
          <w:tblCellMar>
            <w:top w:w="0" w:type="dxa"/>
            <w:left w:w="108" w:type="dxa"/>
            <w:bottom w:w="0" w:type="dxa"/>
            <w:right w:w="108" w:type="dxa"/>
          </w:tblCellMar>
        </w:tblPrEx>
        <w:trPr>
          <w:trHeight w:val="424" w:hRule="atLeast"/>
        </w:trPr>
        <w:tc>
          <w:tcPr>
            <w:tcW w:w="318" w:type="pct"/>
            <w:vMerge w:val="continue"/>
            <w:tcBorders>
              <w:left w:val="single" w:color="auto" w:sz="4" w:space="0"/>
              <w:right w:val="single" w:color="auto" w:sz="4" w:space="0"/>
            </w:tcBorders>
            <w:noWrap w:val="0"/>
            <w:vAlign w:val="center"/>
          </w:tcPr>
          <w:p w14:paraId="50E41467">
            <w:pPr>
              <w:jc w:val="center"/>
              <w:rPr>
                <w:rFonts w:hint="eastAsia" w:ascii="宋体" w:hAnsi="宋体" w:cs="宋体"/>
                <w:color w:val="000000"/>
                <w:kern w:val="0"/>
                <w:sz w:val="20"/>
                <w:szCs w:val="20"/>
              </w:rPr>
            </w:pPr>
          </w:p>
        </w:tc>
        <w:tc>
          <w:tcPr>
            <w:tcW w:w="425" w:type="pct"/>
            <w:vMerge w:val="continue"/>
            <w:tcBorders>
              <w:left w:val="nil"/>
              <w:right w:val="single" w:color="auto" w:sz="4" w:space="0"/>
            </w:tcBorders>
            <w:noWrap w:val="0"/>
            <w:vAlign w:val="center"/>
          </w:tcPr>
          <w:p w14:paraId="4C1BACEE">
            <w:pPr>
              <w:jc w:val="center"/>
              <w:rPr>
                <w:rFonts w:hint="eastAsia" w:ascii="宋体" w:hAnsi="宋体" w:cs="宋体"/>
                <w:kern w:val="0"/>
                <w:sz w:val="20"/>
                <w:szCs w:val="20"/>
              </w:rPr>
            </w:pPr>
          </w:p>
        </w:tc>
        <w:tc>
          <w:tcPr>
            <w:tcW w:w="3883" w:type="pct"/>
            <w:tcBorders>
              <w:top w:val="nil"/>
              <w:left w:val="nil"/>
              <w:bottom w:val="single" w:color="auto" w:sz="4" w:space="0"/>
              <w:right w:val="single" w:color="auto" w:sz="4" w:space="0"/>
            </w:tcBorders>
            <w:noWrap w:val="0"/>
            <w:vAlign w:val="center"/>
          </w:tcPr>
          <w:p w14:paraId="752E4B72">
            <w:pPr>
              <w:spacing w:line="320" w:lineRule="exact"/>
              <w:rPr>
                <w:color w:val="000000"/>
              </w:rPr>
            </w:pPr>
            <w:r>
              <w:rPr>
                <w:color w:val="000000"/>
              </w:rPr>
              <w:t>安全漏洞检测服务</w:t>
            </w:r>
            <w:r>
              <w:rPr>
                <w:rFonts w:hint="eastAsia"/>
                <w:color w:val="000000"/>
              </w:rPr>
              <w:t>：</w:t>
            </w:r>
            <w:r>
              <w:rPr>
                <w:color w:val="000000"/>
              </w:rPr>
              <w:t>定期对网络设备、服务器操作系统、中间件、数据库、WEB应用系统实施漏洞扫描，及时发现安全漏洞并提交漏洞检测报告。</w:t>
            </w:r>
          </w:p>
        </w:tc>
        <w:tc>
          <w:tcPr>
            <w:tcW w:w="374" w:type="pct"/>
            <w:vMerge w:val="continue"/>
            <w:tcBorders>
              <w:left w:val="nil"/>
              <w:right w:val="single" w:color="auto" w:sz="4" w:space="0"/>
            </w:tcBorders>
            <w:noWrap w:val="0"/>
            <w:vAlign w:val="center"/>
          </w:tcPr>
          <w:p w14:paraId="363E8CB8">
            <w:pPr>
              <w:jc w:val="center"/>
              <w:rPr>
                <w:rFonts w:hint="eastAsia" w:ascii="宋体" w:hAnsi="宋体" w:cs="宋体"/>
                <w:kern w:val="0"/>
                <w:sz w:val="20"/>
                <w:szCs w:val="20"/>
              </w:rPr>
            </w:pPr>
          </w:p>
        </w:tc>
      </w:tr>
      <w:tr w14:paraId="25924421">
        <w:tblPrEx>
          <w:tblCellMar>
            <w:top w:w="0" w:type="dxa"/>
            <w:left w:w="108" w:type="dxa"/>
            <w:bottom w:w="0" w:type="dxa"/>
            <w:right w:w="108" w:type="dxa"/>
          </w:tblCellMar>
        </w:tblPrEx>
        <w:trPr>
          <w:trHeight w:val="415" w:hRule="atLeast"/>
        </w:trPr>
        <w:tc>
          <w:tcPr>
            <w:tcW w:w="318" w:type="pct"/>
            <w:vMerge w:val="continue"/>
            <w:tcBorders>
              <w:left w:val="single" w:color="auto" w:sz="4" w:space="0"/>
              <w:right w:val="single" w:color="auto" w:sz="4" w:space="0"/>
            </w:tcBorders>
            <w:noWrap w:val="0"/>
            <w:vAlign w:val="center"/>
          </w:tcPr>
          <w:p w14:paraId="572D2B22">
            <w:pPr>
              <w:jc w:val="center"/>
              <w:rPr>
                <w:rFonts w:hint="eastAsia" w:ascii="宋体" w:hAnsi="宋体" w:cs="宋体"/>
                <w:color w:val="000000"/>
                <w:kern w:val="0"/>
                <w:sz w:val="20"/>
                <w:szCs w:val="20"/>
              </w:rPr>
            </w:pPr>
          </w:p>
        </w:tc>
        <w:tc>
          <w:tcPr>
            <w:tcW w:w="425" w:type="pct"/>
            <w:vMerge w:val="continue"/>
            <w:tcBorders>
              <w:left w:val="nil"/>
              <w:right w:val="single" w:color="auto" w:sz="4" w:space="0"/>
            </w:tcBorders>
            <w:noWrap w:val="0"/>
            <w:vAlign w:val="center"/>
          </w:tcPr>
          <w:p w14:paraId="55279658">
            <w:pPr>
              <w:jc w:val="center"/>
              <w:rPr>
                <w:rFonts w:hint="eastAsia" w:ascii="宋体" w:hAnsi="宋体" w:cs="宋体"/>
                <w:kern w:val="0"/>
                <w:sz w:val="20"/>
                <w:szCs w:val="20"/>
              </w:rPr>
            </w:pPr>
          </w:p>
        </w:tc>
        <w:tc>
          <w:tcPr>
            <w:tcW w:w="3883" w:type="pct"/>
            <w:tcBorders>
              <w:top w:val="nil"/>
              <w:left w:val="nil"/>
              <w:bottom w:val="single" w:color="auto" w:sz="4" w:space="0"/>
              <w:right w:val="single" w:color="auto" w:sz="4" w:space="0"/>
            </w:tcBorders>
            <w:noWrap w:val="0"/>
            <w:vAlign w:val="center"/>
          </w:tcPr>
          <w:p w14:paraId="422CAD09">
            <w:pPr>
              <w:spacing w:line="320" w:lineRule="exact"/>
              <w:rPr>
                <w:color w:val="000000"/>
              </w:rPr>
            </w:pPr>
            <w:r>
              <w:rPr>
                <w:color w:val="000000"/>
              </w:rPr>
              <w:t>渗透测试服务</w:t>
            </w:r>
            <w:r>
              <w:rPr>
                <w:rFonts w:hint="eastAsia"/>
                <w:color w:val="000000"/>
              </w:rPr>
              <w:t>：</w:t>
            </w:r>
            <w:r>
              <w:rPr>
                <w:color w:val="000000"/>
              </w:rPr>
              <w:t>选取目标系统进行渗透测试，通过模拟入侵者的一些常见攻击与入侵手法对目标系统及支撑系统进行安全测试，充分暴露和发掘系统中潜在的漏洞，同时验证当前网络环境下网络安全防护的有效性，并提交渗透测试报告。</w:t>
            </w:r>
          </w:p>
        </w:tc>
        <w:tc>
          <w:tcPr>
            <w:tcW w:w="374" w:type="pct"/>
            <w:vMerge w:val="continue"/>
            <w:tcBorders>
              <w:left w:val="nil"/>
              <w:right w:val="single" w:color="auto" w:sz="4" w:space="0"/>
            </w:tcBorders>
            <w:noWrap w:val="0"/>
            <w:vAlign w:val="center"/>
          </w:tcPr>
          <w:p w14:paraId="4240505C">
            <w:pPr>
              <w:jc w:val="center"/>
              <w:rPr>
                <w:rFonts w:hint="eastAsia" w:ascii="宋体" w:hAnsi="宋体" w:cs="宋体"/>
                <w:kern w:val="0"/>
                <w:sz w:val="20"/>
                <w:szCs w:val="20"/>
              </w:rPr>
            </w:pPr>
          </w:p>
        </w:tc>
      </w:tr>
      <w:tr w14:paraId="5129D179">
        <w:tblPrEx>
          <w:tblCellMar>
            <w:top w:w="0" w:type="dxa"/>
            <w:left w:w="108" w:type="dxa"/>
            <w:bottom w:w="0" w:type="dxa"/>
            <w:right w:w="108" w:type="dxa"/>
          </w:tblCellMar>
        </w:tblPrEx>
        <w:trPr>
          <w:trHeight w:val="408" w:hRule="atLeast"/>
        </w:trPr>
        <w:tc>
          <w:tcPr>
            <w:tcW w:w="318" w:type="pct"/>
            <w:vMerge w:val="continue"/>
            <w:tcBorders>
              <w:left w:val="single" w:color="auto" w:sz="4" w:space="0"/>
              <w:right w:val="single" w:color="auto" w:sz="4" w:space="0"/>
            </w:tcBorders>
            <w:noWrap w:val="0"/>
            <w:vAlign w:val="center"/>
          </w:tcPr>
          <w:p w14:paraId="403FC355">
            <w:pPr>
              <w:jc w:val="center"/>
              <w:rPr>
                <w:rFonts w:hint="eastAsia" w:ascii="宋体" w:hAnsi="宋体" w:cs="宋体"/>
                <w:color w:val="000000"/>
                <w:kern w:val="0"/>
                <w:sz w:val="20"/>
                <w:szCs w:val="20"/>
              </w:rPr>
            </w:pPr>
          </w:p>
        </w:tc>
        <w:tc>
          <w:tcPr>
            <w:tcW w:w="425" w:type="pct"/>
            <w:vMerge w:val="continue"/>
            <w:tcBorders>
              <w:left w:val="nil"/>
              <w:right w:val="single" w:color="auto" w:sz="4" w:space="0"/>
            </w:tcBorders>
            <w:noWrap/>
            <w:vAlign w:val="center"/>
          </w:tcPr>
          <w:p w14:paraId="5387F348">
            <w:pPr>
              <w:jc w:val="center"/>
              <w:rPr>
                <w:rFonts w:hint="eastAsia" w:ascii="宋体" w:hAnsi="宋体" w:cs="宋体"/>
                <w:kern w:val="0"/>
                <w:sz w:val="20"/>
                <w:szCs w:val="20"/>
              </w:rPr>
            </w:pPr>
          </w:p>
        </w:tc>
        <w:tc>
          <w:tcPr>
            <w:tcW w:w="3883" w:type="pct"/>
            <w:tcBorders>
              <w:top w:val="nil"/>
              <w:left w:val="nil"/>
              <w:bottom w:val="single" w:color="auto" w:sz="4" w:space="0"/>
              <w:right w:val="single" w:color="auto" w:sz="4" w:space="0"/>
            </w:tcBorders>
            <w:noWrap w:val="0"/>
            <w:vAlign w:val="center"/>
          </w:tcPr>
          <w:p w14:paraId="66A5244A">
            <w:pPr>
              <w:spacing w:line="320" w:lineRule="exact"/>
              <w:rPr>
                <w:color w:val="000000"/>
              </w:rPr>
            </w:pPr>
            <w:r>
              <w:rPr>
                <w:color w:val="000000"/>
              </w:rPr>
              <w:t>安全整改加固要求</w:t>
            </w:r>
            <w:r>
              <w:rPr>
                <w:rFonts w:hint="eastAsia"/>
                <w:color w:val="000000"/>
              </w:rPr>
              <w:t>：</w:t>
            </w:r>
            <w:r>
              <w:rPr>
                <w:color w:val="000000"/>
              </w:rPr>
              <w:t>对各类安全隐患提出整改加固建议，并实施加固、整改，及时消除隐患。</w:t>
            </w:r>
          </w:p>
        </w:tc>
        <w:tc>
          <w:tcPr>
            <w:tcW w:w="374" w:type="pct"/>
            <w:vMerge w:val="continue"/>
            <w:tcBorders>
              <w:left w:val="nil"/>
              <w:right w:val="single" w:color="auto" w:sz="4" w:space="0"/>
            </w:tcBorders>
            <w:noWrap w:val="0"/>
            <w:vAlign w:val="center"/>
          </w:tcPr>
          <w:p w14:paraId="38829FB3">
            <w:pPr>
              <w:jc w:val="center"/>
              <w:rPr>
                <w:rFonts w:hint="eastAsia" w:ascii="宋体" w:hAnsi="宋体" w:cs="宋体"/>
                <w:kern w:val="0"/>
                <w:sz w:val="20"/>
                <w:szCs w:val="20"/>
              </w:rPr>
            </w:pPr>
          </w:p>
        </w:tc>
      </w:tr>
      <w:tr w14:paraId="6EBACD1A">
        <w:tblPrEx>
          <w:tblCellMar>
            <w:top w:w="0" w:type="dxa"/>
            <w:left w:w="108" w:type="dxa"/>
            <w:bottom w:w="0" w:type="dxa"/>
            <w:right w:w="108" w:type="dxa"/>
          </w:tblCellMar>
        </w:tblPrEx>
        <w:trPr>
          <w:trHeight w:val="427" w:hRule="atLeast"/>
        </w:trPr>
        <w:tc>
          <w:tcPr>
            <w:tcW w:w="318" w:type="pct"/>
            <w:vMerge w:val="continue"/>
            <w:tcBorders>
              <w:left w:val="single" w:color="auto" w:sz="4" w:space="0"/>
              <w:right w:val="single" w:color="auto" w:sz="4" w:space="0"/>
            </w:tcBorders>
            <w:noWrap w:val="0"/>
            <w:vAlign w:val="center"/>
          </w:tcPr>
          <w:p w14:paraId="2392304E">
            <w:pPr>
              <w:jc w:val="center"/>
              <w:rPr>
                <w:rFonts w:hint="eastAsia" w:ascii="宋体" w:hAnsi="宋体" w:cs="宋体"/>
                <w:color w:val="000000"/>
                <w:kern w:val="0"/>
                <w:sz w:val="20"/>
                <w:szCs w:val="20"/>
              </w:rPr>
            </w:pPr>
          </w:p>
        </w:tc>
        <w:tc>
          <w:tcPr>
            <w:tcW w:w="425" w:type="pct"/>
            <w:vMerge w:val="continue"/>
            <w:tcBorders>
              <w:left w:val="nil"/>
              <w:right w:val="single" w:color="auto" w:sz="4" w:space="0"/>
            </w:tcBorders>
            <w:noWrap w:val="0"/>
            <w:vAlign w:val="center"/>
          </w:tcPr>
          <w:p w14:paraId="37810159">
            <w:pPr>
              <w:jc w:val="center"/>
              <w:rPr>
                <w:rFonts w:hint="eastAsia" w:ascii="宋体" w:hAnsi="宋体" w:cs="宋体"/>
                <w:kern w:val="0"/>
                <w:sz w:val="20"/>
                <w:szCs w:val="20"/>
              </w:rPr>
            </w:pPr>
          </w:p>
        </w:tc>
        <w:tc>
          <w:tcPr>
            <w:tcW w:w="3883" w:type="pct"/>
            <w:tcBorders>
              <w:top w:val="nil"/>
              <w:left w:val="nil"/>
              <w:bottom w:val="single" w:color="auto" w:sz="4" w:space="0"/>
              <w:right w:val="single" w:color="auto" w:sz="4" w:space="0"/>
            </w:tcBorders>
            <w:noWrap w:val="0"/>
            <w:vAlign w:val="center"/>
          </w:tcPr>
          <w:p w14:paraId="12A4112E">
            <w:pPr>
              <w:spacing w:line="320" w:lineRule="exact"/>
              <w:rPr>
                <w:color w:val="000000"/>
              </w:rPr>
            </w:pPr>
            <w:r>
              <w:rPr>
                <w:color w:val="000000"/>
              </w:rPr>
              <w:t>网络安全培训</w:t>
            </w:r>
            <w:r>
              <w:rPr>
                <w:rFonts w:hint="eastAsia"/>
                <w:color w:val="000000"/>
              </w:rPr>
              <w:t>服务：</w:t>
            </w:r>
            <w:r>
              <w:rPr>
                <w:color w:val="000000"/>
              </w:rPr>
              <w:t>按需提供网络安全培训，提高员工的安全意识，增强技术防护的实践能力。</w:t>
            </w:r>
          </w:p>
        </w:tc>
        <w:tc>
          <w:tcPr>
            <w:tcW w:w="374" w:type="pct"/>
            <w:vMerge w:val="continue"/>
            <w:tcBorders>
              <w:left w:val="nil"/>
              <w:right w:val="single" w:color="auto" w:sz="4" w:space="0"/>
            </w:tcBorders>
            <w:noWrap w:val="0"/>
            <w:vAlign w:val="center"/>
          </w:tcPr>
          <w:p w14:paraId="7C657C81">
            <w:pPr>
              <w:jc w:val="center"/>
              <w:rPr>
                <w:rFonts w:hint="eastAsia" w:ascii="宋体" w:hAnsi="宋体" w:cs="宋体"/>
                <w:kern w:val="0"/>
                <w:sz w:val="20"/>
                <w:szCs w:val="20"/>
              </w:rPr>
            </w:pPr>
          </w:p>
        </w:tc>
      </w:tr>
      <w:tr w14:paraId="036BFD0F">
        <w:tblPrEx>
          <w:tblCellMar>
            <w:top w:w="0" w:type="dxa"/>
            <w:left w:w="108" w:type="dxa"/>
            <w:bottom w:w="0" w:type="dxa"/>
            <w:right w:w="108" w:type="dxa"/>
          </w:tblCellMar>
        </w:tblPrEx>
        <w:trPr>
          <w:trHeight w:val="419" w:hRule="atLeast"/>
        </w:trPr>
        <w:tc>
          <w:tcPr>
            <w:tcW w:w="318" w:type="pct"/>
            <w:vMerge w:val="continue"/>
            <w:tcBorders>
              <w:left w:val="single" w:color="auto" w:sz="4" w:space="0"/>
              <w:right w:val="single" w:color="auto" w:sz="4" w:space="0"/>
            </w:tcBorders>
            <w:noWrap w:val="0"/>
            <w:vAlign w:val="center"/>
          </w:tcPr>
          <w:p w14:paraId="2DF456E6">
            <w:pPr>
              <w:jc w:val="center"/>
              <w:rPr>
                <w:rFonts w:hint="eastAsia" w:ascii="宋体" w:hAnsi="宋体" w:cs="宋体"/>
                <w:color w:val="000000"/>
                <w:kern w:val="0"/>
                <w:sz w:val="20"/>
                <w:szCs w:val="20"/>
              </w:rPr>
            </w:pPr>
          </w:p>
        </w:tc>
        <w:tc>
          <w:tcPr>
            <w:tcW w:w="425" w:type="pct"/>
            <w:vMerge w:val="continue"/>
            <w:tcBorders>
              <w:left w:val="nil"/>
              <w:right w:val="single" w:color="auto" w:sz="4" w:space="0"/>
            </w:tcBorders>
            <w:noWrap w:val="0"/>
            <w:vAlign w:val="center"/>
          </w:tcPr>
          <w:p w14:paraId="3B6E3A28">
            <w:pPr>
              <w:jc w:val="center"/>
              <w:rPr>
                <w:rFonts w:hint="eastAsia" w:ascii="宋体" w:hAnsi="宋体" w:cs="宋体"/>
                <w:kern w:val="0"/>
                <w:sz w:val="20"/>
                <w:szCs w:val="20"/>
              </w:rPr>
            </w:pPr>
          </w:p>
        </w:tc>
        <w:tc>
          <w:tcPr>
            <w:tcW w:w="3883" w:type="pct"/>
            <w:tcBorders>
              <w:top w:val="nil"/>
              <w:left w:val="nil"/>
              <w:bottom w:val="single" w:color="auto" w:sz="4" w:space="0"/>
              <w:right w:val="single" w:color="auto" w:sz="4" w:space="0"/>
            </w:tcBorders>
            <w:noWrap w:val="0"/>
            <w:vAlign w:val="center"/>
          </w:tcPr>
          <w:p w14:paraId="726A3255">
            <w:pPr>
              <w:spacing w:line="320" w:lineRule="exact"/>
              <w:rPr>
                <w:color w:val="000000"/>
              </w:rPr>
            </w:pPr>
            <w:r>
              <w:rPr>
                <w:color w:val="000000"/>
              </w:rPr>
              <w:t>重要时期保障服务</w:t>
            </w:r>
            <w:r>
              <w:rPr>
                <w:rFonts w:hint="eastAsia"/>
                <w:color w:val="000000"/>
              </w:rPr>
              <w:t>：</w:t>
            </w:r>
            <w:r>
              <w:rPr>
                <w:color w:val="000000"/>
              </w:rPr>
              <w:t>在重要时期保障期间，按需协助开展重保活动，不限于安全检查、实时检测、响应处置、攻击预测、指导修复等</w:t>
            </w:r>
            <w:r>
              <w:rPr>
                <w:rFonts w:hint="eastAsia"/>
                <w:color w:val="000000"/>
              </w:rPr>
              <w:t>，并提供相应的网络安全攻防工具，如态势感知，探针等。</w:t>
            </w:r>
          </w:p>
        </w:tc>
        <w:tc>
          <w:tcPr>
            <w:tcW w:w="374" w:type="pct"/>
            <w:vMerge w:val="continue"/>
            <w:tcBorders>
              <w:left w:val="nil"/>
              <w:right w:val="single" w:color="auto" w:sz="4" w:space="0"/>
            </w:tcBorders>
            <w:noWrap w:val="0"/>
            <w:vAlign w:val="center"/>
          </w:tcPr>
          <w:p w14:paraId="4AE955AA">
            <w:pPr>
              <w:jc w:val="center"/>
              <w:rPr>
                <w:rFonts w:hint="eastAsia" w:ascii="宋体" w:hAnsi="宋体" w:cs="宋体"/>
                <w:kern w:val="0"/>
                <w:sz w:val="20"/>
                <w:szCs w:val="20"/>
              </w:rPr>
            </w:pPr>
          </w:p>
        </w:tc>
      </w:tr>
      <w:tr w14:paraId="14A8377A">
        <w:tblPrEx>
          <w:tblCellMar>
            <w:top w:w="0" w:type="dxa"/>
            <w:left w:w="108" w:type="dxa"/>
            <w:bottom w:w="0" w:type="dxa"/>
            <w:right w:w="108" w:type="dxa"/>
          </w:tblCellMar>
        </w:tblPrEx>
        <w:trPr>
          <w:trHeight w:val="397" w:hRule="atLeast"/>
        </w:trPr>
        <w:tc>
          <w:tcPr>
            <w:tcW w:w="318" w:type="pct"/>
            <w:vMerge w:val="continue"/>
            <w:tcBorders>
              <w:left w:val="single" w:color="auto" w:sz="4" w:space="0"/>
              <w:bottom w:val="single" w:color="auto" w:sz="4" w:space="0"/>
              <w:right w:val="single" w:color="auto" w:sz="4" w:space="0"/>
            </w:tcBorders>
            <w:noWrap w:val="0"/>
            <w:vAlign w:val="center"/>
          </w:tcPr>
          <w:p w14:paraId="29B959E2">
            <w:pPr>
              <w:widowControl/>
              <w:jc w:val="center"/>
              <w:rPr>
                <w:rFonts w:hint="eastAsia" w:ascii="宋体" w:hAnsi="宋体" w:cs="宋体"/>
                <w:color w:val="000000"/>
                <w:kern w:val="0"/>
                <w:sz w:val="20"/>
                <w:szCs w:val="20"/>
              </w:rPr>
            </w:pPr>
          </w:p>
        </w:tc>
        <w:tc>
          <w:tcPr>
            <w:tcW w:w="425" w:type="pct"/>
            <w:vMerge w:val="continue"/>
            <w:tcBorders>
              <w:left w:val="nil"/>
              <w:bottom w:val="single" w:color="auto" w:sz="4" w:space="0"/>
              <w:right w:val="single" w:color="auto" w:sz="4" w:space="0"/>
            </w:tcBorders>
            <w:noWrap w:val="0"/>
            <w:vAlign w:val="center"/>
          </w:tcPr>
          <w:p w14:paraId="7D198D6A">
            <w:pPr>
              <w:widowControl/>
              <w:jc w:val="center"/>
              <w:rPr>
                <w:rFonts w:hint="eastAsia" w:ascii="宋体" w:hAnsi="宋体" w:cs="宋体"/>
                <w:kern w:val="0"/>
                <w:sz w:val="20"/>
                <w:szCs w:val="20"/>
              </w:rPr>
            </w:pPr>
          </w:p>
        </w:tc>
        <w:tc>
          <w:tcPr>
            <w:tcW w:w="3883" w:type="pct"/>
            <w:tcBorders>
              <w:top w:val="nil"/>
              <w:left w:val="nil"/>
              <w:bottom w:val="single" w:color="auto" w:sz="4" w:space="0"/>
              <w:right w:val="single" w:color="auto" w:sz="4" w:space="0"/>
            </w:tcBorders>
            <w:noWrap w:val="0"/>
            <w:vAlign w:val="center"/>
          </w:tcPr>
          <w:p w14:paraId="79D0893D">
            <w:pPr>
              <w:spacing w:line="320" w:lineRule="exact"/>
              <w:rPr>
                <w:color w:val="000000"/>
              </w:rPr>
            </w:pPr>
            <w:r>
              <w:rPr>
                <w:color w:val="000000"/>
              </w:rPr>
              <w:t>驻场服务</w:t>
            </w:r>
            <w:r>
              <w:rPr>
                <w:rFonts w:hint="eastAsia"/>
                <w:color w:val="000000"/>
              </w:rPr>
              <w:t>：</w:t>
            </w:r>
            <w:r>
              <w:rPr>
                <w:color w:val="000000"/>
              </w:rPr>
              <w:t>按需派遣人员入场协助开展以上各项安全工作，全年驻场时间不少于50工作日。</w:t>
            </w:r>
          </w:p>
        </w:tc>
        <w:tc>
          <w:tcPr>
            <w:tcW w:w="374" w:type="pct"/>
            <w:vMerge w:val="continue"/>
            <w:tcBorders>
              <w:left w:val="nil"/>
              <w:bottom w:val="single" w:color="auto" w:sz="4" w:space="0"/>
              <w:right w:val="single" w:color="auto" w:sz="4" w:space="0"/>
            </w:tcBorders>
            <w:noWrap w:val="0"/>
            <w:vAlign w:val="center"/>
          </w:tcPr>
          <w:p w14:paraId="31FAFAD9">
            <w:pPr>
              <w:widowControl/>
              <w:jc w:val="center"/>
              <w:rPr>
                <w:rFonts w:hint="eastAsia" w:ascii="宋体" w:hAnsi="宋体" w:cs="宋体"/>
                <w:kern w:val="0"/>
                <w:sz w:val="20"/>
                <w:szCs w:val="20"/>
              </w:rPr>
            </w:pPr>
          </w:p>
        </w:tc>
      </w:tr>
    </w:tbl>
    <w:p w14:paraId="655BB930">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二、履约地点：湖北省烟草公司黄冈市公司。</w:t>
      </w:r>
    </w:p>
    <w:p w14:paraId="4C9CE287">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三、服务期限：自合同签订之日起一年。</w:t>
      </w:r>
    </w:p>
    <w:p w14:paraId="478293CD">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2809103E">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1.本合同签订生效后，每半年服务周期届满，乙方需向甲方提交该半年度的网络安全服务报告且验收合格后，于30 个工作日内向乙方支付合同总金额的50%。</w:t>
      </w:r>
    </w:p>
    <w:p w14:paraId="67461AF5">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2.全年服务结束后，乙方需向甲方提交全年整体网络安全服务报告且验收合格后，于30 个工作日内办理剩余款项的结算支付。</w:t>
      </w:r>
    </w:p>
    <w:p w14:paraId="524B2BC8">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3.乙方应按照甲方要求，向甲方开具合同全额6% 税率的增值税专用发票。</w:t>
      </w:r>
    </w:p>
    <w:p w14:paraId="5D75E154">
      <w:pPr>
        <w:spacing w:line="360" w:lineRule="auto"/>
        <w:rPr>
          <w:rFonts w:hint="eastAsia" w:ascii="宋体" w:hAnsi="宋体" w:cs="仿宋_GB2312"/>
          <w:sz w:val="22"/>
          <w:szCs w:val="22"/>
        </w:rPr>
      </w:pPr>
      <w:r>
        <w:rPr>
          <w:rFonts w:hint="eastAsia" w:ascii="宋体" w:hAnsi="宋体" w:cs="仿宋_GB2312"/>
          <w:sz w:val="22"/>
          <w:szCs w:val="22"/>
        </w:rPr>
        <w:t>五、服务要求：</w:t>
      </w:r>
    </w:p>
    <w:p w14:paraId="7198FF6F">
      <w:pPr>
        <w:spacing w:line="360" w:lineRule="auto"/>
        <w:ind w:left="442" w:firstLine="440" w:firstLineChars="200"/>
        <w:rPr>
          <w:rFonts w:hint="eastAsia" w:ascii="宋体" w:hAnsi="宋体" w:cs="仿宋_GB2312"/>
          <w:sz w:val="22"/>
          <w:szCs w:val="22"/>
        </w:rPr>
      </w:pPr>
      <w:bookmarkStart w:id="0" w:name="_Hlk195607323"/>
      <w:r>
        <w:rPr>
          <w:rFonts w:hint="eastAsia" w:ascii="宋体" w:hAnsi="宋体" w:cs="仿宋_GB2312"/>
          <w:sz w:val="22"/>
          <w:szCs w:val="22"/>
        </w:rPr>
        <w:t>1. 拟派往本项目的安全服务人员应具备网络安全服务的从业经验，项目负责人须取得PMP或CISP认证，在攻防演习、安全重保、威胁监测、漏洞修复等方面具有较丰富的管理经验及专业能力。</w:t>
      </w:r>
    </w:p>
    <w:p w14:paraId="289FA186">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2. 安全服务工程师须具有良好的职业操守和专业素养，具备保密意识，不得向任何不相关第三方透露与本项目相关的任何信息。</w:t>
      </w:r>
    </w:p>
    <w:bookmarkEnd w:id="0"/>
    <w:p w14:paraId="7F5959B5">
      <w:pPr>
        <w:spacing w:line="360" w:lineRule="auto"/>
        <w:rPr>
          <w:rFonts w:ascii="宋体" w:hAnsi="宋体" w:cs="仿宋_GB2312"/>
          <w:sz w:val="22"/>
          <w:szCs w:val="22"/>
        </w:rPr>
      </w:pPr>
      <w:r>
        <w:rPr>
          <w:rFonts w:hint="eastAsia" w:ascii="宋体" w:hAnsi="宋体" w:cs="仿宋_GB2312"/>
          <w:sz w:val="22"/>
          <w:szCs w:val="22"/>
        </w:rPr>
        <w:t>六、</w:t>
      </w:r>
      <w:bookmarkStart w:id="1" w:name="_Hlk195606140"/>
      <w:r>
        <w:rPr>
          <w:rFonts w:hint="eastAsia" w:ascii="宋体" w:hAnsi="宋体" w:cs="仿宋_GB2312"/>
          <w:sz w:val="22"/>
          <w:szCs w:val="22"/>
        </w:rPr>
        <w:t>验收标准及方法</w:t>
      </w:r>
      <w:bookmarkEnd w:id="1"/>
      <w:r>
        <w:rPr>
          <w:rFonts w:hint="eastAsia" w:ascii="宋体" w:hAnsi="宋体" w:cs="仿宋_GB2312"/>
          <w:sz w:val="22"/>
          <w:szCs w:val="22"/>
        </w:rPr>
        <w:t>：</w:t>
      </w:r>
    </w:p>
    <w:p w14:paraId="69BA184F">
      <w:pPr>
        <w:spacing w:line="360" w:lineRule="auto"/>
        <w:ind w:left="442" w:firstLine="440" w:firstLineChars="200"/>
        <w:rPr>
          <w:rFonts w:hint="eastAsia" w:ascii="宋体" w:hAnsi="宋体" w:cs="仿宋_GB2312"/>
          <w:sz w:val="22"/>
          <w:szCs w:val="22"/>
        </w:rPr>
      </w:pPr>
      <w:bookmarkStart w:id="2" w:name="_Hlk218502415"/>
      <w:r>
        <w:rPr>
          <w:rFonts w:hint="eastAsia" w:ascii="宋体" w:hAnsi="宋体" w:cs="仿宋_GB2312"/>
          <w:sz w:val="22"/>
          <w:szCs w:val="22"/>
        </w:rPr>
        <w:t>1.验收方法：两次验收。</w:t>
      </w:r>
    </w:p>
    <w:p w14:paraId="6E982A8C">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 xml:space="preserve">2.验收条件： </w:t>
      </w:r>
    </w:p>
    <w:p w14:paraId="5094E60C">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2.1、乙方按照要求完成合同约定的相关服务内容；</w:t>
      </w:r>
    </w:p>
    <w:p w14:paraId="5862CB2C">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2.2、资料齐全：供应商提供完整的网络安全服务报告等合同规定需提交的相关文件；</w:t>
      </w:r>
    </w:p>
    <w:p w14:paraId="67E4AAE4">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3.验收内容：</w:t>
      </w:r>
    </w:p>
    <w:p w14:paraId="0D9EBD1C">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3.1、第一次验收：甲乙双方共同签署半年度网络安全服务报告；</w:t>
      </w:r>
    </w:p>
    <w:p w14:paraId="47FD0375">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3.2、第二次验收：乙方提交全年整体网络安全服务报告，甲乙双方基于全年服务情况完成最终验收；</w:t>
      </w:r>
    </w:p>
    <w:p w14:paraId="6DE1D7E7">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4.验收标准：</w:t>
      </w:r>
    </w:p>
    <w:p w14:paraId="5EA69105">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4.1、完成合同约定的服务；</w:t>
      </w:r>
    </w:p>
    <w:p w14:paraId="4299E7F4">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4.2、全年无重大事故，SLA≥99%，故障4小时内解决，用户满意≥85分，文档齐全；</w:t>
      </w:r>
    </w:p>
    <w:p w14:paraId="30B0F83A">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5.验收时间：合同约定的服务期限内完成服务内容后一月内完成验收。</w:t>
      </w:r>
      <w:bookmarkEnd w:id="2"/>
    </w:p>
    <w:p w14:paraId="0C9A9A6D">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32DE8"/>
    <w:rsid w:val="52D32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2026-03-13T08:04:00Z</dcterms:created>
  <dc:creator>哈哈</dc:creator>
  <cp:lastModifiedBy>哈哈</cp:lastModifiedBy>
  <dcterms:modified xsi:type="dcterms:W3CDTF">2026-03-13T08:04:24Z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EBAB0FDA40544CB4A06A47857642C52A_11</vt:lpwstr>
  </property>
  <property fmtid="{D5CDD505-2E9C-101B-9397-08002B2CF9AE}" pid="4" name="KSOTemplateDocerSaveRecord">
    <vt:lpwstr>eyJoZGlkIjoiMjdjMjgyNTRmOWI1N2E3NzI0MzBmNTBkY2M4MzUyYTkiLCJ1c2VySWQiOiI0MDQwNzE2MzYifQ==</vt:lpwstr>
  </property>
</Properties>
</file>