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0EF78">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634251FC">
      <w:pPr>
        <w:rPr>
          <w:rFonts w:hint="eastAsia"/>
        </w:rPr>
      </w:pPr>
      <w:r>
        <w:rPr>
          <w:rFonts w:hint="eastAsia"/>
        </w:rPr>
        <w:t>一、采购内容明细</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5"/>
        <w:gridCol w:w="5958"/>
        <w:gridCol w:w="754"/>
      </w:tblGrid>
      <w:tr w14:paraId="5E2B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noWrap/>
            <w:vAlign w:val="center"/>
          </w:tcPr>
          <w:p w14:paraId="1422A49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666" w:type="pct"/>
            <w:noWrap/>
            <w:vAlign w:val="center"/>
          </w:tcPr>
          <w:p w14:paraId="3BAADB93">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服务类型</w:t>
            </w:r>
          </w:p>
        </w:tc>
        <w:tc>
          <w:tcPr>
            <w:tcW w:w="3496" w:type="pct"/>
            <w:noWrap/>
            <w:vAlign w:val="center"/>
          </w:tcPr>
          <w:p w14:paraId="4C7D6AE7">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服务内容</w:t>
            </w:r>
          </w:p>
        </w:tc>
        <w:tc>
          <w:tcPr>
            <w:tcW w:w="442" w:type="pct"/>
            <w:noWrap/>
            <w:vAlign w:val="center"/>
          </w:tcPr>
          <w:p w14:paraId="4E13244F">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数量</w:t>
            </w:r>
          </w:p>
        </w:tc>
      </w:tr>
      <w:tr w14:paraId="086F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noWrap/>
            <w:vAlign w:val="center"/>
          </w:tcPr>
          <w:p w14:paraId="4B81BB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xml:space="preserve">1 </w:t>
            </w:r>
          </w:p>
        </w:tc>
        <w:tc>
          <w:tcPr>
            <w:tcW w:w="666" w:type="pct"/>
            <w:noWrap w:val="0"/>
            <w:vAlign w:val="center"/>
          </w:tcPr>
          <w:p w14:paraId="14D9EF34">
            <w:pPr>
              <w:widowControl/>
              <w:jc w:val="center"/>
              <w:rPr>
                <w:rFonts w:hint="eastAsia" w:ascii="宋体" w:hAnsi="宋体" w:cs="宋体"/>
                <w:color w:val="000000"/>
                <w:kern w:val="0"/>
                <w:sz w:val="22"/>
                <w:szCs w:val="22"/>
              </w:rPr>
            </w:pPr>
            <w:r>
              <w:rPr>
                <w:rFonts w:hint="eastAsia" w:ascii="宋体" w:hAnsi="宋体"/>
                <w:sz w:val="24"/>
              </w:rPr>
              <w:t>网络安全漏洞扫描服务</w:t>
            </w:r>
          </w:p>
        </w:tc>
        <w:tc>
          <w:tcPr>
            <w:tcW w:w="3496" w:type="pct"/>
            <w:noWrap/>
            <w:vAlign w:val="center"/>
          </w:tcPr>
          <w:p w14:paraId="7D5383A6">
            <w:r>
              <w:rPr>
                <w:b/>
                <w:bCs/>
              </w:rPr>
              <w:t>扫描范围：</w:t>
            </w:r>
            <w:r>
              <w:t>覆盖本单位指定的所有互联网公开信息系统（包括但不限于官方网站、Web应用系统、移动应用后台接口等）及指定的内部关键网络区域与服务器（需提供授权及必要的访问方式）。</w:t>
            </w:r>
          </w:p>
          <w:p w14:paraId="1122EE88">
            <w:r>
              <w:rPr>
                <w:b/>
                <w:bCs/>
              </w:rPr>
              <w:t>扫描频率：</w:t>
            </w:r>
            <w:r>
              <w:t>全面远程漏洞扫描，</w:t>
            </w:r>
            <w:r>
              <w:rPr>
                <w:rFonts w:hint="eastAsia"/>
              </w:rPr>
              <w:t>全资产</w:t>
            </w:r>
            <w:r>
              <w:t>1次。若遇重大安全事件、国家重大活动保障或系统重大变更，应响应采购人要求提供临时性紧急扫描。</w:t>
            </w:r>
          </w:p>
          <w:p w14:paraId="25BE5BA0">
            <w:pPr>
              <w:widowControl/>
              <w:rPr>
                <w:rFonts w:hint="eastAsia" w:ascii="宋体" w:hAnsi="宋体" w:cs="宋体"/>
                <w:color w:val="000000"/>
                <w:kern w:val="0"/>
                <w:sz w:val="22"/>
                <w:szCs w:val="22"/>
              </w:rPr>
            </w:pPr>
            <w:r>
              <w:rPr>
                <w:b/>
                <w:bCs/>
              </w:rPr>
              <w:t>扫描深度与类型：</w:t>
            </w:r>
            <w:r>
              <w:t>应采用专业工具进行深度扫描，</w:t>
            </w:r>
            <w:r>
              <w:rPr>
                <w:rFonts w:hint="eastAsia"/>
              </w:rPr>
              <w:t>覆盖</w:t>
            </w:r>
            <w:r>
              <w:t>常见Web漏洞、系统层漏洞（如操作系统、中间件、数据库漏洞）、弱口令、配置缺陷等。</w:t>
            </w:r>
          </w:p>
        </w:tc>
        <w:tc>
          <w:tcPr>
            <w:tcW w:w="442" w:type="pct"/>
            <w:noWrap/>
            <w:vAlign w:val="center"/>
          </w:tcPr>
          <w:p w14:paraId="350E2D3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1项</w:t>
            </w:r>
          </w:p>
        </w:tc>
      </w:tr>
      <w:tr w14:paraId="7C38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96" w:type="pct"/>
            <w:noWrap/>
            <w:vAlign w:val="center"/>
          </w:tcPr>
          <w:p w14:paraId="08E61D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666" w:type="pct"/>
            <w:noWrap w:val="0"/>
            <w:vAlign w:val="center"/>
          </w:tcPr>
          <w:p w14:paraId="1D5B4307">
            <w:pPr>
              <w:widowControl/>
              <w:jc w:val="center"/>
              <w:rPr>
                <w:rFonts w:hint="eastAsia" w:ascii="宋体" w:hAnsi="宋体" w:cs="宋体"/>
                <w:color w:val="000000"/>
                <w:kern w:val="0"/>
                <w:sz w:val="22"/>
                <w:szCs w:val="22"/>
              </w:rPr>
            </w:pPr>
            <w:r>
              <w:rPr>
                <w:rFonts w:hint="eastAsia" w:ascii="宋体" w:hAnsi="宋体"/>
                <w:sz w:val="24"/>
              </w:rPr>
              <w:t>网络安全评估服务</w:t>
            </w:r>
          </w:p>
        </w:tc>
        <w:tc>
          <w:tcPr>
            <w:tcW w:w="3496" w:type="pct"/>
            <w:noWrap/>
            <w:vAlign w:val="center"/>
          </w:tcPr>
          <w:p w14:paraId="41728728">
            <w:r>
              <w:rPr>
                <w:b/>
                <w:bCs/>
              </w:rPr>
              <w:t>评估范围：</w:t>
            </w:r>
            <w:r>
              <w:t>针对本单位核心信息系统及关键网络架构进行安全评估。</w:t>
            </w:r>
          </w:p>
          <w:p w14:paraId="310A9D79">
            <w:r>
              <w:t>评估内容（包括但不限于）：</w:t>
            </w:r>
          </w:p>
          <w:p w14:paraId="2340C69A">
            <w:r>
              <w:rPr>
                <w:b/>
                <w:bCs/>
              </w:rPr>
              <w:t>安全基线检查：</w:t>
            </w:r>
            <w:r>
              <w:t>检查主要服务器、网络设备、安全设备的安全配置是否符合行业最佳实践或相关安全标准。</w:t>
            </w:r>
          </w:p>
          <w:p w14:paraId="54B75B46">
            <w:r>
              <w:rPr>
                <w:b/>
                <w:bCs/>
              </w:rPr>
              <w:t>渗透测试：</w:t>
            </w:r>
            <w:r>
              <w:t>在授权范围内，对重要的Web应用或系统进行模拟黑客攻击的渗透测试，挖掘逻辑漏洞、业务漏洞等扫描工具难以发现的深层风险。</w:t>
            </w:r>
          </w:p>
          <w:p w14:paraId="2D383F50">
            <w:r>
              <w:rPr>
                <w:b/>
                <w:bCs/>
              </w:rPr>
              <w:t>风险评估分析：</w:t>
            </w:r>
            <w:r>
              <w:t>结合资产、威胁、脆弱性，对核心系统进行风险评估，识别关键风险点。</w:t>
            </w:r>
          </w:p>
          <w:p w14:paraId="12D0BD4E">
            <w:pPr>
              <w:widowControl/>
              <w:rPr>
                <w:rFonts w:hint="eastAsia" w:ascii="宋体" w:hAnsi="宋体" w:cs="宋体"/>
                <w:color w:val="000000"/>
                <w:kern w:val="0"/>
                <w:sz w:val="22"/>
                <w:szCs w:val="22"/>
              </w:rPr>
            </w:pPr>
            <w:r>
              <w:rPr>
                <w:b/>
                <w:bCs/>
              </w:rPr>
              <w:t>安全策略与管理制度符合性检查：</w:t>
            </w:r>
            <w:r>
              <w:t>评估现有安全策略、管理流程与技术防护措施的有效性。</w:t>
            </w:r>
          </w:p>
        </w:tc>
        <w:tc>
          <w:tcPr>
            <w:tcW w:w="442" w:type="pct"/>
            <w:noWrap/>
            <w:vAlign w:val="center"/>
          </w:tcPr>
          <w:p w14:paraId="03041A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1项</w:t>
            </w:r>
          </w:p>
        </w:tc>
      </w:tr>
    </w:tbl>
    <w:p w14:paraId="6584F830">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二、服务地点：湖北省烟草公司潜江市公司。</w:t>
      </w:r>
    </w:p>
    <w:p w14:paraId="1A97BAEC">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三、服务期限：</w:t>
      </w:r>
      <w:bookmarkStart w:id="0" w:name="_Hlk219110111"/>
      <w:r>
        <w:rPr>
          <w:rFonts w:hint="eastAsia" w:ascii="宋体" w:hAnsi="宋体" w:cs="仿宋_GB2312"/>
          <w:sz w:val="22"/>
          <w:szCs w:val="22"/>
        </w:rPr>
        <w:t>合同生效后30日内完成服务</w:t>
      </w:r>
      <w:bookmarkEnd w:id="0"/>
      <w:r>
        <w:rPr>
          <w:rFonts w:hint="eastAsia" w:ascii="宋体" w:hAnsi="宋体" w:cs="仿宋_GB2312"/>
          <w:sz w:val="22"/>
          <w:szCs w:val="22"/>
        </w:rPr>
        <w:t>。</w:t>
      </w:r>
    </w:p>
    <w:p w14:paraId="3B50B35D">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2BEB0E9A">
      <w:pPr>
        <w:adjustRightInd w:val="0"/>
        <w:snapToGrid w:val="0"/>
        <w:spacing w:line="360" w:lineRule="auto"/>
        <w:ind w:firstLine="440" w:firstLineChars="200"/>
        <w:rPr>
          <w:rFonts w:hint="eastAsia" w:ascii="宋体" w:hAnsi="宋体" w:cs="仿宋_GB2312"/>
          <w:sz w:val="22"/>
          <w:szCs w:val="22"/>
        </w:rPr>
      </w:pPr>
      <w:bookmarkStart w:id="1" w:name="_Hlk195607267"/>
      <w:r>
        <w:rPr>
          <w:rFonts w:hint="eastAsia" w:ascii="宋体" w:hAnsi="宋体" w:cs="仿宋_GB2312"/>
          <w:sz w:val="22"/>
          <w:szCs w:val="22"/>
        </w:rPr>
        <w:t xml:space="preserve">服务完成并经甲乙双方验收合格后，由供应商单位开具全额增值税专用发票，甲方收到发票后30个工作日内支付合同全款的全款。 </w:t>
      </w:r>
    </w:p>
    <w:bookmarkEnd w:id="1"/>
    <w:p w14:paraId="375D69C8">
      <w:pPr>
        <w:spacing w:line="360" w:lineRule="auto"/>
        <w:rPr>
          <w:rFonts w:hint="eastAsia" w:ascii="宋体" w:hAnsi="宋体" w:cs="仿宋_GB2312"/>
          <w:sz w:val="22"/>
          <w:szCs w:val="22"/>
        </w:rPr>
      </w:pPr>
      <w:r>
        <w:rPr>
          <w:rFonts w:hint="eastAsia" w:ascii="宋体" w:hAnsi="宋体" w:cs="仿宋_GB2312"/>
          <w:sz w:val="22"/>
          <w:szCs w:val="22"/>
        </w:rPr>
        <w:t>五、服务要求：</w:t>
      </w:r>
    </w:p>
    <w:p w14:paraId="1F7DCB89">
      <w:pPr>
        <w:adjustRightInd w:val="0"/>
        <w:snapToGrid w:val="0"/>
        <w:spacing w:line="360" w:lineRule="auto"/>
        <w:ind w:firstLine="440" w:firstLineChars="200"/>
        <w:rPr>
          <w:rFonts w:hint="eastAsia" w:ascii="宋体" w:hAnsi="宋体" w:cs="仿宋_GB2312"/>
          <w:sz w:val="22"/>
          <w:szCs w:val="22"/>
        </w:rPr>
      </w:pPr>
      <w:bookmarkStart w:id="2" w:name="_Hlk195607323"/>
      <w:r>
        <w:rPr>
          <w:rFonts w:hint="eastAsia" w:ascii="宋体" w:hAnsi="宋体" w:cs="仿宋_GB2312"/>
          <w:sz w:val="22"/>
          <w:szCs w:val="22"/>
        </w:rPr>
        <w:t>1.交付内容：服务工作结束后15个工作日内，提交全面、详细的</w:t>
      </w:r>
      <w:bookmarkStart w:id="3" w:name="_Hlk219108647"/>
      <w:r>
        <w:rPr>
          <w:rFonts w:hint="eastAsia" w:ascii="宋体" w:hAnsi="宋体" w:cs="仿宋_GB2312"/>
          <w:sz w:val="22"/>
          <w:szCs w:val="22"/>
        </w:rPr>
        <w:t>《漏洞扫描总结分析报告》和《网络安全评估报告》</w:t>
      </w:r>
      <w:bookmarkEnd w:id="3"/>
      <w:r>
        <w:rPr>
          <w:rFonts w:hint="eastAsia" w:ascii="宋体" w:hAnsi="宋体" w:cs="仿宋_GB2312"/>
          <w:sz w:val="22"/>
          <w:szCs w:val="22"/>
        </w:rPr>
        <w:t>。</w:t>
      </w:r>
    </w:p>
    <w:p w14:paraId="47BCC77A">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2.应具备从事网络安全服务的相关资质与能力，团队人员需具备专业的技术背景与经验。需提供至少两名核心服务人员的相关认证（如CISP、CISSP、信息安全工程师等）。</w:t>
      </w:r>
    </w:p>
    <w:p w14:paraId="3827595A">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3.工具和能力：供应商应使用主流的专业安全扫描工具与测试工具，并具备强大的自定义漏洞发现与验证能力。</w:t>
      </w:r>
    </w:p>
    <w:p w14:paraId="4A4E43F7">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4.沟通与响应：指定固定的项目负责人和技术接口人，提供7*24小时应急联系方式。对于扫描或评估中发现的高危漏洞，须在1小时内通过电话、短信等有效方式预警通知采购人指定联系人。</w:t>
      </w:r>
    </w:p>
    <w:p w14:paraId="116E5225">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5.技术支持与咨询：在服务期内，提供与本次服务内容相关的网络安全技术咨询。</w:t>
      </w:r>
    </w:p>
    <w:bookmarkEnd w:id="2"/>
    <w:p w14:paraId="6F62DC79">
      <w:pPr>
        <w:spacing w:line="360" w:lineRule="auto"/>
        <w:rPr>
          <w:rFonts w:ascii="宋体" w:hAnsi="宋体" w:cs="仿宋_GB2312"/>
          <w:sz w:val="22"/>
          <w:szCs w:val="22"/>
        </w:rPr>
      </w:pPr>
      <w:r>
        <w:rPr>
          <w:rFonts w:hint="eastAsia" w:ascii="宋体" w:hAnsi="宋体" w:cs="仿宋_GB2312"/>
          <w:sz w:val="22"/>
          <w:szCs w:val="22"/>
        </w:rPr>
        <w:t>六、</w:t>
      </w:r>
      <w:bookmarkStart w:id="4" w:name="_Hlk195606140"/>
      <w:r>
        <w:rPr>
          <w:rFonts w:hint="eastAsia" w:ascii="宋体" w:hAnsi="宋体" w:cs="仿宋_GB2312"/>
          <w:sz w:val="22"/>
          <w:szCs w:val="22"/>
        </w:rPr>
        <w:t>验收标准及方法</w:t>
      </w:r>
      <w:bookmarkEnd w:id="4"/>
      <w:r>
        <w:rPr>
          <w:rFonts w:hint="eastAsia" w:ascii="宋体" w:hAnsi="宋体" w:cs="仿宋_GB2312"/>
          <w:sz w:val="22"/>
          <w:szCs w:val="22"/>
        </w:rPr>
        <w:t>：</w:t>
      </w:r>
    </w:p>
    <w:p w14:paraId="6A78C5F4">
      <w:pPr>
        <w:adjustRightInd w:val="0"/>
        <w:snapToGrid w:val="0"/>
        <w:spacing w:line="360" w:lineRule="auto"/>
        <w:ind w:firstLine="440" w:firstLineChars="200"/>
        <w:rPr>
          <w:rFonts w:hint="eastAsia" w:ascii="宋体" w:hAnsi="宋体" w:cs="仿宋_GB2312"/>
          <w:sz w:val="22"/>
          <w:szCs w:val="22"/>
        </w:rPr>
      </w:pPr>
      <w:bookmarkStart w:id="5" w:name="_Hlk218610174"/>
      <w:bookmarkStart w:id="6" w:name="_Hlk218609720"/>
      <w:r>
        <w:rPr>
          <w:rFonts w:hint="eastAsia" w:ascii="宋体" w:hAnsi="宋体" w:cs="仿宋_GB2312"/>
          <w:sz w:val="22"/>
          <w:szCs w:val="22"/>
        </w:rPr>
        <w:t>1.验收方法：一次验收。</w:t>
      </w:r>
    </w:p>
    <w:p w14:paraId="471F84FE">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2.验收条件：乙方在合同约定时间内完成服务。</w:t>
      </w:r>
    </w:p>
    <w:p w14:paraId="7970B1E4">
      <w:pPr>
        <w:adjustRightInd w:val="0"/>
        <w:snapToGrid w:val="0"/>
        <w:spacing w:line="360" w:lineRule="auto"/>
        <w:ind w:firstLine="440" w:firstLineChars="200"/>
        <w:rPr>
          <w:rFonts w:ascii="宋体" w:hAnsi="宋体" w:cs="仿宋_GB2312"/>
          <w:sz w:val="22"/>
          <w:szCs w:val="22"/>
        </w:rPr>
      </w:pPr>
      <w:r>
        <w:rPr>
          <w:rFonts w:hint="eastAsia" w:ascii="宋体" w:hAnsi="宋体" w:cs="仿宋_GB2312"/>
          <w:sz w:val="22"/>
          <w:szCs w:val="22"/>
        </w:rPr>
        <w:t>3.验收内容：双方签订《漏洞扫描总结分析报告》和《网络安全评估报告》。</w:t>
      </w:r>
    </w:p>
    <w:p w14:paraId="51A68AB5">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4.验收标准：</w:t>
      </w:r>
    </w:p>
    <w:p w14:paraId="1026ABF8">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4.1、完成合同约定的服务；</w:t>
      </w:r>
    </w:p>
    <w:p w14:paraId="398007D6">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4.2、服务覆盖合同约定的所有互联网公开信息系统及指定内部关键网络区域与服务器且未出现未授权操作及破坏性测试行为；</w:t>
      </w:r>
    </w:p>
    <w:p w14:paraId="5DE2C399">
      <w:pPr>
        <w:adjustRightInd w:val="0"/>
        <w:snapToGrid w:val="0"/>
        <w:spacing w:line="360" w:lineRule="auto"/>
        <w:ind w:firstLine="440" w:firstLineChars="200"/>
        <w:rPr>
          <w:rFonts w:hint="eastAsia" w:ascii="宋体" w:hAnsi="宋体" w:cs="仿宋_GB2312"/>
          <w:sz w:val="22"/>
          <w:szCs w:val="22"/>
        </w:rPr>
      </w:pPr>
      <w:r>
        <w:rPr>
          <w:rFonts w:hint="eastAsia" w:ascii="宋体" w:hAnsi="宋体" w:cs="仿宋_GB2312"/>
          <w:sz w:val="22"/>
          <w:szCs w:val="22"/>
        </w:rPr>
        <w:t>5.验收时间：服务完成后15个工作日内</w:t>
      </w:r>
      <w:bookmarkEnd w:id="5"/>
      <w:r>
        <w:rPr>
          <w:rFonts w:hint="eastAsia" w:ascii="宋体" w:hAnsi="宋体" w:cs="仿宋_GB2312"/>
          <w:sz w:val="22"/>
          <w:szCs w:val="22"/>
        </w:rPr>
        <w:t>。</w:t>
      </w:r>
    </w:p>
    <w:bookmarkEnd w:id="6"/>
    <w:p w14:paraId="66B4F9A1">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D53B2"/>
    <w:rsid w:val="48FD5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2026-01-16T08:57:00Z</dcterms:created>
  <dc:creator>顾梦</dc:creator>
  <cp:lastModifiedBy>顾梦</cp:lastModifiedBy>
  <dcterms:modified xsi:type="dcterms:W3CDTF">2026-01-16T08:57:31Z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A211D87D60B2476393705FA062860C8E_11</vt:lpwstr>
  </property>
  <property fmtid="{D5CDD505-2E9C-101B-9397-08002B2CF9AE}" pid="4" name="KSOTemplateDocerSaveRecord">
    <vt:lpwstr>eyJoZGlkIjoiYzY5N2EwYWQ1Yzc3OGE4MmU5ZDI3MWU3OTkyZDM3NGMiLCJ1c2VySWQiOiI0MDQwNzE2MzYifQ==</vt:lpwstr>
  </property>
</Properties>
</file>