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66DAB">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2C51107F">
      <w:pPr>
        <w:rPr>
          <w:rFonts w:hint="eastAsia"/>
        </w:rPr>
      </w:pPr>
      <w:r>
        <w:rPr>
          <w:rFonts w:hint="eastAsia"/>
        </w:rPr>
        <w:t>一、采购内容明细</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9"/>
        <w:gridCol w:w="1866"/>
        <w:gridCol w:w="2419"/>
        <w:gridCol w:w="1086"/>
        <w:gridCol w:w="886"/>
      </w:tblGrid>
      <w:tr w14:paraId="3CAA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97" w:type="pct"/>
            <w:noWrap/>
            <w:vAlign w:val="center"/>
          </w:tcPr>
          <w:p w14:paraId="30260B4A">
            <w:pPr>
              <w:jc w:val="center"/>
              <w:rPr>
                <w:rFonts w:ascii="宋体" w:hAnsi="宋体" w:cs="宋体"/>
                <w:b/>
                <w:bCs/>
                <w:sz w:val="22"/>
              </w:rPr>
            </w:pPr>
            <w:r>
              <w:rPr>
                <w:rFonts w:hint="eastAsia" w:ascii="宋体" w:hAnsi="宋体" w:cs="宋体"/>
                <w:b/>
                <w:bCs/>
                <w:sz w:val="22"/>
              </w:rPr>
              <w:t>序号</w:t>
            </w:r>
          </w:p>
        </w:tc>
        <w:tc>
          <w:tcPr>
            <w:tcW w:w="833" w:type="pct"/>
            <w:noWrap/>
            <w:vAlign w:val="center"/>
          </w:tcPr>
          <w:p w14:paraId="4FA32B2E">
            <w:pPr>
              <w:jc w:val="center"/>
              <w:rPr>
                <w:rFonts w:ascii="宋体" w:hAnsi="宋体" w:cs="宋体"/>
                <w:b/>
                <w:bCs/>
                <w:sz w:val="22"/>
              </w:rPr>
            </w:pPr>
            <w:r>
              <w:rPr>
                <w:rFonts w:hint="eastAsia" w:ascii="宋体" w:hAnsi="宋体" w:cs="宋体"/>
                <w:b/>
                <w:bCs/>
                <w:sz w:val="22"/>
              </w:rPr>
              <w:t>设备类型</w:t>
            </w:r>
          </w:p>
        </w:tc>
        <w:tc>
          <w:tcPr>
            <w:tcW w:w="1093" w:type="pct"/>
            <w:noWrap/>
            <w:vAlign w:val="center"/>
          </w:tcPr>
          <w:p w14:paraId="18B52075">
            <w:pPr>
              <w:jc w:val="center"/>
              <w:rPr>
                <w:rFonts w:hint="eastAsia" w:ascii="宋体" w:hAnsi="宋体" w:eastAsia="等线" w:cs="宋体"/>
                <w:b/>
                <w:bCs/>
                <w:sz w:val="22"/>
              </w:rPr>
            </w:pPr>
            <w:r>
              <w:rPr>
                <w:rFonts w:hint="eastAsia" w:ascii="宋体" w:hAnsi="宋体" w:cs="宋体"/>
                <w:b/>
                <w:bCs/>
                <w:sz w:val="22"/>
              </w:rPr>
              <w:t>显卡型号</w:t>
            </w:r>
          </w:p>
        </w:tc>
        <w:tc>
          <w:tcPr>
            <w:tcW w:w="1420" w:type="pct"/>
            <w:noWrap/>
            <w:vAlign w:val="center"/>
          </w:tcPr>
          <w:p w14:paraId="15A4D645">
            <w:pPr>
              <w:jc w:val="center"/>
              <w:rPr>
                <w:rFonts w:ascii="宋体" w:hAnsi="宋体" w:cs="宋体"/>
                <w:b/>
                <w:bCs/>
                <w:sz w:val="22"/>
              </w:rPr>
            </w:pPr>
            <w:r>
              <w:rPr>
                <w:rFonts w:hint="eastAsia" w:ascii="宋体" w:hAnsi="宋体" w:cs="宋体"/>
                <w:b/>
                <w:bCs/>
                <w:sz w:val="22"/>
              </w:rPr>
              <w:t>配置参数</w:t>
            </w:r>
          </w:p>
        </w:tc>
        <w:tc>
          <w:tcPr>
            <w:tcW w:w="637" w:type="pct"/>
            <w:noWrap/>
            <w:vAlign w:val="center"/>
          </w:tcPr>
          <w:p w14:paraId="3A2C76EE">
            <w:pPr>
              <w:jc w:val="center"/>
              <w:rPr>
                <w:rFonts w:ascii="宋体" w:hAnsi="宋体" w:cs="宋体"/>
                <w:b/>
                <w:bCs/>
                <w:sz w:val="22"/>
              </w:rPr>
            </w:pPr>
            <w:r>
              <w:rPr>
                <w:rFonts w:hint="eastAsia" w:ascii="宋体" w:hAnsi="宋体" w:cs="宋体"/>
                <w:b/>
                <w:bCs/>
                <w:sz w:val="22"/>
              </w:rPr>
              <w:t>数量</w:t>
            </w:r>
          </w:p>
        </w:tc>
        <w:tc>
          <w:tcPr>
            <w:tcW w:w="520" w:type="pct"/>
            <w:noWrap w:val="0"/>
            <w:vAlign w:val="center"/>
          </w:tcPr>
          <w:p w14:paraId="2921B605">
            <w:pPr>
              <w:jc w:val="center"/>
              <w:rPr>
                <w:rFonts w:hint="eastAsia" w:ascii="宋体" w:hAnsi="宋体" w:cs="宋体"/>
                <w:b/>
                <w:bCs/>
                <w:sz w:val="22"/>
              </w:rPr>
            </w:pPr>
            <w:r>
              <w:rPr>
                <w:rFonts w:hint="eastAsia" w:ascii="宋体" w:hAnsi="宋体" w:cs="宋体"/>
                <w:b/>
                <w:bCs/>
                <w:sz w:val="22"/>
              </w:rPr>
              <w:t>备注</w:t>
            </w:r>
          </w:p>
        </w:tc>
      </w:tr>
      <w:tr w14:paraId="4793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497" w:type="pct"/>
            <w:noWrap/>
            <w:vAlign w:val="center"/>
          </w:tcPr>
          <w:p w14:paraId="296CFEF8">
            <w:pPr>
              <w:jc w:val="center"/>
              <w:rPr>
                <w:rFonts w:ascii="宋体" w:hAnsi="宋体" w:cs="宋体"/>
                <w:sz w:val="22"/>
              </w:rPr>
            </w:pPr>
            <w:r>
              <w:rPr>
                <w:rFonts w:hint="eastAsia" w:ascii="宋体" w:hAnsi="宋体" w:cs="宋体"/>
                <w:sz w:val="22"/>
              </w:rPr>
              <w:t>1</w:t>
            </w:r>
          </w:p>
        </w:tc>
        <w:tc>
          <w:tcPr>
            <w:tcW w:w="833" w:type="pct"/>
            <w:noWrap w:val="0"/>
            <w:vAlign w:val="center"/>
          </w:tcPr>
          <w:p w14:paraId="66D7732F">
            <w:pPr>
              <w:jc w:val="center"/>
              <w:rPr>
                <w:rFonts w:ascii="宋体" w:hAnsi="宋体" w:cs="宋体"/>
                <w:sz w:val="22"/>
              </w:rPr>
            </w:pPr>
            <w:r>
              <w:rPr>
                <w:rFonts w:hint="eastAsia" w:ascii="宋体" w:hAnsi="宋体" w:cs="宋体"/>
                <w:sz w:val="22"/>
                <w:szCs w:val="22"/>
              </w:rPr>
              <w:t>专业图形显卡</w:t>
            </w:r>
          </w:p>
        </w:tc>
        <w:tc>
          <w:tcPr>
            <w:tcW w:w="1093" w:type="pct"/>
            <w:noWrap/>
            <w:vAlign w:val="center"/>
          </w:tcPr>
          <w:p w14:paraId="1EB25A23">
            <w:pPr>
              <w:jc w:val="center"/>
              <w:rPr>
                <w:rFonts w:hint="eastAsia" w:ascii="宋体" w:hAnsi="宋体" w:eastAsia="等线" w:cs="宋体"/>
                <w:sz w:val="22"/>
              </w:rPr>
            </w:pPr>
            <w:r>
              <w:rPr>
                <w:rFonts w:hint="eastAsia" w:ascii="宋体" w:hAnsi="宋体" w:eastAsia="等线" w:cs="宋体"/>
                <w:sz w:val="22"/>
                <w:szCs w:val="22"/>
              </w:rPr>
              <w:t>RTX5880 Ada 48G</w:t>
            </w:r>
          </w:p>
        </w:tc>
        <w:tc>
          <w:tcPr>
            <w:tcW w:w="1420" w:type="pct"/>
            <w:noWrap w:val="0"/>
            <w:vAlign w:val="center"/>
          </w:tcPr>
          <w:p w14:paraId="7D3E4C59">
            <w:pPr>
              <w:jc w:val="center"/>
              <w:rPr>
                <w:rFonts w:ascii="宋体" w:hAnsi="宋体" w:cs="宋体"/>
                <w:sz w:val="22"/>
              </w:rPr>
            </w:pPr>
            <w:r>
              <w:rPr>
                <w:rFonts w:ascii="宋体" w:hAnsi="宋体" w:cs="宋体"/>
                <w:sz w:val="19"/>
                <w:szCs w:val="19"/>
                <w:lang w:bidi="ar"/>
              </w:rPr>
              <w:t>NVIDIA RTX5880Ada48G GPU</w:t>
            </w:r>
            <w:r>
              <w:rPr>
                <w:rFonts w:hint="eastAsia" w:ascii="宋体" w:hAnsi="宋体" w:cs="宋体"/>
                <w:sz w:val="19"/>
                <w:szCs w:val="19"/>
                <w:lang w:bidi="ar"/>
              </w:rPr>
              <w:t>专业级工作站显卡</w:t>
            </w:r>
            <w:r>
              <w:rPr>
                <w:rFonts w:ascii="宋体" w:hAnsi="宋体" w:cs="宋体"/>
                <w:sz w:val="19"/>
                <w:szCs w:val="19"/>
                <w:lang w:bidi="ar"/>
              </w:rPr>
              <w:t xml:space="preserve"> NVIDIA RTX 5880 Ada-48G</w:t>
            </w:r>
          </w:p>
        </w:tc>
        <w:tc>
          <w:tcPr>
            <w:tcW w:w="637" w:type="pct"/>
            <w:noWrap/>
            <w:vAlign w:val="center"/>
          </w:tcPr>
          <w:p w14:paraId="2612C3F7">
            <w:pPr>
              <w:jc w:val="center"/>
              <w:rPr>
                <w:rFonts w:hint="eastAsia" w:ascii="宋体" w:hAnsi="宋体" w:eastAsia="等线" w:cs="宋体"/>
                <w:sz w:val="22"/>
              </w:rPr>
            </w:pPr>
            <w:r>
              <w:rPr>
                <w:rFonts w:hint="eastAsia" w:ascii="宋体" w:hAnsi="宋体" w:eastAsia="等线" w:cs="宋体"/>
                <w:sz w:val="22"/>
              </w:rPr>
              <w:t>2块</w:t>
            </w:r>
          </w:p>
        </w:tc>
        <w:tc>
          <w:tcPr>
            <w:tcW w:w="520" w:type="pct"/>
            <w:noWrap w:val="0"/>
            <w:vAlign w:val="center"/>
          </w:tcPr>
          <w:p w14:paraId="25FD2A12">
            <w:pPr>
              <w:rPr>
                <w:rFonts w:ascii="宋体" w:hAnsi="宋体" w:cs="宋体"/>
                <w:sz w:val="22"/>
                <w:szCs w:val="22"/>
              </w:rPr>
            </w:pPr>
            <w:r>
              <w:rPr>
                <w:rFonts w:hint="eastAsia" w:ascii="宋体" w:hAnsi="宋体" w:cs="宋体"/>
                <w:sz w:val="19"/>
                <w:szCs w:val="19"/>
                <w:lang w:bidi="ar"/>
              </w:rPr>
              <w:t>全新产品，含三年质保。</w:t>
            </w:r>
          </w:p>
        </w:tc>
      </w:tr>
    </w:tbl>
    <w:p w14:paraId="08247F82">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二、交货地点：湖北省烟草公司黄石市公司。</w:t>
      </w:r>
    </w:p>
    <w:p w14:paraId="18240E47">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三、交货期限：合同生效后30日内需完成供货及安装。</w:t>
      </w:r>
    </w:p>
    <w:p w14:paraId="45AF04AC">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4E68FBD3">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 xml:space="preserve">设备到货且安装完成，并经甲乙双方验收合格后，由供应商单位开具全额增值税专用发票，甲方收到发票后30个工作日内支付合同金额的全款。 </w:t>
      </w:r>
    </w:p>
    <w:bookmarkEnd w:id="0"/>
    <w:p w14:paraId="262EEED1">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5A73FE78">
      <w:pPr>
        <w:adjustRightInd w:val="0"/>
        <w:snapToGrid w:val="0"/>
        <w:spacing w:line="360" w:lineRule="auto"/>
        <w:ind w:firstLine="440" w:firstLineChars="200"/>
        <w:rPr>
          <w:rFonts w:hint="eastAsia" w:ascii="宋体" w:hAnsi="宋体" w:cs="仿宋_GB2312"/>
          <w:sz w:val="22"/>
          <w:szCs w:val="22"/>
        </w:rPr>
      </w:pPr>
      <w:bookmarkStart w:id="1" w:name="_Hlk195607323"/>
      <w:r>
        <w:rPr>
          <w:rFonts w:hint="eastAsia" w:ascii="宋体" w:hAnsi="宋体" w:cs="仿宋_GB2312"/>
          <w:sz w:val="22"/>
          <w:szCs w:val="22"/>
        </w:rPr>
        <w:t>1.所提供的货物及产品应符合国家相关生产标准，如采用假冒伪劣产品，应无偿更换，因此造成直接或间接损失的应由乙方承担，货物安装实施应按项目属性对应的国家标准、规范完成现场安装实施工作，确保项目整体质量达标。</w:t>
      </w:r>
    </w:p>
    <w:p w14:paraId="1CEDD54C">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2.供应商提供给我方的本项目下的所有设备均应通过工厂严格测试和检验，设备必须是全新的，不存在质量问题或二次销售情形。</w:t>
      </w:r>
    </w:p>
    <w:p w14:paraId="539DF854">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3.供应商需在服务期内配合我方完成操作系统升级，软件兼容性适配工作，保证项目顺利进行。</w:t>
      </w:r>
    </w:p>
    <w:bookmarkEnd w:id="1"/>
    <w:p w14:paraId="5269327A">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6C72A717">
      <w:pPr>
        <w:adjustRightInd w:val="0"/>
        <w:snapToGrid w:val="0"/>
        <w:spacing w:line="360" w:lineRule="auto"/>
        <w:ind w:firstLine="440" w:firstLineChars="200"/>
        <w:rPr>
          <w:rFonts w:hint="eastAsia" w:ascii="宋体" w:hAnsi="宋体" w:cs="仿宋_GB2312"/>
          <w:sz w:val="22"/>
          <w:szCs w:val="22"/>
        </w:rPr>
      </w:pPr>
      <w:bookmarkStart w:id="3" w:name="_Hlk218610174"/>
      <w:bookmarkStart w:id="4" w:name="_Hlk218609720"/>
      <w:r>
        <w:rPr>
          <w:rFonts w:hint="eastAsia" w:ascii="宋体" w:hAnsi="宋体" w:cs="仿宋_GB2312"/>
          <w:sz w:val="22"/>
          <w:szCs w:val="22"/>
        </w:rPr>
        <w:t>1.验收方法：一次验收。</w:t>
      </w:r>
    </w:p>
    <w:p w14:paraId="4B749924">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2.验收条件：乙方在合同约定时间内完成供货及安装。</w:t>
      </w:r>
    </w:p>
    <w:p w14:paraId="7B459B76">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3.验收内容：双方签订项目验收报告(含设备到货确认单）。</w:t>
      </w:r>
    </w:p>
    <w:p w14:paraId="7B291257">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4.验收标准：</w:t>
      </w:r>
    </w:p>
    <w:p w14:paraId="3E83353E">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4.1、乙方所供货物是否符合本合同的约定；</w:t>
      </w:r>
    </w:p>
    <w:p w14:paraId="1721AA90">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4.2、乙方是否按照合同约定安装完成并投入正常使用；</w:t>
      </w:r>
    </w:p>
    <w:p w14:paraId="7D20FAAE">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5.验收时间：货到并安装完成后15个工作日内</w:t>
      </w:r>
      <w:bookmarkEnd w:id="3"/>
      <w:r>
        <w:rPr>
          <w:rFonts w:hint="eastAsia" w:ascii="宋体" w:hAnsi="宋体" w:cs="仿宋_GB2312"/>
          <w:sz w:val="22"/>
          <w:szCs w:val="22"/>
        </w:rPr>
        <w:t>。</w:t>
      </w:r>
    </w:p>
    <w:bookmarkEnd w:id="4"/>
    <w:p w14:paraId="3D9CB34B">
      <w:pPr>
        <w:spacing w:line="360" w:lineRule="auto"/>
        <w:rPr>
          <w:rFonts w:ascii="宋体" w:hAnsi="宋体" w:cs="仿宋_GB2312"/>
          <w:sz w:val="22"/>
          <w:szCs w:val="22"/>
        </w:rPr>
      </w:pPr>
      <w:r>
        <w:rPr>
          <w:rFonts w:hint="eastAsia" w:ascii="宋体" w:hAnsi="宋体" w:cs="仿宋_GB2312"/>
          <w:sz w:val="22"/>
          <w:szCs w:val="22"/>
        </w:rPr>
        <w:t>七、售后服务</w:t>
      </w:r>
    </w:p>
    <w:p w14:paraId="3436C8AE">
      <w:pPr>
        <w:adjustRightInd w:val="0"/>
        <w:snapToGrid w:val="0"/>
        <w:spacing w:line="360" w:lineRule="auto"/>
        <w:ind w:firstLine="440" w:firstLineChars="200"/>
        <w:rPr>
          <w:rFonts w:hint="eastAsia" w:ascii="宋体" w:hAnsi="宋体" w:cs="仿宋_GB2312"/>
          <w:sz w:val="22"/>
          <w:szCs w:val="22"/>
        </w:rPr>
      </w:pPr>
      <w:bookmarkStart w:id="5" w:name="_Hlk207896899"/>
      <w:r>
        <w:rPr>
          <w:rFonts w:hint="eastAsia" w:ascii="宋体" w:hAnsi="宋体" w:cs="仿宋_GB2312"/>
          <w:sz w:val="22"/>
          <w:szCs w:val="22"/>
        </w:rPr>
        <w:t>1、</w:t>
      </w:r>
      <w:bookmarkStart w:id="6" w:name="_Hlk211332617"/>
      <w:r>
        <w:rPr>
          <w:rFonts w:hint="eastAsia" w:ascii="宋体" w:hAnsi="宋体" w:cs="仿宋_GB2312"/>
          <w:sz w:val="22"/>
          <w:szCs w:val="22"/>
        </w:rPr>
        <w:t>本项目售后服务期：自项目验收合格之日起3年</w:t>
      </w:r>
      <w:bookmarkEnd w:id="6"/>
      <w:r>
        <w:rPr>
          <w:rFonts w:hint="eastAsia" w:ascii="宋体" w:hAnsi="宋体" w:cs="仿宋_GB2312"/>
          <w:sz w:val="22"/>
          <w:szCs w:val="22"/>
        </w:rPr>
        <w:t>。</w:t>
      </w:r>
    </w:p>
    <w:p w14:paraId="0B137D1E">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2F1C79E1">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3、在售后服务期内，如果由于乙方的责任，合同设备功能不能达到或者合同设备不能进行正常运行，质保期将按照上述问题持续的时间作相应延长。</w:t>
      </w:r>
    </w:p>
    <w:p w14:paraId="7EBFB681">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4、在售后服务期内，为了提供合同设备的维护，在收到甲方的书面或电话通知后，乙方应迅速免费（包括免收但不限于免收运费、保险费、包装费用）补充或更换设备中有故障的部件。</w:t>
      </w:r>
    </w:p>
    <w:p w14:paraId="77FF8610">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5、在售后服务期内，乙方将指定1名技术人员作为项目固定支持人员，如果该类人员出现交替乙方须提前一周告知甲方。</w:t>
      </w:r>
    </w:p>
    <w:p w14:paraId="7DEC53D6">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6、合同售后服务期满后，如甲方有要求，乙方有义务继续以优惠价格向甲方提供与本合同设备相兼容的性能不低于原部件并能使合同设备正常运行的零部件</w:t>
      </w:r>
      <w:bookmarkEnd w:id="5"/>
      <w:r>
        <w:rPr>
          <w:rFonts w:hint="eastAsia" w:ascii="宋体" w:hAnsi="宋体" w:cs="仿宋_GB2312"/>
          <w:sz w:val="22"/>
          <w:szCs w:val="22"/>
        </w:rPr>
        <w:t>。</w:t>
      </w:r>
    </w:p>
    <w:p w14:paraId="282EAF0E">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31ADF"/>
    <w:rsid w:val="37F31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2026-01-12T09:27:00Z</dcterms:created>
  <dc:creator>顾梦</dc:creator>
  <cp:lastModifiedBy>顾梦</cp:lastModifiedBy>
  <dcterms:modified xsi:type="dcterms:W3CDTF">2026-01-12T09:27:38Z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014EBC7D07204857AA08DFDCE45181FF_11</vt:lpwstr>
  </property>
  <property fmtid="{D5CDD505-2E9C-101B-9397-08002B2CF9AE}" pid="4" name="KSOTemplateDocerSaveRecord">
    <vt:lpwstr>eyJoZGlkIjoiYzY5N2EwYWQ1Yzc3OGE4MmU5ZDI3MWU3OTkyZDM3NGMiLCJ1c2VySWQiOiI0MDQwNzE2MzYifQ==</vt:lpwstr>
  </property>
</Properties>
</file>