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9B525">
      <w:pPr>
        <w:pStyle w:val="2"/>
        <w:jc w:val="center"/>
        <w:rPr>
          <w:rFonts w:hint="default" w:ascii="宋体" w:hAnsi="宋体" w:eastAsia="宋体" w:cs="仿宋_GB2312"/>
          <w:color w:val="C00000"/>
          <w:sz w:val="48"/>
          <w:szCs w:val="28"/>
          <w:lang w:val="en-US" w:eastAsia="zh-CN"/>
        </w:rPr>
      </w:pPr>
      <w:r>
        <w:rPr>
          <w:rFonts w:hint="eastAsia" w:ascii="宋体" w:hAnsi="宋体" w:cs="仿宋_GB2312"/>
          <w:color w:val="C00000"/>
          <w:sz w:val="48"/>
          <w:szCs w:val="28"/>
        </w:rPr>
        <w:t>第三章 采购需求</w:t>
      </w:r>
    </w:p>
    <w:p w14:paraId="2C8F4E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360" w:lineRule="auto"/>
        <w:ind w:left="0" w:leftChars="0" w:firstLine="420" w:firstLineChars="0"/>
        <w:contextualSpacing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本部分一般应包含但不限于如下主要内容：</w:t>
      </w:r>
    </w:p>
    <w:p w14:paraId="459549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cs="仿宋_GB2312"/>
          <w:b/>
          <w:bCs/>
          <w:sz w:val="22"/>
          <w:szCs w:val="22"/>
          <w:highlight w:val="none"/>
          <w:lang w:val="en-US" w:eastAsia="zh-CN"/>
        </w:rPr>
        <w:t>采购内容</w:t>
      </w:r>
      <w:r>
        <w:rPr>
          <w:rFonts w:hint="eastAsia" w:ascii="宋体" w:hAnsi="宋体" w:cs="仿宋_GB2312"/>
          <w:b/>
          <w:bCs/>
          <w:sz w:val="22"/>
          <w:szCs w:val="22"/>
          <w:highlight w:val="none"/>
        </w:rPr>
        <w:t>；</w:t>
      </w:r>
    </w:p>
    <w:p w14:paraId="3E5ACD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360" w:lineRule="auto"/>
        <w:ind w:left="0" w:leftChars="0" w:firstLine="420" w:firstLineChars="0"/>
        <w:contextualSpacing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（一）2025年楚烟数科资产管理数据中心建设项目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是实现资产数智化管理的核心载体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本数据中心建设需达成四大核心目标：（1）打造资产管理中心，实现资产全生命周期闭环管理；（2）构建资产运营中心，优化资产配置与经营策略；（3）建设预警监管中心，强化风险动态管控能力；（4）搭建用户服务中心，提升内外用户服务效率。同时，需搭建资产管理数据中心基础框架，初步实现湖北省烟草系统资产管理与运营的数字化转型，完成软件设计、开发、实施全流程工作。</w:t>
      </w:r>
    </w:p>
    <w:p w14:paraId="45B377A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360" w:lineRule="auto"/>
        <w:contextualSpacing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采购内容：</w:t>
      </w:r>
    </w:p>
    <w:p w14:paraId="69D68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360" w:lineRule="auto"/>
        <w:ind w:left="0" w:leftChars="0" w:firstLine="420" w:firstLineChars="0"/>
        <w:contextualSpacing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1.资产数智门户：工作台、领导看板、门户展示 </w:t>
      </w:r>
    </w:p>
    <w:p w14:paraId="6ADB5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360" w:lineRule="auto"/>
        <w:ind w:left="0" w:leftChars="0" w:firstLine="420" w:firstLineChars="0"/>
        <w:contextualSpacing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2.资产管理中心子系统（资产（不动产 ）数据仓库）：资产档案、资产维护、资产规划、报表中心、资产巡检。</w:t>
      </w:r>
    </w:p>
    <w:p w14:paraId="7372F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360" w:lineRule="auto"/>
        <w:ind w:left="0" w:leftChars="0" w:firstLine="420" w:firstLineChars="0"/>
        <w:contextualSpacing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3.资产运营中心子系统：资产租控、租赁管理、客户管理、合同管理、履约管理、收费管理、报表中心。</w:t>
      </w:r>
    </w:p>
    <w:p w14:paraId="3D739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360" w:lineRule="auto"/>
        <w:ind w:left="0" w:leftChars="0" w:firstLine="420" w:firstLineChars="0"/>
        <w:contextualSpacing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4.预警监管中心子系统：领导预警看板、预警配置、预警提醒、预警处理、考核管理、报表中心。</w:t>
      </w:r>
    </w:p>
    <w:p w14:paraId="661C47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360" w:lineRule="auto"/>
        <w:ind w:left="0" w:leftChars="0" w:firstLine="420" w:firstLineChars="0"/>
        <w:contextualSpacing/>
        <w:textAlignment w:val="auto"/>
        <w:rPr>
          <w:rFonts w:hint="eastAsia"/>
          <w:highlight w:val="yellow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5.用户服务中心子系统：在线看房、我的合同、身份认证、维修维护、账单催缴、电子账单、开票申请、电子收据、我的帮助。</w:t>
      </w:r>
    </w:p>
    <w:p w14:paraId="53A7524A">
      <w:pPr>
        <w:spacing w:line="360" w:lineRule="auto"/>
        <w:ind w:left="220" w:hanging="220" w:hangingChars="100"/>
        <w:rPr>
          <w:rFonts w:hint="eastAsia" w:ascii="宋体" w:hAnsi="宋体" w:cs="仿宋_GB2312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仿宋_GB2312"/>
          <w:sz w:val="22"/>
          <w:szCs w:val="22"/>
          <w:highlight w:val="none"/>
          <w:lang w:val="en-US" w:eastAsia="zh-CN"/>
        </w:rPr>
        <w:t>服务地点：甲方指定地点</w:t>
      </w:r>
    </w:p>
    <w:p w14:paraId="1B2A6E04">
      <w:pPr>
        <w:spacing w:line="360" w:lineRule="auto"/>
        <w:ind w:left="220" w:hanging="220" w:hangingChars="100"/>
        <w:rPr>
          <w:rFonts w:hint="eastAsia" w:ascii="宋体" w:hAnsi="宋体" w:cs="仿宋_GB2312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仿宋_GB2312"/>
          <w:sz w:val="22"/>
          <w:szCs w:val="22"/>
          <w:highlight w:val="none"/>
          <w:lang w:val="en-US" w:eastAsia="zh-CN"/>
        </w:rPr>
        <w:t>服务</w:t>
      </w:r>
      <w:bookmarkStart w:id="1" w:name="_GoBack"/>
      <w:bookmarkEnd w:id="1"/>
      <w:r>
        <w:rPr>
          <w:rFonts w:hint="eastAsia" w:ascii="宋体" w:hAnsi="宋体" w:cs="仿宋_GB2312"/>
          <w:sz w:val="22"/>
          <w:szCs w:val="22"/>
          <w:highlight w:val="none"/>
          <w:lang w:val="en-US" w:eastAsia="zh-CN"/>
        </w:rPr>
        <w:t>期限：合同生效后2个月内</w:t>
      </w:r>
    </w:p>
    <w:p w14:paraId="2370DAA0">
      <w:pPr>
        <w:spacing w:line="360" w:lineRule="auto"/>
        <w:ind w:left="220" w:hanging="220" w:hangingChars="100"/>
        <w:rPr>
          <w:rFonts w:hint="eastAsia" w:ascii="宋体" w:hAnsi="宋体" w:cs="仿宋_GB2312"/>
          <w:sz w:val="48"/>
          <w:szCs w:val="48"/>
          <w:highlight w:val="none"/>
        </w:rPr>
      </w:pPr>
      <w:r>
        <w:rPr>
          <w:rFonts w:hint="eastAsia" w:ascii="宋体" w:hAnsi="宋体" w:eastAsia="宋体" w:cs="仿宋_GB2312"/>
          <w:sz w:val="22"/>
          <w:szCs w:val="22"/>
          <w:highlight w:val="none"/>
          <w:lang w:val="en-US" w:eastAsia="zh-CN"/>
        </w:rPr>
        <w:t>服务期：</w:t>
      </w:r>
      <w:r>
        <w:rPr>
          <w:rFonts w:hint="eastAsia" w:ascii="宋体" w:hAnsi="宋体" w:eastAsia="宋体" w:cs="宋体"/>
          <w:kern w:val="0"/>
          <w:sz w:val="22"/>
          <w:szCs w:val="22"/>
          <w:highlight w:val="none"/>
          <w:lang w:val="en-US" w:eastAsia="zh-CN"/>
        </w:rPr>
        <w:t>一年</w:t>
      </w:r>
    </w:p>
    <w:p w14:paraId="00244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仿宋_GB2312"/>
          <w:b/>
          <w:bCs/>
          <w:sz w:val="22"/>
          <w:szCs w:val="22"/>
          <w:lang w:val="en-US" w:eastAsia="zh-CN"/>
        </w:rPr>
        <w:t>二、合同金额</w:t>
      </w:r>
      <w:r>
        <w:rPr>
          <w:rFonts w:hint="eastAsia" w:ascii="宋体" w:hAnsi="宋体" w:cs="仿宋_GB2312"/>
          <w:b/>
          <w:bCs/>
          <w:sz w:val="22"/>
          <w:szCs w:val="22"/>
        </w:rPr>
        <w:t>；</w:t>
      </w:r>
      <w:r>
        <w:rPr>
          <w:rFonts w:hint="eastAsia"/>
          <w:lang w:val="en-US" w:eastAsia="zh-CN"/>
        </w:rPr>
        <w:t>合同</w:t>
      </w:r>
      <w:r>
        <w:rPr>
          <w:rFonts w:hint="default"/>
          <w:lang w:val="en-US" w:eastAsia="zh-CN"/>
        </w:rPr>
        <w:t>总金额（含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%税价）：</w:t>
      </w:r>
      <w:r>
        <w:rPr>
          <w:rFonts w:hint="default"/>
          <w:u w:val="single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/>
          <w:u w:val="single"/>
          <w:lang w:val="en-US" w:eastAsia="zh-CN"/>
        </w:rPr>
        <w:t>（小写）</w:t>
      </w:r>
      <w:r>
        <w:rPr>
          <w:rFonts w:hint="default"/>
          <w:lang w:val="en-US" w:eastAsia="zh-CN"/>
        </w:rPr>
        <w:t xml:space="preserve"> 合同总金额：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default"/>
          <w:u w:val="single"/>
          <w:lang w:val="en-US" w:eastAsia="zh-CN"/>
        </w:rPr>
        <w:t>（大写）</w:t>
      </w:r>
    </w:p>
    <w:p w14:paraId="67F303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合同</w:t>
      </w:r>
      <w:r>
        <w:rPr>
          <w:rFonts w:hint="default"/>
          <w:lang w:val="en-US" w:eastAsia="zh-CN"/>
        </w:rPr>
        <w:t>履行期间，如遇国家税率调整，以合同约定的不含税价作为基准价，对税率和价税合计做相应调整。调整时间界定按照国家相关规定执行。</w:t>
      </w:r>
    </w:p>
    <w:p w14:paraId="4C3E529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  <w:t>付款方式：</w:t>
      </w:r>
    </w:p>
    <w:p w14:paraId="61C7EA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第一期款：本合同生效，系统上线后，乙方提交《系统上线确认报告》30日内，甲方应向乙方支付合同总金额的30%款项；</w:t>
      </w:r>
    </w:p>
    <w:p w14:paraId="50AC5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第二期款：系统稳定运行满三个月后，乙方提交验收报告，甲方在 30日内内支付合同总额的 65%；​</w:t>
      </w:r>
    </w:p>
    <w:p w14:paraId="71BB1C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第三期款：剩余合同总额的 5% 作为质保金，待 1 年维保期结束且系统无问题、甲乙双方确认后，甲方在 1 个月内不计利息一次性支付尾款。</w:t>
      </w:r>
    </w:p>
    <w:p w14:paraId="24FDE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甲方第一次付款前，乙方应当向甲方交付与本合同总金额等额的发票。发票类别为：增值税专用发票，发票税率为：6%。</w:t>
      </w:r>
    </w:p>
    <w:p w14:paraId="4D9A2823">
      <w:pPr>
        <w:pStyle w:val="4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3A337104">
      <w:pPr>
        <w:pStyle w:val="4"/>
        <w:rPr>
          <w:rFonts w:hint="default"/>
          <w:lang w:val="en-US" w:eastAsia="zh-CN"/>
        </w:rPr>
      </w:pPr>
    </w:p>
    <w:p w14:paraId="0A3E1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 w:cs="仿宋_GB2312" w:eastAsiaTheme="minorEastAsia"/>
          <w:kern w:val="2"/>
          <w:sz w:val="21"/>
          <w:szCs w:val="21"/>
          <w:highlight w:val="none"/>
          <w:lang w:val="en-US" w:eastAsia="zh-CN" w:bidi="ar-SA"/>
        </w:rPr>
      </w:pPr>
    </w:p>
    <w:p w14:paraId="1B1432F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42" w:firstLineChars="200"/>
        <w:textAlignment w:val="auto"/>
        <w:rPr>
          <w:rFonts w:hint="eastAsia" w:ascii="宋体" w:hAnsi="宋体" w:cs="仿宋_GB2312"/>
          <w:b/>
          <w:bCs/>
          <w:sz w:val="22"/>
          <w:szCs w:val="22"/>
        </w:rPr>
      </w:pPr>
      <w:r>
        <w:rPr>
          <w:rFonts w:hint="eastAsia" w:ascii="宋体" w:hAnsi="宋体" w:eastAsia="宋体" w:cs="仿宋_GB2312"/>
          <w:b/>
          <w:bCs/>
          <w:sz w:val="22"/>
          <w:szCs w:val="22"/>
          <w:lang w:val="en-US" w:eastAsia="zh-CN"/>
        </w:rPr>
        <w:t>服务要求</w:t>
      </w:r>
      <w:r>
        <w:rPr>
          <w:rFonts w:hint="eastAsia" w:ascii="宋体" w:hAnsi="宋体" w:cs="仿宋_GB2312"/>
          <w:b/>
          <w:bCs/>
          <w:sz w:val="22"/>
          <w:szCs w:val="22"/>
        </w:rPr>
        <w:t>；</w:t>
      </w:r>
    </w:p>
    <w:p w14:paraId="46342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乙方需在项目终验合格后15个工作日内，提交全套系统及接口的源代码(包括后端代码、前端代码、数据库脚本)，且源代码需满足“可执行、可验证”要求(即甲方可通过源代码重新编译部署系统，且功能与原系统一致);</w:t>
      </w:r>
    </w:p>
    <w:p w14:paraId="0D19F1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若乙方未按要求提供源代码或源代码存在缺失、无法编译等问题，甲方有权拒绝支付剩余款项，且乙方需承担相应违约责任。</w:t>
      </w:r>
    </w:p>
    <w:p w14:paraId="2704A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cs="仿宋_GB2312" w:eastAsiaTheme="minorEastAsia"/>
          <w:kern w:val="2"/>
          <w:sz w:val="21"/>
          <w:szCs w:val="21"/>
          <w:highlight w:val="none"/>
          <w:lang w:val="en-US" w:eastAsia="zh-CN" w:bidi="ar-SA"/>
        </w:rPr>
      </w:pPr>
    </w:p>
    <w:p w14:paraId="5EE2D9BA">
      <w:pPr>
        <w:pStyle w:val="4"/>
        <w:rPr>
          <w:rFonts w:hint="eastAsia"/>
          <w:lang w:val="en-US" w:eastAsia="zh-CN"/>
        </w:rPr>
      </w:pPr>
    </w:p>
    <w:p w14:paraId="1407CDA8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 w:ascii="宋体" w:hAnsi="宋体" w:cs="仿宋_GB2312" w:eastAsiaTheme="minorEastAsia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仿宋_GB2312"/>
          <w:b/>
          <w:bCs/>
          <w:kern w:val="2"/>
          <w:sz w:val="22"/>
          <w:szCs w:val="22"/>
          <w:lang w:val="en-US" w:eastAsia="zh-CN" w:bidi="ar-SA"/>
        </w:rPr>
        <w:t>五、验收标准及方法；</w:t>
      </w:r>
    </w:p>
    <w:p w14:paraId="07406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1.验收方法：分节点验收</w:t>
      </w:r>
    </w:p>
    <w:p w14:paraId="67856D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第一次验收，系统完成开发并上线。</w:t>
      </w:r>
    </w:p>
    <w:p w14:paraId="70DBA1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第二次验收，系统上线正常运行满 3 个月。</w:t>
      </w:r>
    </w:p>
    <w:p w14:paraId="5AF51F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第三次验收，项目免费维保1年结束后。</w:t>
      </w:r>
    </w:p>
    <w:p w14:paraId="642FB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经甲方确认并同意，软件运行中的细节性修改和完善调整，以及个别功能模块由于甲方内部原因的需求未确定、应用不够等因素不影响项目的终验，上述问题由乙方在维护阶段无偿负责解决，乙方应无偿提供技术支持。</w:t>
      </w:r>
    </w:p>
    <w:p w14:paraId="6225F6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5E0EED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2.验收条件：乙方完成合同约定相关服务内容。 </w:t>
      </w:r>
    </w:p>
    <w:p w14:paraId="56841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3.验收内容：合同约定的服务事项。</w:t>
      </w:r>
    </w:p>
    <w:p w14:paraId="3EC94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4.</w:t>
      </w:r>
      <w:bookmarkStart w:id="0" w:name="OLE_LINK7"/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验收标准：项目验收时，须提供以下文档：</w:t>
      </w:r>
    </w:p>
    <w:p w14:paraId="63C3A1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项目需求规格说明书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项目技术报告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项目合同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概要设计或蓝图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项目原型设计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详细设计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系统测试报告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项目试运行报告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项目技术文档（系统用户使用手册、系统维护手册等技术文档）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可编译运行的源代码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，软件著作权，等保测评，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渗透测试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，代码审计。</w:t>
      </w:r>
    </w:p>
    <w:bookmarkEnd w:id="0"/>
    <w:p w14:paraId="19562F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5.验收时间：合同签订之日起12个月之内服务。系统上线正常运行满 3 个月进行验收。</w:t>
      </w:r>
    </w:p>
    <w:p w14:paraId="2D1FB8C1">
      <w:pPr>
        <w:spacing w:line="50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32"/>
          <w:lang w:val="en-US" w:eastAsia="zh-CN"/>
        </w:rPr>
      </w:pPr>
    </w:p>
    <w:p w14:paraId="42B340FC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宋体" w:hAnsi="宋体" w:eastAsia="宋体" w:cs="仿宋_GB2312"/>
          <w:b/>
          <w:bCs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仿宋_GB2312"/>
          <w:b/>
          <w:bCs/>
          <w:kern w:val="2"/>
          <w:sz w:val="22"/>
          <w:szCs w:val="22"/>
          <w:lang w:val="en-US" w:eastAsia="zh-CN" w:bidi="ar-SA"/>
        </w:rPr>
        <w:t>六、售后服务</w:t>
      </w:r>
    </w:p>
    <w:p w14:paraId="07293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1.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质量保证：系统开发需符合行业质量标准，无功能性缺陷、数据安全漏洞；</w:t>
      </w:r>
    </w:p>
    <w:p w14:paraId="46CC84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2.  运维期限：从项目终验合格之日起，提供一年免费维护服务，包括系统故障排查、功能优化、数据支持等全场景；</w:t>
      </w:r>
    </w:p>
    <w:p w14:paraId="07B0A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3.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乙方保证对甲方工作人员进行本系统操作和使用培训，培训批次不少于3批、每批培训时长不少于8课时，培训地点甲方指定；培训大纲需涵盖系统操作（如资产登记、合同签订）、管理员维护（如用户权限配置、数据备份）、常见问题处理等内容，且需配套提供培训讲义（纸质版 + 电子版）、操作视频教程、考核题库等资料，确保培训效果。</w:t>
      </w:r>
    </w:p>
    <w:p w14:paraId="28B28F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4.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在标的产品系统实施完毕后一年内，提供以下运维服务：</w:t>
      </w:r>
    </w:p>
    <w:p w14:paraId="532212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（1）升级服务：若系统出现功能性缺陷、数据安全漏洞或兼容性问题，乙方需在接到甲方通知后 24 小时内提供软件升级方案，72 小时内完成升级（复杂问题可协商延长，但最长不超过 5 个工作日）；​若甲方提出合理的功能优化需求（如报表格式调整、操作流程简化），乙方需在 10 个工作日内完成优化开发与上线，且不额外收取费用。</w:t>
      </w:r>
    </w:p>
    <w:p w14:paraId="09FDD5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（2）报表服务：根据甲方财务、资产等业务部门的需求，协助制作定制化报表（如月度资产空置率报表、季度租金收缴统计报表）；报表制作需在接到需求后 5 个工作日内完成，且需配合部门进行数据核验，确保报表数据准确性与可读性。​</w:t>
      </w:r>
    </w:p>
    <w:p w14:paraId="4AA00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（3）响应服务：响应时效：提供 7×24 小时技术响应服务，甲方通过电话、邮件等方式发起需求后，乙方需在 1 小时内响应（确认需求、告知处理方案）；故障解决时效：一般故障（如操作报错、数据查询异常）需在 4 小时内解决；复杂故障（如服务器宕机、数据库异常）需在 8 小时内提供临时解决方案（如切换备用服务器），24 小时内彻底解决，避免业务中断。</w:t>
      </w:r>
    </w:p>
    <w:p w14:paraId="1EE8A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（4）后台服务：咨询渠道：提供热线电话、专属 Email、传真等固定咨询渠道，渠道信息需在运维启动前提交甲方备案，且不得随意变更；咨询处理：对甲方提出的系统操作咨询、技术疑问，需在 2 小时内给予明确答复；无法即时解答的复杂问题，需记录问题详情并跟踪处理，48 小时内反馈解决方案。​</w:t>
      </w:r>
    </w:p>
    <w:p w14:paraId="44B90E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p w14:paraId="386BC3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5E862"/>
    <w:multiLevelType w:val="singleLevel"/>
    <w:tmpl w:val="0195E8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47E3C43"/>
    <w:multiLevelType w:val="singleLevel"/>
    <w:tmpl w:val="347E3C4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86D92D4"/>
    <w:multiLevelType w:val="singleLevel"/>
    <w:tmpl w:val="586D92D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83D65"/>
    <w:rsid w:val="58BC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toc 1"/>
    <w:basedOn w:val="1"/>
    <w:next w:val="1"/>
    <w:qFormat/>
    <w:uiPriority w:val="39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1297</Words>
  <Characters>1567</Characters>
  <Lines>0</Lines>
  <Paragraphs>0</Paragraphs>
  <TotalTime>0</TotalTime>
  <ScaleCrop>false</ScaleCrop>
  <LinksUpToDate>false</LinksUpToDate>
  <CharactersWithSpaces>1630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2025-12-09T07:59:00Z</dcterms:created>
  <dc:creator>Administrator</dc:creator>
  <cp:lastModifiedBy>湛旭刚</cp:lastModifiedBy>
  <dcterms:modified xsi:type="dcterms:W3CDTF">2025-12-11T07:19:29Z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eyJoZGlkIjoiOWJkYzdlNzhhZGY5YWM4OTFhMjE2ZmFmN2ViYTMzZTUiLCJ1c2VySWQiOiI0MzU3OTIwODIifQ==</vt:lpwstr>
  </property>
  <property fmtid="{D5CDD505-2E9C-101B-9397-08002B2CF9AE}" pid="4" name="ICV">
    <vt:lpwstr>F5691A53B92F4810891C8D5997D1B877_12</vt:lpwstr>
  </property>
</Properties>
</file>