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BA9E5">
      <w:pPr>
        <w:pStyle w:val="3"/>
        <w:jc w:val="center"/>
        <w:rPr>
          <w:rFonts w:ascii="宋体" w:hAnsi="宋体" w:cs="仿宋_GB2312"/>
          <w:color w:val="auto"/>
          <w:sz w:val="4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cs="仿宋_GB2312"/>
          <w:color w:val="auto"/>
          <w:sz w:val="48"/>
          <w:szCs w:val="28"/>
        </w:rPr>
        <w:t>采购需求</w:t>
      </w:r>
    </w:p>
    <w:p w14:paraId="4B148B57">
      <w:pPr>
        <w:spacing w:line="360" w:lineRule="auto"/>
        <w:ind w:firstLine="442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b/>
          <w:bCs/>
          <w:sz w:val="22"/>
          <w:szCs w:val="22"/>
          <w:lang w:val="en-US" w:eastAsia="zh-CN"/>
        </w:rPr>
        <w:t>一、采购内容明细</w:t>
      </w:r>
    </w:p>
    <w:p w14:paraId="0C889847">
      <w:pPr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本部分一般应包含但不限于如下主要内容：</w:t>
      </w:r>
    </w:p>
    <w:tbl>
      <w:tblPr>
        <w:tblStyle w:val="5"/>
        <w:tblpPr w:leftFromText="180" w:rightFromText="180" w:vertAnchor="text" w:horzAnchor="page" w:tblpX="2305" w:tblpY="219"/>
        <w:tblOverlap w:val="never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817"/>
        <w:gridCol w:w="927"/>
        <w:gridCol w:w="814"/>
        <w:gridCol w:w="4333"/>
        <w:gridCol w:w="815"/>
        <w:gridCol w:w="816"/>
      </w:tblGrid>
      <w:tr w14:paraId="6511B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F8E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8"/>
                <w:lang w:val="en-US" w:eastAsia="zh-CN"/>
              </w:rPr>
              <w:t>序号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605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8"/>
                <w:lang w:val="en-US" w:eastAsia="zh-CN"/>
              </w:rPr>
              <w:t>名称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905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8"/>
                <w:lang w:val="en-US" w:eastAsia="zh-CN"/>
              </w:rPr>
              <w:t>品牌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D42E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8"/>
                <w:lang w:val="en-US" w:eastAsia="zh-CN"/>
              </w:rPr>
              <w:t>规格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91D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8"/>
                <w:lang w:val="en-US" w:eastAsia="zh-CN"/>
              </w:rPr>
              <w:t>单位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444D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8"/>
                <w:lang w:val="en-US" w:eastAsia="zh-CN"/>
              </w:rPr>
              <w:t>数量</w:t>
            </w:r>
          </w:p>
        </w:tc>
      </w:tr>
      <w:tr w14:paraId="3E19F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AB5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1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F62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企业级机架式NAS存储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474D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国产</w:t>
            </w:r>
          </w:p>
        </w:tc>
        <w:tc>
          <w:tcPr>
            <w:tcW w:w="43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DF625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sz w:val="22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8"/>
                <w:lang w:val="en-US" w:eastAsia="zh-CN"/>
              </w:rPr>
              <w:t>2*4310(2.1GHz/12/18MB/120W)CPU模块;</w:t>
            </w:r>
          </w:p>
          <w:p w14:paraId="3273481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sz w:val="22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8"/>
                <w:lang w:val="en-US" w:eastAsia="zh-CN"/>
              </w:rPr>
              <w:t>4 * 32GB 2Rx8 DDR4-2933</w:t>
            </w: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sz w:val="22"/>
                <w:szCs w:val="28"/>
                <w:lang w:val="en-US" w:eastAsia="zh-CN"/>
              </w:rPr>
              <w:t>(CAS-22-22-22) RDIMM 内存模块 ;</w:t>
            </w:r>
          </w:p>
          <w:p w14:paraId="48AB5A9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sz w:val="22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8"/>
                <w:lang w:val="en-US" w:eastAsia="zh-CN"/>
              </w:rPr>
              <w:t>G5 24LFF硬盘扩展模块;</w:t>
            </w:r>
          </w:p>
          <w:p w14:paraId="283F36C2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sz w:val="22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8"/>
                <w:lang w:val="en-US" w:eastAsia="zh-CN"/>
              </w:rPr>
              <w:t>2 * 480GB 6Gb/s SATA 3.5in RI SSD UCC 通用硬盘模块 ;</w:t>
            </w:r>
          </w:p>
          <w:p w14:paraId="0DD72F5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sz w:val="22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8"/>
                <w:lang w:val="en-US" w:eastAsia="zh-CN"/>
              </w:rPr>
              <w:t>15 * 20TB 6Gb/s SATA 7.2K 3.5in EV 512e He HDD UCL 通用硬盘模块 ;</w:t>
            </w:r>
          </w:p>
          <w:p w14:paraId="62899F8B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sz w:val="22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8"/>
                <w:lang w:val="en-US" w:eastAsia="zh-CN"/>
              </w:rPr>
              <w:t>G5 2U X16X8X8 Riser(槽位1/2)(支持2个FHFL和1个FHHL,支持1张300W GPU);</w:t>
            </w:r>
          </w:p>
          <w:p w14:paraId="7A3124D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sz w:val="22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8"/>
                <w:lang w:val="en-US" w:eastAsia="zh-CN"/>
              </w:rPr>
              <w:t>LSI 9460-8i 12G SAS RAID卡模块(支持8个SAS Port,带4GB缓存,PCIe,不含超级电容);</w:t>
            </w:r>
          </w:p>
          <w:p w14:paraId="43EA4065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sz w:val="22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8"/>
                <w:lang w:val="en-US" w:eastAsia="zh-CN"/>
              </w:rPr>
              <w:t>2端口10Gb/s PCIe3.0 x8 SFP+光接口BCM957412 LP以太网卡(Broadcom BCM57412)(FIO);</w:t>
            </w:r>
          </w:p>
          <w:p w14:paraId="0D501473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sz w:val="22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8"/>
                <w:lang w:val="en-US" w:eastAsia="zh-CN"/>
              </w:rPr>
              <w:t>LSI G3超级电容模块;</w:t>
            </w:r>
          </w:p>
          <w:p w14:paraId="74F48713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sz w:val="22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8"/>
                <w:lang w:val="en-US" w:eastAsia="zh-CN"/>
              </w:rPr>
              <w:t>2 * SFP+ 万兆模块(850nm,300m,LC);</w:t>
            </w:r>
          </w:p>
          <w:p w14:paraId="69203C55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sz w:val="22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8"/>
                <w:lang w:val="en-US" w:eastAsia="zh-CN"/>
              </w:rPr>
              <w:t>2 * 1300W 交流&amp;240V高压直流 电源模块 (白金-轻载高效)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8A25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套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066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1</w:t>
            </w:r>
          </w:p>
        </w:tc>
      </w:tr>
    </w:tbl>
    <w:p w14:paraId="566C572D">
      <w:pPr>
        <w:pStyle w:val="4"/>
        <w:rPr>
          <w:rFonts w:hint="default"/>
          <w:lang w:val="en-US" w:eastAsia="zh-CN"/>
        </w:rPr>
      </w:pPr>
    </w:p>
    <w:p w14:paraId="3803F742">
      <w:pPr>
        <w:autoSpaceDE w:val="0"/>
        <w:autoSpaceDN w:val="0"/>
        <w:adjustRightInd w:val="0"/>
        <w:ind w:firstLine="420" w:firstLineChars="200"/>
        <w:jc w:val="left"/>
        <w:rPr>
          <w:rFonts w:hint="eastAsia"/>
          <w:lang w:eastAsia="zh-CN"/>
        </w:rPr>
      </w:pPr>
      <w:r>
        <w:rPr>
          <w:rFonts w:hint="eastAsia"/>
        </w:rPr>
        <w:t>*此设备</w:t>
      </w:r>
      <w:r>
        <w:rPr>
          <w:rFonts w:hint="eastAsia"/>
          <w:lang w:val="en-US" w:eastAsia="zh-CN"/>
        </w:rPr>
        <w:t>部分包含</w:t>
      </w:r>
      <w:r>
        <w:rPr>
          <w:rFonts w:hint="eastAsia"/>
        </w:rPr>
        <w:t>运输、施工、辅材、调试等相关费用</w:t>
      </w:r>
      <w:r>
        <w:rPr>
          <w:rFonts w:hint="eastAsia"/>
          <w:lang w:eastAsia="zh-CN"/>
        </w:rPr>
        <w:t>。</w:t>
      </w:r>
    </w:p>
    <w:p w14:paraId="7D1B74D3">
      <w:pPr>
        <w:spacing w:line="360" w:lineRule="auto"/>
        <w:ind w:firstLine="440" w:firstLineChars="200"/>
        <w:rPr>
          <w:rFonts w:hint="eastAsia"/>
          <w:lang w:eastAsia="zh-CN"/>
        </w:rPr>
      </w:pPr>
      <w:r>
        <w:rPr>
          <w:rFonts w:hint="eastAsia" w:ascii="宋体" w:hAnsi="宋体" w:cs="仿宋_GB2312"/>
          <w:sz w:val="22"/>
          <w:szCs w:val="22"/>
          <w:lang w:val="en-US" w:eastAsia="zh-CN"/>
        </w:rPr>
        <w:t>质保期：原厂质保3年</w:t>
      </w:r>
    </w:p>
    <w:p w14:paraId="2B54B389">
      <w:pPr>
        <w:autoSpaceDE w:val="0"/>
        <w:autoSpaceDN w:val="0"/>
        <w:adjustRightInd w:val="0"/>
        <w:ind w:firstLine="420" w:firstLineChars="200"/>
        <w:jc w:val="left"/>
        <w:rPr>
          <w:rFonts w:hint="default" w:eastAsia="宋体"/>
          <w:lang w:val="en-US" w:eastAsia="zh-CN"/>
        </w:rPr>
      </w:pPr>
      <w:r>
        <w:t>交货地点：</w:t>
      </w:r>
      <w:r>
        <w:rPr>
          <w:rFonts w:hint="eastAsia"/>
          <w:lang w:val="en-US" w:eastAsia="zh-CN"/>
        </w:rPr>
        <w:t>甲方指定地点</w:t>
      </w:r>
    </w:p>
    <w:p w14:paraId="191C6D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交货期限：合同生效后30日内需完成供货及安装工作。</w:t>
      </w:r>
    </w:p>
    <w:p w14:paraId="0A05B0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2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仿宋_GB2312" w:eastAsiaTheme="minorEastAsia"/>
          <w:b/>
          <w:bCs/>
          <w:kern w:val="2"/>
          <w:sz w:val="22"/>
          <w:szCs w:val="22"/>
          <w:lang w:val="en-US" w:eastAsia="zh-CN" w:bidi="ar-SA"/>
        </w:rPr>
        <w:t>二、合同金额</w:t>
      </w:r>
      <w:r>
        <w:rPr>
          <w:rFonts w:hint="eastAsia"/>
          <w:lang w:val="en-US" w:eastAsia="zh-CN"/>
        </w:rPr>
        <w:t>：合同</w:t>
      </w:r>
      <w:r>
        <w:rPr>
          <w:rFonts w:hint="default"/>
          <w:lang w:val="en-US" w:eastAsia="zh-CN"/>
        </w:rPr>
        <w:t>总金额（含</w:t>
      </w:r>
      <w:r>
        <w:rPr>
          <w:rFonts w:hint="eastAsia"/>
          <w:lang w:val="en-US" w:eastAsia="zh-CN"/>
        </w:rPr>
        <w:t>13</w:t>
      </w:r>
      <w:r>
        <w:rPr>
          <w:rFonts w:hint="default"/>
          <w:lang w:val="en-US" w:eastAsia="zh-CN"/>
        </w:rPr>
        <w:t>%税价）：</w:t>
      </w:r>
      <w:r>
        <w:rPr>
          <w:rFonts w:hint="default"/>
          <w:u w:val="single"/>
          <w:lang w:val="en-US" w:eastAsia="zh-CN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default"/>
          <w:u w:val="single"/>
          <w:lang w:val="en-US" w:eastAsia="zh-CN"/>
        </w:rPr>
        <w:t>（小写）</w:t>
      </w:r>
      <w:r>
        <w:rPr>
          <w:rFonts w:hint="default"/>
          <w:lang w:val="en-US" w:eastAsia="zh-CN"/>
        </w:rPr>
        <w:t xml:space="preserve"> 合同总金额：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default"/>
          <w:u w:val="single"/>
          <w:lang w:val="en-US" w:eastAsia="zh-CN"/>
        </w:rPr>
        <w:t>（大写）</w:t>
      </w:r>
    </w:p>
    <w:p w14:paraId="29CE9F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合同</w:t>
      </w:r>
      <w:r>
        <w:rPr>
          <w:rFonts w:hint="default"/>
          <w:lang w:val="en-US" w:eastAsia="zh-CN"/>
        </w:rPr>
        <w:t>履行期间，如遇国家税率调整，以合同约定的不含税价作为基准价，对税率和价税合计做相应调整。调整时间界定按照国家相关规定执行。</w:t>
      </w:r>
    </w:p>
    <w:p w14:paraId="5E33C38F">
      <w:pPr>
        <w:spacing w:line="360" w:lineRule="auto"/>
        <w:ind w:firstLine="442" w:firstLineChars="200"/>
        <w:rPr>
          <w:rFonts w:hint="eastAsia" w:ascii="宋体" w:hAnsi="宋体" w:cs="仿宋_GB2312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 w:cs="仿宋_GB2312"/>
          <w:b/>
          <w:bCs/>
          <w:sz w:val="22"/>
          <w:szCs w:val="22"/>
          <w:lang w:val="en-US" w:eastAsia="zh-CN"/>
        </w:rPr>
        <w:t>三、付款方式：</w:t>
      </w:r>
    </w:p>
    <w:p w14:paraId="6D8F1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1050" w:rightChars="500" w:firstLine="420" w:firstLineChars="200"/>
        <w:jc w:val="both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cs="仿宋_GB2312" w:eastAsiaTheme="minorEastAsia"/>
          <w:kern w:val="2"/>
          <w:sz w:val="21"/>
          <w:szCs w:val="21"/>
          <w:highlight w:val="none"/>
          <w:lang w:val="en-US" w:eastAsia="zh-CN" w:bidi="ar-SA"/>
        </w:rPr>
        <w:t>甲方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t>按照以下方式向乙方付款：</w:t>
      </w:r>
    </w:p>
    <w:p w14:paraId="51534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default" w:ascii="宋体" w:hAnsi="宋体" w:eastAsia="宋体" w:cs="仿宋_GB2312"/>
          <w:sz w:val="22"/>
          <w:szCs w:val="22"/>
          <w:lang w:val="en-US" w:eastAsia="zh-CN"/>
        </w:rPr>
      </w:pPr>
      <w:r>
        <w:rPr>
          <w:rFonts w:hint="eastAsia" w:ascii="宋体" w:hAnsi="宋体" w:eastAsia="宋体" w:cs="仿宋_GB2312"/>
          <w:sz w:val="22"/>
          <w:szCs w:val="22"/>
          <w:lang w:val="en-US" w:eastAsia="zh-CN"/>
        </w:rPr>
        <w:t>本合同生效后,产品到货经甲方组织验收,验收合格并盖章签署《验收报告》后乙方开具全额增值税专用发票,甲方在收到发票后在20个工作日内支付合同总金额的95%,预留合同总金额的5</w:t>
      </w:r>
      <w:r>
        <w:rPr>
          <w:rFonts w:hint="eastAsia" w:ascii="宋体" w:hAnsi="宋体" w:cs="仿宋_GB2312"/>
          <w:sz w:val="22"/>
          <w:szCs w:val="22"/>
          <w:lang w:val="en-US" w:eastAsia="zh-CN"/>
        </w:rPr>
        <w:t>%</w:t>
      </w:r>
      <w:r>
        <w:rPr>
          <w:rFonts w:hint="eastAsia" w:ascii="宋体" w:hAnsi="宋体" w:eastAsia="宋体" w:cs="仿宋_GB2312"/>
          <w:sz w:val="22"/>
          <w:szCs w:val="22"/>
          <w:lang w:val="en-US" w:eastAsia="zh-CN"/>
        </w:rPr>
        <w:t>作为质保金</w:t>
      </w:r>
      <w:r>
        <w:rPr>
          <w:rFonts w:hint="eastAsia" w:ascii="宋体" w:hAnsi="宋体" w:cs="仿宋_GB2312"/>
          <w:sz w:val="22"/>
          <w:szCs w:val="22"/>
          <w:lang w:val="en-US" w:eastAsia="zh-CN"/>
        </w:rPr>
        <w:t>，</w:t>
      </w:r>
      <w:r>
        <w:rPr>
          <w:rFonts w:hint="eastAsia" w:ascii="宋体" w:hAnsi="宋体" w:eastAsia="宋体" w:cs="仿宋_GB2312"/>
          <w:sz w:val="22"/>
          <w:szCs w:val="22"/>
          <w:lang w:val="en-US" w:eastAsia="zh-CN"/>
        </w:rPr>
        <w:t>质保期3年。从验收之日算起,质保</w:t>
      </w:r>
      <w:r>
        <w:rPr>
          <w:rFonts w:hint="eastAsia" w:ascii="宋体" w:hAnsi="宋体" w:cs="仿宋_GB2312"/>
          <w:sz w:val="22"/>
          <w:szCs w:val="22"/>
          <w:lang w:val="en-US" w:eastAsia="zh-CN"/>
        </w:rPr>
        <w:t>期</w:t>
      </w:r>
      <w:r>
        <w:rPr>
          <w:rFonts w:hint="eastAsia" w:ascii="宋体" w:hAnsi="宋体" w:eastAsia="宋体" w:cs="仿宋_GB2312"/>
          <w:sz w:val="22"/>
          <w:szCs w:val="22"/>
          <w:lang w:val="en-US" w:eastAsia="zh-CN"/>
        </w:rPr>
        <w:t>满后无息退还</w:t>
      </w:r>
      <w:r>
        <w:rPr>
          <w:rFonts w:hint="eastAsia" w:ascii="宋体" w:hAnsi="宋体" w:cs="仿宋_GB2312"/>
          <w:sz w:val="22"/>
          <w:szCs w:val="22"/>
          <w:lang w:val="en-US" w:eastAsia="zh-CN"/>
        </w:rPr>
        <w:t>。</w:t>
      </w:r>
    </w:p>
    <w:p w14:paraId="3DEF15C3">
      <w:pPr>
        <w:pStyle w:val="4"/>
        <w:rPr>
          <w:rFonts w:hint="eastAsia"/>
          <w:lang w:val="en-US" w:eastAsia="zh-CN"/>
        </w:rPr>
      </w:pPr>
    </w:p>
    <w:p w14:paraId="44E9E2CD">
      <w:pPr>
        <w:spacing w:line="360" w:lineRule="auto"/>
        <w:ind w:firstLine="442" w:firstLineChars="200"/>
        <w:rPr>
          <w:rFonts w:hint="eastAsia"/>
          <w:highlight w:val="none"/>
          <w:lang w:val="en-US" w:eastAsia="zh-CN"/>
        </w:rPr>
      </w:pPr>
      <w:r>
        <w:rPr>
          <w:rFonts w:hint="eastAsia" w:ascii="宋体" w:hAnsi="宋体" w:cs="仿宋_GB2312"/>
          <w:b/>
          <w:bCs/>
          <w:sz w:val="22"/>
          <w:szCs w:val="22"/>
          <w:highlight w:val="none"/>
          <w:lang w:val="en-US" w:eastAsia="zh-CN"/>
        </w:rPr>
        <w:t>四、质量保证</w:t>
      </w:r>
    </w:p>
    <w:p w14:paraId="06C5CFA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乙</w:t>
      </w:r>
      <w:r>
        <w:rPr>
          <w:rFonts w:hint="default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方保证提供的商品是由原厂商供应，并完全符合国家、行业以及本合同规定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br w:type="textWrapping"/>
      </w:r>
      <w:r>
        <w:rPr>
          <w:rFonts w:hint="default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的质量、规格和性能；乙方并保证本合同货物产品、正常使用和维修的情况下运转</w:t>
      </w:r>
      <w:r>
        <w:rPr>
          <w:rFonts w:hint="default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br w:type="textWrapping"/>
      </w:r>
      <w:r>
        <w:rPr>
          <w:rFonts w:hint="default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良好。如发现产品与合同上述约定不符，乙方应无条件接受甲方退货换货要求，并</w:t>
      </w:r>
      <w:r>
        <w:rPr>
          <w:rFonts w:hint="default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br w:type="textWrapping"/>
      </w:r>
      <w:r>
        <w:rPr>
          <w:rFonts w:hint="default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双倍赔偿本合同项下全部货款。</w:t>
      </w:r>
    </w:p>
    <w:p w14:paraId="4EF826B1">
      <w:pPr>
        <w:spacing w:line="360" w:lineRule="auto"/>
        <w:ind w:firstLine="442" w:firstLineChars="200"/>
        <w:rPr>
          <w:rFonts w:hint="eastAsia" w:ascii="宋体" w:hAnsi="宋体" w:cs="仿宋_GB2312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 w:cs="仿宋_GB2312"/>
          <w:b/>
          <w:bCs/>
          <w:sz w:val="22"/>
          <w:szCs w:val="22"/>
          <w:lang w:val="en-US" w:eastAsia="zh-CN"/>
        </w:rPr>
        <w:t>五、验收标准及方法：</w:t>
      </w:r>
    </w:p>
    <w:p w14:paraId="29E036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1</w:t>
      </w:r>
      <w:r>
        <w:rPr>
          <w:rFonts w:hint="default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、验收方法：</w:t>
      </w:r>
      <w:r>
        <w:rPr>
          <w:rFonts w:hint="eastAsia" w:cstheme="minorBidi"/>
          <w:kern w:val="2"/>
          <w:sz w:val="21"/>
          <w:szCs w:val="22"/>
          <w:highlight w:val="none"/>
          <w:lang w:val="en-US" w:eastAsia="zh-CN" w:bidi="ar-SA"/>
        </w:rPr>
        <w:t>一次</w:t>
      </w:r>
      <w:r>
        <w:rPr>
          <w:rFonts w:hint="default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验收。</w:t>
      </w:r>
    </w:p>
    <w:p w14:paraId="69A505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2</w:t>
      </w:r>
      <w:r>
        <w:rPr>
          <w:rFonts w:hint="default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 xml:space="preserve">、验收条件： </w:t>
      </w:r>
    </w:p>
    <w:p w14:paraId="698E83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2.1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zh-CN" w:eastAsia="zh-CN" w:bidi="ar-SA"/>
        </w:rPr>
        <w:t>验收由甲、乙双方共同组织进行。乙方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提供的货物质量标准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zh-CN" w:eastAsia="zh-CN" w:bidi="ar-SA"/>
        </w:rPr>
        <w:t>需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满足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zh-CN" w:eastAsia="zh-CN" w:bidi="ar-SA"/>
        </w:rPr>
        <w:t>招标文件与投标文件及合同规定的规格、参数要求。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若乙方的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zh-CN" w:eastAsia="zh-CN" w:bidi="ar-SA"/>
        </w:rPr>
        <w:t>设备供货与安装集成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无法满足要求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zh-CN" w:eastAsia="zh-CN" w:bidi="ar-SA"/>
        </w:rPr>
        <w:t>，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则需要进行整改，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zh-CN" w:eastAsia="zh-CN" w:bidi="ar-SA"/>
        </w:rPr>
        <w:t>直至满足招标文件要求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为止（由此所产生的一切费用均由乙方承担）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zh-CN" w:eastAsia="zh-CN" w:bidi="ar-SA"/>
        </w:rPr>
        <w:t>，否则甲方将不予验收，不予支付货款。</w:t>
      </w:r>
    </w:p>
    <w:p w14:paraId="5AE145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zh-CN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2.2</w:t>
      </w:r>
      <w:r>
        <w:rPr>
          <w:rFonts w:hint="eastAsia" w:cstheme="minorBidi"/>
          <w:kern w:val="2"/>
          <w:sz w:val="21"/>
          <w:szCs w:val="22"/>
          <w:highlight w:val="none"/>
          <w:lang w:val="en-US" w:eastAsia="zh-CN" w:bidi="ar-SA"/>
        </w:rPr>
        <w:t>到货验收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zh-CN" w:eastAsia="zh-CN" w:bidi="ar-SA"/>
        </w:rPr>
        <w:t>：需现场安装、调试后验收的设备，以合同清单为依据，根据采购文件要求,对全部设备、产品、型号、规格、数量、外形、外观、包装及资料、文件点验，检验合格后</w:t>
      </w:r>
      <w:r>
        <w:rPr>
          <w:rFonts w:hint="eastAsia" w:cstheme="minorBidi"/>
          <w:kern w:val="2"/>
          <w:sz w:val="21"/>
          <w:szCs w:val="22"/>
          <w:highlight w:val="none"/>
          <w:lang w:val="zh-CN" w:eastAsia="zh-CN" w:bidi="ar-SA"/>
        </w:rPr>
        <w:t>，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zh-CN" w:eastAsia="zh-CN" w:bidi="ar-SA"/>
        </w:rPr>
        <w:t>由双方代表签署《验收报告》。</w:t>
      </w:r>
    </w:p>
    <w:p w14:paraId="5C22AA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zh-CN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2.</w:t>
      </w:r>
      <w:r>
        <w:rPr>
          <w:rFonts w:hint="eastAsia" w:cstheme="minorBidi"/>
          <w:kern w:val="2"/>
          <w:sz w:val="21"/>
          <w:szCs w:val="22"/>
          <w:highlight w:val="none"/>
          <w:lang w:val="en-US" w:eastAsia="zh-CN" w:bidi="ar-SA"/>
        </w:rPr>
        <w:t>3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zh-CN" w:eastAsia="zh-CN" w:bidi="ar-SA"/>
        </w:rPr>
        <w:t>签字后的验收报告作为乙方向甲方要求付款时提交的付款依据之一。</w:t>
      </w:r>
    </w:p>
    <w:p w14:paraId="26A03B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2.</w:t>
      </w:r>
      <w:r>
        <w:rPr>
          <w:rFonts w:hint="eastAsia" w:cstheme="minorBidi"/>
          <w:kern w:val="2"/>
          <w:sz w:val="21"/>
          <w:szCs w:val="22"/>
          <w:highlight w:val="none"/>
          <w:lang w:val="en-US" w:eastAsia="zh-CN" w:bidi="ar-SA"/>
        </w:rPr>
        <w:t>4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  <w:t>验收不合格的，甲方向乙方提出书面异议，乙方应在24小时内积极响应，在接到书面异议后进行修理或更换，乙方在接到书面异议后的3个工作日内未进行修理或更换，或修理或更换后仍验收不合格，则甲方有权单方解除合同，乙方须退还甲方已支付款项、支付甲方已付款20%的违约金，并赔偿甲方因此受到的经济损失。</w:t>
      </w:r>
    </w:p>
    <w:p w14:paraId="1D991D2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</w:pPr>
    </w:p>
    <w:p w14:paraId="7787B3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</w:pPr>
    </w:p>
    <w:p w14:paraId="6D0439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</w:pPr>
    </w:p>
    <w:p w14:paraId="12C37423">
      <w:pPr>
        <w:spacing w:line="360" w:lineRule="auto"/>
        <w:ind w:firstLine="442" w:firstLineChars="200"/>
        <w:rPr>
          <w:rFonts w:hint="eastAsia"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宋体" w:hAnsi="宋体" w:cs="仿宋_GB2312"/>
          <w:b/>
          <w:bCs/>
          <w:sz w:val="22"/>
          <w:szCs w:val="22"/>
          <w:lang w:val="en-US" w:eastAsia="zh-CN"/>
        </w:rPr>
        <w:t>六、售后服务：</w:t>
      </w:r>
    </w:p>
    <w:p w14:paraId="479CB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default"/>
          <w:lang w:val="en-US" w:eastAsia="zh-CN"/>
        </w:rPr>
        <w:t>商品免费质保时间：</w:t>
      </w:r>
    </w:p>
    <w:tbl>
      <w:tblPr>
        <w:tblStyle w:val="6"/>
        <w:tblW w:w="45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4277"/>
        <w:gridCol w:w="3482"/>
      </w:tblGrid>
      <w:tr w14:paraId="2D0E0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756" w:type="pct"/>
          </w:tcPr>
          <w:p w14:paraId="0792C69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品名</w:t>
            </w:r>
          </w:p>
        </w:tc>
        <w:tc>
          <w:tcPr>
            <w:tcW w:w="2243" w:type="pct"/>
          </w:tcPr>
          <w:p w14:paraId="0A518D7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质保时间</w:t>
            </w:r>
          </w:p>
        </w:tc>
      </w:tr>
      <w:tr w14:paraId="61883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756" w:type="pct"/>
          </w:tcPr>
          <w:p w14:paraId="6AB709E1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项目内所有内容</w:t>
            </w:r>
          </w:p>
        </w:tc>
        <w:tc>
          <w:tcPr>
            <w:tcW w:w="2243" w:type="pct"/>
          </w:tcPr>
          <w:p w14:paraId="72FA3E9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签订验收报告后3年原厂质保</w:t>
            </w:r>
          </w:p>
        </w:tc>
      </w:tr>
    </w:tbl>
    <w:p w14:paraId="24C2E7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如果发生硬件系统宕机故障，乙方将在接到甲方报修电话后30分钟内响应，</w:t>
      </w:r>
      <w:r>
        <w:rPr>
          <w:rFonts w:hint="eastAsia"/>
          <w:lang w:val="en-US" w:eastAsia="zh-CN"/>
        </w:rPr>
        <w:br w:type="textWrapping"/>
      </w:r>
      <w:r>
        <w:rPr>
          <w:rFonts w:hint="default"/>
          <w:lang w:val="en-US" w:eastAsia="zh-CN"/>
        </w:rPr>
        <w:t>并以最快的方式赶到甲方现场提供维护服务。</w:t>
      </w:r>
    </w:p>
    <w:p w14:paraId="7FB987E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cs="仿宋_GB2312"/>
          <w:szCs w:val="48"/>
        </w:rPr>
      </w:pPr>
      <w:r>
        <w:rPr>
          <w:rFonts w:hint="default"/>
          <w:lang w:val="en-US" w:eastAsia="zh-CN"/>
        </w:rPr>
        <w:t>如果发生硬件系统非宕机故障，乙方将在接到甲方报修电话后一小时内响应，</w:t>
      </w:r>
      <w:r>
        <w:rPr>
          <w:rFonts w:hint="eastAsia"/>
          <w:lang w:val="en-US" w:eastAsia="zh-CN"/>
        </w:rPr>
        <w:br w:type="textWrapping"/>
      </w:r>
      <w:r>
        <w:rPr>
          <w:rFonts w:hint="default"/>
          <w:lang w:val="en-US" w:eastAsia="zh-CN"/>
        </w:rPr>
        <w:t>并根据甲方要求和实际情况到甲方现场提供维护服务。</w:t>
      </w:r>
    </w:p>
    <w:p w14:paraId="6853068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cs="仿宋_GB2312"/>
          <w:szCs w:val="48"/>
        </w:rPr>
      </w:pPr>
      <w:r>
        <w:rPr>
          <w:rFonts w:hint="default"/>
          <w:lang w:val="en-US" w:eastAsia="zh-CN"/>
        </w:rPr>
        <w:t>维修及换件服务。上述商品设备的功能部件、转换部件、升级部件、元件或配件、或其任何组合出现功能失效时，乙方将到达甲方现场维修或更换失效部件。</w:t>
      </w:r>
    </w:p>
    <w:p w14:paraId="45063A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cs="仿宋_GB2312"/>
          <w:szCs w:val="48"/>
        </w:rPr>
      </w:pPr>
    </w:p>
    <w:p w14:paraId="732832D9">
      <w:pPr>
        <w:pStyle w:val="4"/>
        <w:rPr>
          <w:rFonts w:hint="eastAsia" w:ascii="宋体" w:hAnsi="宋体" w:cs="仿宋_GB2312"/>
          <w:szCs w:val="48"/>
        </w:rPr>
        <w:sectPr>
          <w:pgSz w:w="11906" w:h="16838"/>
          <w:pgMar w:top="1440" w:right="1803" w:bottom="1440" w:left="1803" w:header="851" w:footer="992" w:gutter="0"/>
          <w:cols w:space="720" w:num="1"/>
          <w:docGrid w:type="lines" w:linePitch="319" w:charSpace="0"/>
        </w:sectPr>
      </w:pPr>
    </w:p>
    <w:p w14:paraId="1D5551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2B9781"/>
    <w:multiLevelType w:val="singleLevel"/>
    <w:tmpl w:val="262B978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BC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toc 1"/>
    <w:basedOn w:val="1"/>
    <w:next w:val="1"/>
    <w:qFormat/>
    <w:uiPriority w:val="39"/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2025-12-09T07:59:44Z</dcterms:created>
  <dc:creator>Administrator</dc:creator>
  <cp:lastModifiedBy>湛旭刚</cp:lastModifiedBy>
  <dcterms:modified xsi:type="dcterms:W3CDTF">2025-12-09T08:00:28Z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eyJoZGlkIjoiOWJkYzdlNzhhZGY5YWM4OTFhMjE2ZmFmN2ViYTMzZTUiLCJ1c2VySWQiOiI0MzU3OTIwODIifQ==</vt:lpwstr>
  </property>
  <property fmtid="{D5CDD505-2E9C-101B-9397-08002B2CF9AE}" pid="4" name="ICV">
    <vt:lpwstr>F5691A53B92F4810891C8D5997D1B877_12</vt:lpwstr>
  </property>
</Properties>
</file>