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93754D">
      <w:pPr>
        <w:pStyle w:val="2"/>
        <w:jc w:val="center"/>
        <w:rPr>
          <w:rFonts w:hint="eastAsia" w:ascii="宋体" w:hAnsi="宋体" w:cs="仿宋_GB2312"/>
          <w:sz w:val="48"/>
          <w:szCs w:val="28"/>
        </w:rPr>
      </w:pPr>
      <w:r>
        <w:rPr>
          <w:rFonts w:hint="eastAsia" w:ascii="宋体" w:hAnsi="宋体" w:cs="仿宋_GB2312"/>
          <w:sz w:val="48"/>
          <w:szCs w:val="28"/>
        </w:rPr>
        <w:t>技术、服务及其他商务要求</w:t>
      </w:r>
    </w:p>
    <w:p w14:paraId="3601B7F6">
      <w:pPr>
        <w:rPr>
          <w:rFonts w:hint="eastAsia"/>
        </w:rPr>
      </w:pPr>
      <w:r>
        <w:rPr>
          <w:rFonts w:hint="eastAsia"/>
        </w:rPr>
        <w:t>一、采购内容明细</w:t>
      </w:r>
    </w:p>
    <w:tbl>
      <w:tblPr>
        <w:tblStyle w:val="3"/>
        <w:tblW w:w="5000" w:type="pct"/>
        <w:tblInd w:w="0" w:type="dxa"/>
        <w:tblLayout w:type="autofit"/>
        <w:tblCellMar>
          <w:top w:w="0" w:type="dxa"/>
          <w:left w:w="108" w:type="dxa"/>
          <w:bottom w:w="0" w:type="dxa"/>
          <w:right w:w="108" w:type="dxa"/>
        </w:tblCellMar>
      </w:tblPr>
      <w:tblGrid>
        <w:gridCol w:w="658"/>
        <w:gridCol w:w="1101"/>
        <w:gridCol w:w="1186"/>
        <w:gridCol w:w="4919"/>
        <w:gridCol w:w="658"/>
      </w:tblGrid>
      <w:tr w14:paraId="5A0E3A14">
        <w:tblPrEx>
          <w:tblCellMar>
            <w:top w:w="0" w:type="dxa"/>
            <w:left w:w="108" w:type="dxa"/>
            <w:bottom w:w="0" w:type="dxa"/>
            <w:right w:w="108" w:type="dxa"/>
          </w:tblCellMar>
        </w:tblPrEx>
        <w:trPr>
          <w:trHeight w:val="1125" w:hRule="atLeast"/>
        </w:trPr>
        <w:tc>
          <w:tcPr>
            <w:tcW w:w="386" w:type="pct"/>
            <w:tcBorders>
              <w:top w:val="single" w:color="auto" w:sz="4" w:space="0"/>
              <w:left w:val="single" w:color="auto" w:sz="4" w:space="0"/>
              <w:bottom w:val="nil"/>
              <w:right w:val="single" w:color="auto" w:sz="4" w:space="0"/>
            </w:tcBorders>
            <w:noWrap/>
            <w:vAlign w:val="center"/>
          </w:tcPr>
          <w:p w14:paraId="403264AE">
            <w:pPr>
              <w:widowControl/>
              <w:jc w:val="center"/>
              <w:rPr>
                <w:rFonts w:hint="eastAsia" w:ascii="宋体" w:hAnsi="宋体" w:cs="宋体"/>
                <w:b/>
                <w:bCs/>
                <w:color w:val="000000"/>
                <w:kern w:val="0"/>
                <w:sz w:val="22"/>
              </w:rPr>
            </w:pPr>
            <w:r>
              <w:rPr>
                <w:rFonts w:hint="eastAsia" w:ascii="宋体" w:hAnsi="宋体" w:cs="宋体"/>
                <w:b/>
                <w:bCs/>
                <w:color w:val="000000"/>
                <w:kern w:val="0"/>
                <w:sz w:val="22"/>
              </w:rPr>
              <w:t>序号</w:t>
            </w:r>
          </w:p>
        </w:tc>
        <w:tc>
          <w:tcPr>
            <w:tcW w:w="646" w:type="pct"/>
            <w:tcBorders>
              <w:top w:val="single" w:color="auto" w:sz="4" w:space="0"/>
              <w:left w:val="nil"/>
              <w:bottom w:val="nil"/>
              <w:right w:val="single" w:color="auto" w:sz="4" w:space="0"/>
            </w:tcBorders>
            <w:noWrap/>
            <w:vAlign w:val="center"/>
          </w:tcPr>
          <w:p w14:paraId="6AD01F17">
            <w:pPr>
              <w:widowControl/>
              <w:jc w:val="center"/>
              <w:rPr>
                <w:rFonts w:hint="eastAsia" w:ascii="宋体" w:hAnsi="宋体" w:cs="宋体"/>
                <w:b/>
                <w:bCs/>
                <w:color w:val="000000"/>
                <w:kern w:val="0"/>
                <w:sz w:val="22"/>
              </w:rPr>
            </w:pPr>
            <w:r>
              <w:rPr>
                <w:rFonts w:hint="eastAsia" w:ascii="宋体" w:hAnsi="宋体" w:cs="宋体"/>
                <w:b/>
                <w:bCs/>
                <w:color w:val="000000"/>
                <w:kern w:val="0"/>
                <w:sz w:val="22"/>
              </w:rPr>
              <w:t>设备类型</w:t>
            </w:r>
          </w:p>
        </w:tc>
        <w:tc>
          <w:tcPr>
            <w:tcW w:w="696" w:type="pct"/>
            <w:tcBorders>
              <w:top w:val="single" w:color="auto" w:sz="4" w:space="0"/>
              <w:left w:val="nil"/>
              <w:bottom w:val="nil"/>
              <w:right w:val="single" w:color="auto" w:sz="4" w:space="0"/>
            </w:tcBorders>
            <w:noWrap/>
            <w:vAlign w:val="center"/>
          </w:tcPr>
          <w:p w14:paraId="5A82BEDC">
            <w:pPr>
              <w:widowControl/>
              <w:jc w:val="center"/>
              <w:rPr>
                <w:rFonts w:hint="eastAsia" w:ascii="宋体" w:hAnsi="宋体" w:cs="宋体"/>
                <w:b/>
                <w:bCs/>
                <w:color w:val="000000"/>
                <w:kern w:val="0"/>
                <w:sz w:val="22"/>
              </w:rPr>
            </w:pPr>
            <w:r>
              <w:rPr>
                <w:rFonts w:hint="eastAsia" w:ascii="宋体" w:hAnsi="宋体" w:cs="宋体"/>
                <w:b/>
                <w:bCs/>
                <w:color w:val="000000"/>
                <w:kern w:val="0"/>
                <w:sz w:val="22"/>
              </w:rPr>
              <w:t>品牌</w:t>
            </w:r>
          </w:p>
        </w:tc>
        <w:tc>
          <w:tcPr>
            <w:tcW w:w="2886" w:type="pct"/>
            <w:tcBorders>
              <w:top w:val="single" w:color="auto" w:sz="4" w:space="0"/>
              <w:left w:val="nil"/>
              <w:bottom w:val="nil"/>
              <w:right w:val="single" w:color="auto" w:sz="4" w:space="0"/>
            </w:tcBorders>
            <w:noWrap/>
            <w:vAlign w:val="center"/>
          </w:tcPr>
          <w:p w14:paraId="71626446">
            <w:pPr>
              <w:widowControl/>
              <w:jc w:val="center"/>
              <w:rPr>
                <w:rFonts w:hint="eastAsia" w:ascii="宋体" w:hAnsi="宋体" w:cs="宋体"/>
                <w:b/>
                <w:bCs/>
                <w:color w:val="000000"/>
                <w:kern w:val="0"/>
                <w:sz w:val="22"/>
              </w:rPr>
            </w:pPr>
            <w:r>
              <w:rPr>
                <w:rFonts w:hint="eastAsia" w:ascii="宋体" w:hAnsi="宋体" w:cs="宋体"/>
                <w:b/>
                <w:bCs/>
                <w:color w:val="000000"/>
                <w:kern w:val="0"/>
                <w:sz w:val="22"/>
              </w:rPr>
              <w:t>配置参数</w:t>
            </w:r>
          </w:p>
        </w:tc>
        <w:tc>
          <w:tcPr>
            <w:tcW w:w="386" w:type="pct"/>
            <w:tcBorders>
              <w:top w:val="single" w:color="auto" w:sz="4" w:space="0"/>
              <w:left w:val="nil"/>
              <w:bottom w:val="nil"/>
              <w:right w:val="single" w:color="auto" w:sz="4" w:space="0"/>
            </w:tcBorders>
            <w:noWrap/>
            <w:vAlign w:val="center"/>
          </w:tcPr>
          <w:p w14:paraId="33CE814A">
            <w:pPr>
              <w:widowControl/>
              <w:jc w:val="center"/>
              <w:rPr>
                <w:rFonts w:hint="eastAsia" w:ascii="宋体" w:hAnsi="宋体" w:cs="宋体"/>
                <w:b/>
                <w:bCs/>
                <w:color w:val="000000"/>
                <w:kern w:val="0"/>
                <w:sz w:val="22"/>
              </w:rPr>
            </w:pPr>
            <w:r>
              <w:rPr>
                <w:rFonts w:hint="eastAsia" w:ascii="宋体" w:hAnsi="宋体" w:cs="宋体"/>
                <w:b/>
                <w:bCs/>
                <w:color w:val="000000"/>
                <w:kern w:val="0"/>
                <w:sz w:val="22"/>
              </w:rPr>
              <w:t>数量</w:t>
            </w:r>
          </w:p>
        </w:tc>
      </w:tr>
      <w:tr w14:paraId="41DC37D5">
        <w:tblPrEx>
          <w:tblCellMar>
            <w:top w:w="0" w:type="dxa"/>
            <w:left w:w="108" w:type="dxa"/>
            <w:bottom w:w="0" w:type="dxa"/>
            <w:right w:w="108" w:type="dxa"/>
          </w:tblCellMar>
        </w:tblPrEx>
        <w:trPr>
          <w:trHeight w:val="1470" w:hRule="atLeast"/>
        </w:trPr>
        <w:tc>
          <w:tcPr>
            <w:tcW w:w="386" w:type="pct"/>
            <w:vMerge w:val="restart"/>
            <w:tcBorders>
              <w:top w:val="single" w:color="auto" w:sz="4" w:space="0"/>
              <w:left w:val="single" w:color="auto" w:sz="4" w:space="0"/>
              <w:bottom w:val="single" w:color="000000" w:sz="4" w:space="0"/>
              <w:right w:val="single" w:color="auto" w:sz="4" w:space="0"/>
            </w:tcBorders>
            <w:noWrap/>
            <w:vAlign w:val="center"/>
          </w:tcPr>
          <w:p w14:paraId="31F089B1">
            <w:pPr>
              <w:widowControl/>
              <w:jc w:val="center"/>
              <w:rPr>
                <w:rFonts w:hint="eastAsia" w:ascii="宋体" w:hAnsi="宋体" w:cs="宋体"/>
                <w:color w:val="000000"/>
                <w:kern w:val="0"/>
                <w:sz w:val="22"/>
              </w:rPr>
            </w:pPr>
            <w:r>
              <w:rPr>
                <w:rFonts w:hint="eastAsia" w:ascii="宋体" w:hAnsi="宋体" w:cs="宋体"/>
                <w:color w:val="000000"/>
                <w:kern w:val="0"/>
                <w:sz w:val="22"/>
              </w:rPr>
              <w:t xml:space="preserve">1 </w:t>
            </w:r>
          </w:p>
        </w:tc>
        <w:tc>
          <w:tcPr>
            <w:tcW w:w="646" w:type="pct"/>
            <w:vMerge w:val="restart"/>
            <w:tcBorders>
              <w:top w:val="single" w:color="auto" w:sz="4" w:space="0"/>
              <w:left w:val="single" w:color="auto" w:sz="4" w:space="0"/>
              <w:bottom w:val="single" w:color="000000" w:sz="4" w:space="0"/>
              <w:right w:val="single" w:color="auto" w:sz="4" w:space="0"/>
            </w:tcBorders>
            <w:noWrap w:val="0"/>
            <w:vAlign w:val="center"/>
          </w:tcPr>
          <w:p w14:paraId="2DE86C16">
            <w:pPr>
              <w:widowControl/>
              <w:jc w:val="center"/>
              <w:rPr>
                <w:rFonts w:hint="eastAsia" w:ascii="宋体" w:hAnsi="宋体" w:cs="宋体"/>
                <w:color w:val="000000"/>
                <w:kern w:val="0"/>
                <w:sz w:val="22"/>
              </w:rPr>
            </w:pPr>
            <w:r>
              <w:rPr>
                <w:rFonts w:hint="eastAsia" w:ascii="宋体" w:hAnsi="宋体" w:cs="宋体"/>
                <w:color w:val="000000"/>
                <w:kern w:val="0"/>
                <w:sz w:val="22"/>
              </w:rPr>
              <w:t>分析研判</w:t>
            </w:r>
            <w:r>
              <w:rPr>
                <w:rFonts w:hint="eastAsia" w:ascii="宋体" w:hAnsi="宋体" w:cs="宋体"/>
                <w:color w:val="000000"/>
                <w:kern w:val="0"/>
                <w:sz w:val="22"/>
              </w:rPr>
              <w:br w:type="textWrapping"/>
            </w:r>
            <w:r>
              <w:rPr>
                <w:rFonts w:hint="eastAsia" w:ascii="宋体" w:hAnsi="宋体" w:cs="宋体"/>
                <w:color w:val="000000"/>
                <w:kern w:val="0"/>
                <w:sz w:val="22"/>
              </w:rPr>
              <w:t>终端设备</w:t>
            </w:r>
          </w:p>
        </w:tc>
        <w:tc>
          <w:tcPr>
            <w:tcW w:w="696" w:type="pct"/>
            <w:tcBorders>
              <w:top w:val="single" w:color="auto" w:sz="4" w:space="0"/>
              <w:left w:val="nil"/>
              <w:bottom w:val="single" w:color="auto" w:sz="4" w:space="0"/>
              <w:right w:val="single" w:color="auto" w:sz="4" w:space="0"/>
            </w:tcBorders>
            <w:noWrap/>
            <w:vAlign w:val="center"/>
          </w:tcPr>
          <w:p w14:paraId="3038C47F">
            <w:pPr>
              <w:widowControl/>
              <w:jc w:val="center"/>
              <w:rPr>
                <w:rFonts w:hint="eastAsia" w:ascii="宋体" w:hAnsi="宋体" w:cs="宋体"/>
                <w:color w:val="000000"/>
                <w:kern w:val="0"/>
                <w:sz w:val="22"/>
              </w:rPr>
            </w:pPr>
            <w:r>
              <w:rPr>
                <w:rFonts w:hint="eastAsia" w:ascii="宋体" w:hAnsi="宋体" w:cs="宋体"/>
                <w:color w:val="000000"/>
                <w:kern w:val="0"/>
                <w:sz w:val="22"/>
              </w:rPr>
              <w:t>戴尔</w:t>
            </w:r>
          </w:p>
        </w:tc>
        <w:tc>
          <w:tcPr>
            <w:tcW w:w="2886" w:type="pct"/>
            <w:tcBorders>
              <w:top w:val="single" w:color="auto" w:sz="4" w:space="0"/>
              <w:left w:val="nil"/>
              <w:bottom w:val="single" w:color="auto" w:sz="4" w:space="0"/>
              <w:right w:val="single" w:color="auto" w:sz="4" w:space="0"/>
            </w:tcBorders>
            <w:noWrap w:val="0"/>
            <w:vAlign w:val="center"/>
          </w:tcPr>
          <w:p w14:paraId="76B882A5">
            <w:pPr>
              <w:widowControl/>
              <w:jc w:val="center"/>
              <w:rPr>
                <w:rFonts w:hint="eastAsia" w:ascii="宋体" w:hAnsi="宋体" w:cs="宋体"/>
                <w:color w:val="000000"/>
                <w:kern w:val="0"/>
                <w:sz w:val="22"/>
              </w:rPr>
            </w:pPr>
            <w:r>
              <w:rPr>
                <w:rFonts w:hint="eastAsia" w:ascii="宋体" w:hAnsi="宋体" w:cs="宋体"/>
                <w:color w:val="000000"/>
                <w:kern w:val="0"/>
                <w:sz w:val="22"/>
              </w:rPr>
              <w:t>CPU处理器≧i9-14900K；内存≧32G*2；显卡≧GeForce RTX 4080SUPER；硬盘：硬盘容量≧5TB（固态硬盘NVMe协议M.2≧1TB、机械硬盘HDD≧4T）；显示器≧34英寸曲面屏WQHD分屏HDR400，曲率1500R，刷新率180Hz，内置音箱，自带USB扩展、HDMI等接口</w:t>
            </w:r>
          </w:p>
        </w:tc>
        <w:tc>
          <w:tcPr>
            <w:tcW w:w="386" w:type="pct"/>
            <w:tcBorders>
              <w:top w:val="single" w:color="auto" w:sz="4" w:space="0"/>
              <w:left w:val="nil"/>
              <w:bottom w:val="single" w:color="auto" w:sz="4" w:space="0"/>
              <w:right w:val="single" w:color="auto" w:sz="4" w:space="0"/>
            </w:tcBorders>
            <w:noWrap/>
            <w:vAlign w:val="center"/>
          </w:tcPr>
          <w:p w14:paraId="1FED7A74">
            <w:pPr>
              <w:widowControl/>
              <w:jc w:val="center"/>
              <w:rPr>
                <w:rFonts w:hint="eastAsia" w:ascii="宋体" w:hAnsi="宋体" w:cs="宋体"/>
                <w:color w:val="000000"/>
                <w:kern w:val="0"/>
                <w:sz w:val="22"/>
              </w:rPr>
            </w:pPr>
            <w:r>
              <w:rPr>
                <w:rFonts w:hint="eastAsia" w:ascii="宋体" w:hAnsi="宋体" w:cs="宋体"/>
                <w:color w:val="000000"/>
                <w:kern w:val="0"/>
                <w:sz w:val="22"/>
              </w:rPr>
              <w:t xml:space="preserve">3 </w:t>
            </w:r>
          </w:p>
        </w:tc>
      </w:tr>
      <w:tr w14:paraId="14F4700E">
        <w:tblPrEx>
          <w:tblCellMar>
            <w:top w:w="0" w:type="dxa"/>
            <w:left w:w="108" w:type="dxa"/>
            <w:bottom w:w="0" w:type="dxa"/>
            <w:right w:w="108" w:type="dxa"/>
          </w:tblCellMar>
        </w:tblPrEx>
        <w:trPr>
          <w:trHeight w:val="1860" w:hRule="atLeast"/>
        </w:trPr>
        <w:tc>
          <w:tcPr>
            <w:tcW w:w="386" w:type="pct"/>
            <w:vMerge w:val="continue"/>
            <w:tcBorders>
              <w:top w:val="single" w:color="auto" w:sz="4" w:space="0"/>
              <w:left w:val="single" w:color="auto" w:sz="4" w:space="0"/>
              <w:bottom w:val="single" w:color="000000" w:sz="4" w:space="0"/>
              <w:right w:val="single" w:color="auto" w:sz="4" w:space="0"/>
            </w:tcBorders>
            <w:noWrap w:val="0"/>
            <w:vAlign w:val="center"/>
          </w:tcPr>
          <w:p w14:paraId="75E5AA0B">
            <w:pPr>
              <w:widowControl/>
              <w:jc w:val="left"/>
              <w:rPr>
                <w:rFonts w:hint="eastAsia" w:ascii="宋体" w:hAnsi="宋体" w:cs="宋体"/>
                <w:color w:val="000000"/>
                <w:kern w:val="0"/>
                <w:sz w:val="22"/>
              </w:rPr>
            </w:pPr>
          </w:p>
        </w:tc>
        <w:tc>
          <w:tcPr>
            <w:tcW w:w="646" w:type="pct"/>
            <w:vMerge w:val="continue"/>
            <w:tcBorders>
              <w:top w:val="single" w:color="auto" w:sz="4" w:space="0"/>
              <w:left w:val="single" w:color="auto" w:sz="4" w:space="0"/>
              <w:bottom w:val="single" w:color="000000" w:sz="4" w:space="0"/>
              <w:right w:val="single" w:color="auto" w:sz="4" w:space="0"/>
            </w:tcBorders>
            <w:noWrap w:val="0"/>
            <w:vAlign w:val="center"/>
          </w:tcPr>
          <w:p w14:paraId="291F1385">
            <w:pPr>
              <w:widowControl/>
              <w:jc w:val="left"/>
              <w:rPr>
                <w:rFonts w:hint="eastAsia" w:ascii="宋体" w:hAnsi="宋体" w:cs="宋体"/>
                <w:color w:val="000000"/>
                <w:kern w:val="0"/>
                <w:sz w:val="22"/>
              </w:rPr>
            </w:pPr>
          </w:p>
        </w:tc>
        <w:tc>
          <w:tcPr>
            <w:tcW w:w="696" w:type="pct"/>
            <w:tcBorders>
              <w:top w:val="nil"/>
              <w:left w:val="nil"/>
              <w:bottom w:val="single" w:color="auto" w:sz="4" w:space="0"/>
              <w:right w:val="single" w:color="auto" w:sz="4" w:space="0"/>
            </w:tcBorders>
            <w:noWrap/>
            <w:vAlign w:val="center"/>
          </w:tcPr>
          <w:p w14:paraId="663E59A0">
            <w:pPr>
              <w:widowControl/>
              <w:jc w:val="center"/>
              <w:rPr>
                <w:rFonts w:hint="eastAsia" w:ascii="宋体" w:hAnsi="宋体" w:cs="宋体"/>
                <w:color w:val="000000"/>
                <w:kern w:val="0"/>
                <w:sz w:val="22"/>
              </w:rPr>
            </w:pPr>
            <w:r>
              <w:rPr>
                <w:rFonts w:hint="eastAsia" w:ascii="宋体" w:hAnsi="宋体" w:cs="宋体"/>
                <w:color w:val="000000"/>
                <w:kern w:val="0"/>
                <w:sz w:val="22"/>
              </w:rPr>
              <w:t>惠普</w:t>
            </w:r>
          </w:p>
        </w:tc>
        <w:tc>
          <w:tcPr>
            <w:tcW w:w="2886" w:type="pct"/>
            <w:tcBorders>
              <w:top w:val="nil"/>
              <w:left w:val="nil"/>
              <w:bottom w:val="single" w:color="auto" w:sz="4" w:space="0"/>
              <w:right w:val="single" w:color="auto" w:sz="4" w:space="0"/>
            </w:tcBorders>
            <w:noWrap w:val="0"/>
            <w:vAlign w:val="center"/>
          </w:tcPr>
          <w:p w14:paraId="067140D6">
            <w:pPr>
              <w:widowControl/>
              <w:jc w:val="center"/>
              <w:rPr>
                <w:rFonts w:hint="eastAsia" w:ascii="宋体" w:hAnsi="宋体" w:cs="宋体"/>
                <w:color w:val="000000"/>
                <w:kern w:val="0"/>
                <w:sz w:val="22"/>
              </w:rPr>
            </w:pPr>
            <w:r>
              <w:rPr>
                <w:rFonts w:hint="eastAsia" w:ascii="宋体" w:hAnsi="宋体" w:cs="宋体"/>
                <w:color w:val="000000"/>
                <w:kern w:val="0"/>
                <w:sz w:val="22"/>
              </w:rPr>
              <w:t>内存容量≥32G，硬盘容量≥1TB，处理器加速频率5.4GHz，CPU性能释放≥75W，GPU性能释放≥175W，整机性能释放≥240W，电池容量83Whrwh，屏幕分辨率2560*1600，屏幕尺寸16英寸，屏幕刷新率240HZ，屏幕色域100%RGB，显卡RTX5080，赠送原厂鼠标。</w:t>
            </w:r>
          </w:p>
        </w:tc>
        <w:tc>
          <w:tcPr>
            <w:tcW w:w="386" w:type="pct"/>
            <w:tcBorders>
              <w:top w:val="nil"/>
              <w:left w:val="nil"/>
              <w:bottom w:val="single" w:color="auto" w:sz="4" w:space="0"/>
              <w:right w:val="single" w:color="auto" w:sz="4" w:space="0"/>
            </w:tcBorders>
            <w:noWrap/>
            <w:vAlign w:val="center"/>
          </w:tcPr>
          <w:p w14:paraId="2DF398BC">
            <w:pPr>
              <w:widowControl/>
              <w:jc w:val="center"/>
              <w:rPr>
                <w:rFonts w:hint="eastAsia" w:ascii="宋体" w:hAnsi="宋体" w:cs="宋体"/>
                <w:color w:val="000000"/>
                <w:kern w:val="0"/>
                <w:sz w:val="22"/>
              </w:rPr>
            </w:pPr>
            <w:r>
              <w:rPr>
                <w:rFonts w:hint="eastAsia" w:ascii="宋体" w:hAnsi="宋体" w:cs="宋体"/>
                <w:color w:val="000000"/>
                <w:kern w:val="0"/>
                <w:sz w:val="22"/>
              </w:rPr>
              <w:t xml:space="preserve">2 </w:t>
            </w:r>
          </w:p>
        </w:tc>
      </w:tr>
    </w:tbl>
    <w:p w14:paraId="117996ED">
      <w:pPr>
        <w:adjustRightInd w:val="0"/>
        <w:snapToGrid w:val="0"/>
        <w:spacing w:line="360" w:lineRule="auto"/>
        <w:rPr>
          <w:rFonts w:ascii="宋体" w:hAnsi="宋体" w:cs="仿宋_GB2312"/>
          <w:bCs/>
          <w:sz w:val="22"/>
          <w:szCs w:val="22"/>
        </w:rPr>
      </w:pPr>
      <w:r>
        <w:rPr>
          <w:rFonts w:hint="eastAsia" w:ascii="宋体" w:hAnsi="宋体" w:cs="仿宋_GB2312"/>
          <w:bCs/>
          <w:sz w:val="22"/>
          <w:szCs w:val="22"/>
        </w:rPr>
        <w:t>二、交货地点：湖北省烟草公司武汉市公司。</w:t>
      </w:r>
    </w:p>
    <w:p w14:paraId="2573E783">
      <w:pPr>
        <w:adjustRightInd w:val="0"/>
        <w:snapToGrid w:val="0"/>
        <w:spacing w:line="360" w:lineRule="auto"/>
        <w:rPr>
          <w:rFonts w:hint="eastAsia" w:ascii="宋体" w:hAnsi="宋体" w:cs="仿宋_GB2312"/>
          <w:sz w:val="22"/>
          <w:szCs w:val="22"/>
        </w:rPr>
      </w:pPr>
      <w:r>
        <w:rPr>
          <w:rFonts w:hint="eastAsia" w:ascii="宋体" w:hAnsi="宋体" w:cs="仿宋_GB2312"/>
          <w:sz w:val="22"/>
          <w:szCs w:val="22"/>
        </w:rPr>
        <w:t>三、交货期限：合同生效后15日内需完成供货及安装调试。</w:t>
      </w:r>
    </w:p>
    <w:p w14:paraId="03E8F86C">
      <w:pPr>
        <w:adjustRightInd w:val="0"/>
        <w:snapToGrid w:val="0"/>
        <w:spacing w:line="360" w:lineRule="auto"/>
        <w:rPr>
          <w:rFonts w:ascii="宋体" w:hAnsi="宋体" w:cs="仿宋_GB2312"/>
          <w:sz w:val="22"/>
          <w:szCs w:val="22"/>
        </w:rPr>
      </w:pPr>
      <w:r>
        <w:rPr>
          <w:rFonts w:hint="eastAsia" w:ascii="宋体" w:hAnsi="宋体" w:cs="仿宋_GB2312"/>
          <w:sz w:val="22"/>
          <w:szCs w:val="22"/>
        </w:rPr>
        <w:t>四、付款方式；</w:t>
      </w:r>
    </w:p>
    <w:p w14:paraId="1A8D8155">
      <w:pPr>
        <w:adjustRightInd w:val="0"/>
        <w:snapToGrid w:val="0"/>
        <w:spacing w:line="360" w:lineRule="auto"/>
        <w:ind w:firstLine="440" w:firstLineChars="200"/>
        <w:rPr>
          <w:rFonts w:hint="eastAsia" w:ascii="宋体" w:hAnsi="宋体" w:cs="仿宋_GB2312"/>
          <w:sz w:val="22"/>
          <w:szCs w:val="22"/>
        </w:rPr>
      </w:pPr>
      <w:bookmarkStart w:id="0" w:name="_Hlk195607267"/>
      <w:r>
        <w:rPr>
          <w:rFonts w:hint="eastAsia" w:ascii="宋体" w:hAnsi="宋体" w:cs="仿宋_GB2312"/>
          <w:sz w:val="22"/>
          <w:szCs w:val="22"/>
        </w:rPr>
        <w:t>设备到货且安装完成，并经甲乙双方验收合格后，由供应商单位开具全额增值税专用发票，甲方收到发票后30个工作日内支付合同全款的97%，剩余合同全款的3%，自验收之日起一年后进行支付。</w:t>
      </w:r>
    </w:p>
    <w:bookmarkEnd w:id="0"/>
    <w:p w14:paraId="111C3AE9">
      <w:pPr>
        <w:spacing w:line="360" w:lineRule="auto"/>
        <w:rPr>
          <w:rFonts w:hint="eastAsia" w:ascii="宋体" w:hAnsi="宋体" w:cs="仿宋_GB2312"/>
          <w:sz w:val="22"/>
          <w:szCs w:val="22"/>
        </w:rPr>
      </w:pPr>
      <w:r>
        <w:rPr>
          <w:rFonts w:hint="eastAsia" w:ascii="宋体" w:hAnsi="宋体" w:cs="仿宋_GB2312"/>
          <w:sz w:val="22"/>
          <w:szCs w:val="22"/>
        </w:rPr>
        <w:t>五、质量要求：</w:t>
      </w:r>
    </w:p>
    <w:p w14:paraId="40826042">
      <w:pPr>
        <w:spacing w:line="360" w:lineRule="auto"/>
        <w:ind w:firstLine="420" w:firstLineChars="200"/>
        <w:rPr>
          <w:rFonts w:hint="eastAsia" w:ascii="宋体" w:hAnsi="宋体" w:cs="宋体"/>
          <w:szCs w:val="21"/>
        </w:rPr>
      </w:pPr>
      <w:bookmarkStart w:id="1" w:name="_Hlk195607323"/>
      <w:r>
        <w:rPr>
          <w:rFonts w:hint="eastAsia" w:ascii="宋体" w:hAnsi="宋体" w:cs="宋体"/>
          <w:szCs w:val="21"/>
        </w:rPr>
        <w:t>1.所提供的货物及产品应符合国家相关生产标准，如采用假冒伪劣产品，应无偿更换，因此造成直接或间接损失的应由乙方承担，货物安装实施应按项目属性对应的国家标准、规范完成现场安装实施工作，确保项目整体质量达标。</w:t>
      </w:r>
    </w:p>
    <w:p w14:paraId="36F54AA0">
      <w:pPr>
        <w:spacing w:line="360" w:lineRule="auto"/>
        <w:ind w:firstLine="420" w:firstLineChars="200"/>
        <w:rPr>
          <w:rFonts w:hint="eastAsia" w:ascii="宋体" w:hAnsi="宋体" w:cs="宋体"/>
          <w:szCs w:val="21"/>
        </w:rPr>
      </w:pPr>
      <w:r>
        <w:rPr>
          <w:rFonts w:hint="eastAsia" w:ascii="宋体" w:hAnsi="宋体" w:cs="宋体"/>
          <w:szCs w:val="21"/>
        </w:rPr>
        <w:t>2.供应商提供给我方的本项目下的所有设备均应通过工厂严格测试和检验，设备必须是全新的，不存在质量问题或二次销售情形。</w:t>
      </w:r>
    </w:p>
    <w:p w14:paraId="6D98A0DB">
      <w:pPr>
        <w:spacing w:line="360" w:lineRule="auto"/>
        <w:ind w:firstLine="420" w:firstLineChars="200"/>
        <w:rPr>
          <w:rFonts w:hint="eastAsia" w:ascii="宋体" w:hAnsi="宋体" w:cs="宋体"/>
          <w:szCs w:val="21"/>
        </w:rPr>
      </w:pPr>
      <w:r>
        <w:rPr>
          <w:rFonts w:hint="eastAsia" w:ascii="宋体" w:hAnsi="宋体" w:cs="宋体"/>
          <w:szCs w:val="21"/>
        </w:rPr>
        <w:t>3.供应商需在服务期内配合我方完成操作系统升级，软件兼容性适配工作，保证项目顺利进行。</w:t>
      </w:r>
    </w:p>
    <w:bookmarkEnd w:id="1"/>
    <w:p w14:paraId="55A73389">
      <w:pPr>
        <w:spacing w:line="360" w:lineRule="auto"/>
        <w:rPr>
          <w:rFonts w:ascii="宋体" w:hAnsi="宋体" w:cs="仿宋_GB2312"/>
          <w:sz w:val="22"/>
          <w:szCs w:val="22"/>
        </w:rPr>
      </w:pPr>
      <w:r>
        <w:rPr>
          <w:rFonts w:hint="eastAsia" w:ascii="宋体" w:hAnsi="宋体" w:cs="仿宋_GB2312"/>
          <w:sz w:val="22"/>
          <w:szCs w:val="22"/>
        </w:rPr>
        <w:t>六、</w:t>
      </w:r>
      <w:bookmarkStart w:id="2" w:name="_Hlk195606140"/>
      <w:r>
        <w:rPr>
          <w:rFonts w:hint="eastAsia" w:ascii="宋体" w:hAnsi="宋体" w:cs="仿宋_GB2312"/>
          <w:sz w:val="22"/>
          <w:szCs w:val="22"/>
        </w:rPr>
        <w:t>验收标准及方法</w:t>
      </w:r>
      <w:bookmarkEnd w:id="2"/>
      <w:r>
        <w:rPr>
          <w:rFonts w:hint="eastAsia" w:ascii="宋体" w:hAnsi="宋体" w:cs="仿宋_GB2312"/>
          <w:sz w:val="22"/>
          <w:szCs w:val="22"/>
        </w:rPr>
        <w:t>：</w:t>
      </w:r>
    </w:p>
    <w:p w14:paraId="1608983B">
      <w:pPr>
        <w:spacing w:line="360" w:lineRule="auto"/>
        <w:ind w:firstLine="420" w:firstLineChars="200"/>
        <w:rPr>
          <w:rFonts w:hint="eastAsia" w:ascii="宋体" w:hAnsi="宋体" w:cs="宋体"/>
          <w:szCs w:val="21"/>
        </w:rPr>
      </w:pPr>
      <w:r>
        <w:rPr>
          <w:rFonts w:hint="eastAsia" w:ascii="宋体" w:hAnsi="宋体" w:cs="宋体"/>
          <w:szCs w:val="21"/>
        </w:rPr>
        <w:t>1.验收方法：二次验收。</w:t>
      </w:r>
    </w:p>
    <w:p w14:paraId="6A34807D">
      <w:pPr>
        <w:spacing w:line="360" w:lineRule="auto"/>
        <w:ind w:firstLine="420" w:firstLineChars="200"/>
        <w:rPr>
          <w:rFonts w:hint="eastAsia" w:ascii="宋体" w:hAnsi="宋体" w:cs="宋体"/>
          <w:szCs w:val="21"/>
        </w:rPr>
      </w:pPr>
      <w:r>
        <w:rPr>
          <w:rFonts w:hint="eastAsia" w:ascii="宋体" w:hAnsi="宋体" w:cs="宋体"/>
          <w:szCs w:val="21"/>
        </w:rPr>
        <w:t xml:space="preserve">2.验收条件： </w:t>
      </w:r>
    </w:p>
    <w:p w14:paraId="030ACDE5">
      <w:pPr>
        <w:spacing w:line="360" w:lineRule="auto"/>
        <w:ind w:firstLine="420" w:firstLineChars="200"/>
        <w:rPr>
          <w:rFonts w:hint="eastAsia" w:ascii="宋体" w:hAnsi="宋体" w:cs="宋体"/>
          <w:szCs w:val="21"/>
        </w:rPr>
      </w:pPr>
      <w:r>
        <w:rPr>
          <w:rFonts w:hint="eastAsia" w:ascii="宋体" w:hAnsi="宋体" w:cs="宋体"/>
          <w:szCs w:val="21"/>
        </w:rPr>
        <w:t>2.1、第一次验收：乙方在合同约定时间内完成供货、安装集成工作；</w:t>
      </w:r>
    </w:p>
    <w:p w14:paraId="4C6C85AF">
      <w:pPr>
        <w:spacing w:line="360" w:lineRule="auto"/>
        <w:ind w:firstLine="420" w:firstLineChars="200"/>
        <w:rPr>
          <w:rFonts w:hint="eastAsia" w:ascii="宋体" w:hAnsi="宋体" w:cs="宋体"/>
          <w:szCs w:val="21"/>
        </w:rPr>
      </w:pPr>
      <w:r>
        <w:rPr>
          <w:rFonts w:hint="eastAsia" w:ascii="宋体" w:hAnsi="宋体" w:cs="宋体"/>
          <w:szCs w:val="21"/>
        </w:rPr>
        <w:t>2.2、第二次验收：</w:t>
      </w:r>
      <w:bookmarkStart w:id="3" w:name="_Hlk207965450"/>
      <w:r>
        <w:rPr>
          <w:rFonts w:hint="eastAsia" w:ascii="宋体" w:hAnsi="宋体" w:cs="宋体"/>
          <w:szCs w:val="21"/>
        </w:rPr>
        <w:t>自验收合格之日起1年质保期满</w:t>
      </w:r>
      <w:bookmarkEnd w:id="3"/>
      <w:r>
        <w:rPr>
          <w:rFonts w:hint="eastAsia" w:ascii="宋体" w:hAnsi="宋体" w:cs="宋体"/>
          <w:szCs w:val="21"/>
        </w:rPr>
        <w:t>；</w:t>
      </w:r>
    </w:p>
    <w:p w14:paraId="641D1E10">
      <w:pPr>
        <w:spacing w:line="360" w:lineRule="auto"/>
        <w:ind w:firstLine="420" w:firstLineChars="200"/>
        <w:rPr>
          <w:rFonts w:ascii="宋体" w:hAnsi="宋体" w:cs="宋体"/>
          <w:szCs w:val="21"/>
        </w:rPr>
      </w:pPr>
      <w:r>
        <w:rPr>
          <w:rFonts w:hint="eastAsia" w:ascii="宋体" w:hAnsi="宋体" w:cs="宋体"/>
          <w:szCs w:val="21"/>
        </w:rPr>
        <w:t>3.验收内容：</w:t>
      </w:r>
    </w:p>
    <w:p w14:paraId="62CC2598">
      <w:pPr>
        <w:spacing w:line="360" w:lineRule="auto"/>
        <w:ind w:firstLine="420" w:firstLineChars="200"/>
        <w:rPr>
          <w:rFonts w:ascii="宋体" w:hAnsi="宋体" w:cs="宋体"/>
          <w:szCs w:val="21"/>
        </w:rPr>
      </w:pPr>
      <w:r>
        <w:rPr>
          <w:rFonts w:hint="eastAsia" w:ascii="宋体" w:hAnsi="宋体" w:cs="宋体"/>
          <w:szCs w:val="21"/>
        </w:rPr>
        <w:t>3.1、第一次验收：双方签订项目验收报告(含设备到货确认单）；</w:t>
      </w:r>
    </w:p>
    <w:p w14:paraId="5AD915B9">
      <w:pPr>
        <w:spacing w:line="360" w:lineRule="auto"/>
        <w:ind w:firstLine="420" w:firstLineChars="200"/>
        <w:rPr>
          <w:rFonts w:hint="eastAsia" w:ascii="宋体" w:hAnsi="宋体" w:cs="宋体"/>
          <w:szCs w:val="21"/>
        </w:rPr>
      </w:pPr>
      <w:r>
        <w:rPr>
          <w:rFonts w:hint="eastAsia" w:ascii="宋体" w:hAnsi="宋体" w:cs="宋体"/>
          <w:szCs w:val="21"/>
        </w:rPr>
        <w:t>3.2、第二次验收：自验收合格之日起1年质保期满的验收报告；</w:t>
      </w:r>
    </w:p>
    <w:p w14:paraId="25102DDF">
      <w:pPr>
        <w:spacing w:line="360" w:lineRule="auto"/>
        <w:ind w:firstLine="420" w:firstLineChars="200"/>
        <w:rPr>
          <w:rFonts w:hint="eastAsia" w:ascii="宋体" w:hAnsi="宋体" w:cs="宋体"/>
          <w:szCs w:val="21"/>
        </w:rPr>
      </w:pPr>
      <w:r>
        <w:rPr>
          <w:rFonts w:hint="eastAsia" w:ascii="宋体" w:hAnsi="宋体" w:cs="宋体"/>
          <w:szCs w:val="21"/>
        </w:rPr>
        <w:t>4.验收标准：</w:t>
      </w:r>
    </w:p>
    <w:p w14:paraId="2708ABF2">
      <w:pPr>
        <w:spacing w:line="360" w:lineRule="auto"/>
        <w:ind w:firstLine="420" w:firstLineChars="200"/>
        <w:rPr>
          <w:rFonts w:hint="eastAsia" w:ascii="宋体" w:hAnsi="宋体" w:cs="宋体"/>
          <w:szCs w:val="21"/>
        </w:rPr>
      </w:pPr>
      <w:r>
        <w:rPr>
          <w:rFonts w:hint="eastAsia" w:ascii="宋体" w:hAnsi="宋体" w:cs="宋体"/>
          <w:szCs w:val="21"/>
        </w:rPr>
        <w:t>4.1、乙方所供货物是否符合本合同的约定；</w:t>
      </w:r>
    </w:p>
    <w:p w14:paraId="5CF21E61">
      <w:pPr>
        <w:spacing w:line="360" w:lineRule="auto"/>
        <w:ind w:firstLine="420" w:firstLineChars="200"/>
        <w:rPr>
          <w:rFonts w:hint="eastAsia" w:ascii="宋体" w:hAnsi="宋体" w:cs="宋体"/>
          <w:szCs w:val="21"/>
        </w:rPr>
      </w:pPr>
      <w:r>
        <w:rPr>
          <w:rFonts w:hint="eastAsia" w:ascii="宋体" w:hAnsi="宋体" w:cs="宋体"/>
          <w:szCs w:val="21"/>
        </w:rPr>
        <w:t>4.2、乙方是否按照合同约定安装完成并投入正常使用；</w:t>
      </w:r>
    </w:p>
    <w:p w14:paraId="07401EE1">
      <w:pPr>
        <w:spacing w:line="360" w:lineRule="auto"/>
        <w:ind w:firstLine="420" w:firstLineChars="200"/>
        <w:rPr>
          <w:rFonts w:ascii="宋体" w:hAnsi="宋体" w:cs="宋体"/>
          <w:szCs w:val="21"/>
        </w:rPr>
      </w:pPr>
      <w:r>
        <w:rPr>
          <w:rFonts w:hint="eastAsia" w:ascii="宋体" w:hAnsi="宋体" w:cs="宋体"/>
          <w:szCs w:val="21"/>
        </w:rPr>
        <w:t>4.3、质保期内服务满足合同要求。</w:t>
      </w:r>
    </w:p>
    <w:p w14:paraId="48FA80EE">
      <w:pPr>
        <w:spacing w:line="360" w:lineRule="auto"/>
        <w:ind w:firstLine="420" w:firstLineChars="200"/>
        <w:rPr>
          <w:rFonts w:ascii="宋体" w:hAnsi="宋体" w:cs="宋体"/>
          <w:szCs w:val="21"/>
        </w:rPr>
      </w:pPr>
      <w:r>
        <w:rPr>
          <w:rFonts w:hint="eastAsia" w:ascii="宋体" w:hAnsi="宋体" w:cs="宋体"/>
          <w:szCs w:val="21"/>
        </w:rPr>
        <w:t>5.验收时间：</w:t>
      </w:r>
    </w:p>
    <w:p w14:paraId="24A4D545">
      <w:pPr>
        <w:spacing w:line="360" w:lineRule="auto"/>
        <w:ind w:firstLine="420" w:firstLineChars="200"/>
        <w:rPr>
          <w:rFonts w:hint="eastAsia" w:ascii="宋体" w:hAnsi="宋体" w:cs="宋体"/>
          <w:szCs w:val="21"/>
        </w:rPr>
      </w:pPr>
      <w:r>
        <w:rPr>
          <w:rFonts w:hint="eastAsia" w:ascii="宋体" w:hAnsi="宋体" w:cs="宋体"/>
          <w:szCs w:val="21"/>
        </w:rPr>
        <w:t>5.1、第一次验收：货到并安装集成完成后15个工作日内；</w:t>
      </w:r>
    </w:p>
    <w:p w14:paraId="6221C97D">
      <w:pPr>
        <w:spacing w:line="360" w:lineRule="auto"/>
        <w:ind w:firstLine="420" w:firstLineChars="200"/>
        <w:rPr>
          <w:rFonts w:hint="eastAsia" w:ascii="宋体" w:hAnsi="宋体" w:cs="宋体"/>
          <w:szCs w:val="21"/>
        </w:rPr>
      </w:pPr>
      <w:r>
        <w:rPr>
          <w:rFonts w:hint="eastAsia" w:ascii="宋体" w:hAnsi="宋体" w:cs="宋体"/>
          <w:szCs w:val="21"/>
        </w:rPr>
        <w:t>5.2、第二次验收：自验收合格之日起1年质保期满后15个工作日内。</w:t>
      </w:r>
    </w:p>
    <w:p w14:paraId="018549C9">
      <w:pPr>
        <w:spacing w:line="360" w:lineRule="auto"/>
        <w:rPr>
          <w:rFonts w:ascii="宋体" w:hAnsi="宋体" w:cs="仿宋_GB2312"/>
          <w:sz w:val="22"/>
          <w:szCs w:val="22"/>
        </w:rPr>
      </w:pPr>
      <w:r>
        <w:rPr>
          <w:rFonts w:hint="eastAsia" w:ascii="宋体" w:hAnsi="宋体" w:cs="仿宋_GB2312"/>
          <w:sz w:val="22"/>
          <w:szCs w:val="22"/>
        </w:rPr>
        <w:t>七、售后服务</w:t>
      </w:r>
    </w:p>
    <w:p w14:paraId="34C866A9">
      <w:pPr>
        <w:adjustRightInd w:val="0"/>
        <w:snapToGrid w:val="0"/>
        <w:spacing w:line="360" w:lineRule="auto"/>
        <w:ind w:firstLine="420" w:firstLineChars="200"/>
        <w:rPr>
          <w:rFonts w:hint="eastAsia" w:ascii="宋体" w:hAnsi="宋体" w:cs="宋体"/>
          <w:szCs w:val="21"/>
        </w:rPr>
      </w:pPr>
      <w:bookmarkStart w:id="4" w:name="_Hlk207896899"/>
      <w:r>
        <w:rPr>
          <w:rFonts w:hint="eastAsia" w:ascii="宋体" w:hAnsi="宋体" w:cs="宋体"/>
          <w:szCs w:val="21"/>
        </w:rPr>
        <w:t>1、</w:t>
      </w:r>
      <w:bookmarkStart w:id="5" w:name="_Hlk211332617"/>
      <w:r>
        <w:rPr>
          <w:rFonts w:hint="eastAsia" w:ascii="宋体" w:hAnsi="宋体" w:cs="宋体"/>
          <w:szCs w:val="21"/>
        </w:rPr>
        <w:t>本项目售后服务期：自项目验收合格之日起3年</w:t>
      </w:r>
      <w:bookmarkEnd w:id="5"/>
      <w:r>
        <w:rPr>
          <w:rFonts w:hint="eastAsia" w:ascii="宋体" w:hAnsi="宋体" w:cs="宋体"/>
          <w:szCs w:val="21"/>
        </w:rPr>
        <w:t>。</w:t>
      </w:r>
    </w:p>
    <w:p w14:paraId="537ACBFD">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2、售后服务期内，乙方应提供7*24小时的技术支持服务。如果合同设备出现紧急技术问题且甲方通过电话或传真方式通知乙方的情况下，要求乙方在30分钟内予以响应，对于一般故障，提供在线电话支持直至问题解决；对于严重故障（系统无法正常运行或者宕机），在4小时内指派驻场人员抵达问题现场进行解决。对于现场6小时内无法解决的设备故障，将先由乙方安排备机以迅速恢复系统运转，待故障设备修复后再将备机替换下来。</w:t>
      </w:r>
    </w:p>
    <w:p w14:paraId="5E5A717C">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3、在售后服务期内，如果由于乙方的责任，合同设备功能不能达到或者合同设备不能进行正常运行，质保期将按照上述问题持续的时间作相应延长。</w:t>
      </w:r>
    </w:p>
    <w:p w14:paraId="7EB47760">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4、在售后服务期内，为了提供合同设备的维护，在收到甲方的书面或电话通知后，乙方应迅速免费（包括免收但不限于免收运费、保险费、包装费用）补充或更换设备中有故障的部件。</w:t>
      </w:r>
    </w:p>
    <w:p w14:paraId="6FE8EE16">
      <w:pPr>
        <w:adjustRightInd w:val="0"/>
        <w:snapToGrid w:val="0"/>
        <w:spacing w:line="360" w:lineRule="auto"/>
        <w:ind w:firstLine="420" w:firstLineChars="200"/>
        <w:rPr>
          <w:rFonts w:hint="eastAsia" w:ascii="宋体" w:hAnsi="宋体" w:cs="宋体"/>
          <w:szCs w:val="21"/>
        </w:rPr>
      </w:pPr>
      <w:r>
        <w:rPr>
          <w:rFonts w:hint="eastAsia" w:ascii="宋体" w:hAnsi="宋体" w:cs="宋体"/>
          <w:szCs w:val="21"/>
        </w:rPr>
        <w:t>5、在售后服务期内，乙方将指定1名技术人员作为项目固定支持人员，如果该类人员出现交替乙方须提前一周告知甲方。</w:t>
      </w:r>
    </w:p>
    <w:p w14:paraId="08F6F12D">
      <w:pPr>
        <w:adjustRightInd w:val="0"/>
        <w:snapToGrid w:val="0"/>
        <w:spacing w:line="360" w:lineRule="auto"/>
        <w:ind w:firstLine="420" w:firstLineChars="200"/>
        <w:rPr>
          <w:rFonts w:ascii="宋体" w:hAnsi="宋体" w:cs="宋体"/>
          <w:szCs w:val="21"/>
        </w:rPr>
      </w:pPr>
      <w:r>
        <w:rPr>
          <w:rFonts w:hint="eastAsia" w:ascii="宋体" w:hAnsi="宋体" w:cs="宋体"/>
          <w:szCs w:val="21"/>
        </w:rPr>
        <w:t>6、合同售后服务期满后，如甲方有要求，乙方有义务继续以优惠价格向甲方提供与本合同设备相兼容的性能不低于原部件并能使合同设备正常运行的零部件</w:t>
      </w:r>
      <w:bookmarkEnd w:id="4"/>
      <w:r>
        <w:rPr>
          <w:rFonts w:hint="eastAsia" w:ascii="宋体" w:hAnsi="宋体" w:cs="宋体"/>
          <w:szCs w:val="21"/>
        </w:rPr>
        <w:t>。</w:t>
      </w:r>
    </w:p>
    <w:p w14:paraId="7C86F78F">
      <w:bookmarkStart w:id="6" w:name="_GoBack"/>
      <w:bookmarkEnd w:id="6"/>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8275E1"/>
    <w:rsid w:val="7F8275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szCs w:val="20"/>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2025-12-03T08:51:00Z</dcterms:created>
  <dc:creator>顾梦</dc:creator>
  <cp:lastModifiedBy>顾梦</cp:lastModifiedBy>
  <dcterms:modified xsi:type="dcterms:W3CDTF">2025-12-03T08:51:58Z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ADD2718AEDB7408F9D83FC42D5203CCA_11</vt:lpwstr>
  </property>
  <property fmtid="{D5CDD505-2E9C-101B-9397-08002B2CF9AE}" pid="4" name="KSOTemplateDocerSaveRecord">
    <vt:lpwstr>eyJoZGlkIjoiYzY5N2EwYWQ1Yzc3OGE4MmU5ZDI3MWU3OTkyZDM3NGMiLCJ1c2VySWQiOiI0MDQwNzE2MzYifQ==</vt:lpwstr>
  </property>
</Properties>
</file>