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4D47">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7BA8AC68">
      <w:pPr>
        <w:pStyle w:val="3"/>
        <w:adjustRightInd w:val="0"/>
        <w:snapToGrid w:val="0"/>
        <w:spacing w:before="0" w:after="0" w:line="240" w:lineRule="auto"/>
        <w:jc w:val="left"/>
        <w:rPr>
          <w:rFonts w:ascii="宋体" w:hAnsi="宋体" w:eastAsia="宋体" w:cs="仿宋_GB2312"/>
          <w:b w:val="0"/>
          <w:bCs/>
          <w:sz w:val="22"/>
          <w:szCs w:val="22"/>
        </w:rPr>
      </w:pPr>
      <w:r>
        <w:rPr>
          <w:rFonts w:hint="eastAsia" w:ascii="宋体" w:hAnsi="宋体" w:eastAsia="宋体" w:cs="仿宋_GB2312"/>
          <w:b w:val="0"/>
          <w:bCs/>
          <w:sz w:val="22"/>
          <w:szCs w:val="22"/>
        </w:rPr>
        <w:t>一、采购内容明细</w:t>
      </w:r>
    </w:p>
    <w:tbl>
      <w:tblPr>
        <w:tblStyle w:val="4"/>
        <w:tblW w:w="50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
        <w:gridCol w:w="1488"/>
        <w:gridCol w:w="3049"/>
        <w:gridCol w:w="622"/>
        <w:gridCol w:w="586"/>
        <w:gridCol w:w="672"/>
        <w:gridCol w:w="848"/>
        <w:gridCol w:w="935"/>
      </w:tblGrid>
      <w:tr w14:paraId="3EE2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3" w:type="pct"/>
            <w:tcBorders>
              <w:top w:val="single" w:color="000000" w:sz="8" w:space="0"/>
              <w:left w:val="single" w:color="000000" w:sz="8" w:space="0"/>
              <w:bottom w:val="single" w:color="000000" w:sz="4" w:space="0"/>
              <w:right w:val="single" w:color="000000" w:sz="4" w:space="0"/>
            </w:tcBorders>
            <w:noWrap w:val="0"/>
            <w:vAlign w:val="center"/>
          </w:tcPr>
          <w:p w14:paraId="5FFA0EFD">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序号</w:t>
            </w:r>
          </w:p>
        </w:tc>
        <w:tc>
          <w:tcPr>
            <w:tcW w:w="860" w:type="pct"/>
            <w:tcBorders>
              <w:top w:val="single" w:color="000000" w:sz="8" w:space="0"/>
              <w:left w:val="single" w:color="000000" w:sz="4" w:space="0"/>
              <w:bottom w:val="single" w:color="000000" w:sz="4" w:space="0"/>
              <w:right w:val="single" w:color="000000" w:sz="4" w:space="0"/>
            </w:tcBorders>
            <w:noWrap w:val="0"/>
            <w:vAlign w:val="center"/>
          </w:tcPr>
          <w:p w14:paraId="0E3FDC2F">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设备名称</w:t>
            </w:r>
          </w:p>
        </w:tc>
        <w:tc>
          <w:tcPr>
            <w:tcW w:w="1765" w:type="pct"/>
            <w:tcBorders>
              <w:top w:val="single" w:color="000000" w:sz="8" w:space="0"/>
              <w:left w:val="single" w:color="000000" w:sz="4" w:space="0"/>
              <w:bottom w:val="single" w:color="000000" w:sz="4" w:space="0"/>
              <w:right w:val="single" w:color="000000" w:sz="4" w:space="0"/>
            </w:tcBorders>
            <w:noWrap w:val="0"/>
            <w:vAlign w:val="center"/>
          </w:tcPr>
          <w:p w14:paraId="206F98AC">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型号规格</w:t>
            </w:r>
          </w:p>
        </w:tc>
        <w:tc>
          <w:tcPr>
            <w:tcW w:w="360" w:type="pct"/>
            <w:tcBorders>
              <w:top w:val="single" w:color="000000" w:sz="8" w:space="0"/>
              <w:left w:val="single" w:color="000000" w:sz="4" w:space="0"/>
              <w:bottom w:val="single" w:color="000000" w:sz="4" w:space="0"/>
              <w:right w:val="single" w:color="000000" w:sz="4" w:space="0"/>
            </w:tcBorders>
            <w:noWrap w:val="0"/>
            <w:vAlign w:val="center"/>
          </w:tcPr>
          <w:p w14:paraId="11D04A1C">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品牌</w:t>
            </w:r>
          </w:p>
        </w:tc>
        <w:tc>
          <w:tcPr>
            <w:tcW w:w="339" w:type="pct"/>
            <w:tcBorders>
              <w:top w:val="single" w:color="000000" w:sz="8" w:space="0"/>
              <w:left w:val="single" w:color="000000" w:sz="4" w:space="0"/>
              <w:bottom w:val="single" w:color="000000" w:sz="4" w:space="0"/>
              <w:right w:val="single" w:color="000000" w:sz="4" w:space="0"/>
            </w:tcBorders>
            <w:noWrap w:val="0"/>
            <w:vAlign w:val="center"/>
          </w:tcPr>
          <w:p w14:paraId="47651BF4">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单位</w:t>
            </w:r>
          </w:p>
        </w:tc>
        <w:tc>
          <w:tcPr>
            <w:tcW w:w="389" w:type="pct"/>
            <w:tcBorders>
              <w:top w:val="single" w:color="000000" w:sz="8" w:space="0"/>
              <w:left w:val="single" w:color="000000" w:sz="4" w:space="0"/>
              <w:bottom w:val="single" w:color="000000" w:sz="4" w:space="0"/>
              <w:right w:val="single" w:color="000000" w:sz="4" w:space="0"/>
            </w:tcBorders>
            <w:noWrap w:val="0"/>
            <w:vAlign w:val="center"/>
          </w:tcPr>
          <w:p w14:paraId="2C89E56E">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数量</w:t>
            </w:r>
          </w:p>
        </w:tc>
        <w:tc>
          <w:tcPr>
            <w:tcW w:w="941" w:type="dxa"/>
            <w:tcBorders>
              <w:top w:val="single" w:color="000000" w:sz="8" w:space="0"/>
              <w:left w:val="single" w:color="000000" w:sz="4" w:space="0"/>
              <w:bottom w:val="single" w:color="000000" w:sz="4" w:space="0"/>
              <w:right w:val="single" w:color="000000" w:sz="4" w:space="0"/>
            </w:tcBorders>
            <w:noWrap w:val="0"/>
            <w:vAlign w:val="center"/>
          </w:tcPr>
          <w:p w14:paraId="15E06717">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单价</w:t>
            </w:r>
            <w:r>
              <w:rPr>
                <w:rFonts w:hint="eastAsia" w:ascii="仿宋_GB2312" w:hAnsi="宋体" w:eastAsia="仿宋_GB2312" w:cs="仿宋_GB2312"/>
                <w:b/>
                <w:bCs/>
                <w:i w:val="0"/>
                <w:iCs w:val="0"/>
                <w:color w:val="000000"/>
                <w:kern w:val="0"/>
                <w:sz w:val="21"/>
                <w:szCs w:val="21"/>
                <w:u w:val="none"/>
                <w:lang w:val="en-US" w:eastAsia="zh-CN" w:bidi="ar"/>
              </w:rPr>
              <w:t>（元）</w:t>
            </w:r>
          </w:p>
        </w:tc>
        <w:tc>
          <w:tcPr>
            <w:tcW w:w="1037" w:type="dxa"/>
            <w:tcBorders>
              <w:top w:val="single" w:color="000000" w:sz="8" w:space="0"/>
              <w:left w:val="single" w:color="000000" w:sz="4" w:space="0"/>
              <w:bottom w:val="single" w:color="000000" w:sz="4" w:space="0"/>
              <w:right w:val="single" w:color="000000" w:sz="4" w:space="0"/>
            </w:tcBorders>
            <w:noWrap w:val="0"/>
            <w:vAlign w:val="center"/>
          </w:tcPr>
          <w:p w14:paraId="6F23A282">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小计</w:t>
            </w:r>
            <w:r>
              <w:rPr>
                <w:rFonts w:hint="eastAsia" w:ascii="仿宋_GB2312" w:hAnsi="宋体" w:eastAsia="仿宋_GB2312" w:cs="仿宋_GB2312"/>
                <w:b/>
                <w:bCs/>
                <w:i w:val="0"/>
                <w:iCs w:val="0"/>
                <w:color w:val="000000"/>
                <w:kern w:val="0"/>
                <w:sz w:val="21"/>
                <w:szCs w:val="21"/>
                <w:u w:val="none"/>
                <w:lang w:val="en-US" w:eastAsia="zh-CN" w:bidi="ar"/>
              </w:rPr>
              <w:t>（元）</w:t>
            </w:r>
          </w:p>
        </w:tc>
      </w:tr>
      <w:tr w14:paraId="1C44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6B87A8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165944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万兆交换机</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23CD2A9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24个千兆电口交换机，上联4个万兆光口，另配2个万兆单模光模块</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6DB9BD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H3C</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768DB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套</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8C8EF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4BD8F70D">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48218475">
            <w:pPr>
              <w:rPr>
                <w:rFonts w:hint="eastAsia" w:ascii="宋体" w:hAnsi="宋体" w:eastAsia="宋体" w:cs="宋体"/>
                <w:i w:val="0"/>
                <w:iCs w:val="0"/>
                <w:color w:val="000000"/>
                <w:sz w:val="24"/>
                <w:szCs w:val="24"/>
                <w:u w:val="none"/>
              </w:rPr>
            </w:pPr>
          </w:p>
        </w:tc>
      </w:tr>
      <w:tr w14:paraId="0D09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121165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6ACA41C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leaf交换机</w:t>
            </w:r>
          </w:p>
          <w:p w14:paraId="31DE67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（备机）</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2719EE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24口电口leaf交换机，支持VXLAN</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61B91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H3C</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BDC4B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台</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9C7BB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0A09A492">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0DA5B2B">
            <w:pPr>
              <w:rPr>
                <w:rFonts w:hint="eastAsia" w:ascii="宋体" w:hAnsi="宋体" w:eastAsia="宋体" w:cs="宋体"/>
                <w:i w:val="0"/>
                <w:iCs w:val="0"/>
                <w:color w:val="000000"/>
                <w:sz w:val="24"/>
                <w:szCs w:val="24"/>
                <w:u w:val="none"/>
              </w:rPr>
            </w:pPr>
          </w:p>
        </w:tc>
      </w:tr>
      <w:tr w14:paraId="1672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7028D9B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00045CE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千兆管理</w:t>
            </w:r>
          </w:p>
          <w:p w14:paraId="250627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交换机</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4DB438D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24个千兆电口交换机，4个千兆光口，另配4个千兆单模光模块，4个千兆多模光模块</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17B46DC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H3C</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012FA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台</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9B251B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5B7A3EBC">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31324F1E">
            <w:pPr>
              <w:rPr>
                <w:rFonts w:hint="eastAsia" w:ascii="宋体" w:hAnsi="宋体" w:eastAsia="宋体" w:cs="宋体"/>
                <w:i w:val="0"/>
                <w:iCs w:val="0"/>
                <w:color w:val="000000"/>
                <w:sz w:val="24"/>
                <w:szCs w:val="24"/>
                <w:u w:val="none"/>
              </w:rPr>
            </w:pPr>
          </w:p>
        </w:tc>
      </w:tr>
      <w:tr w14:paraId="3FD6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7E722C3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52C1C1D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12芯LC抽屉式配线架</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03F4756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12芯LC抽屉式配线架(1U,19",含面板、适配器、熔纤盘) </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48A143B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兆龙</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37D4C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台</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BAAC10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3D363FD0">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438138B0">
            <w:pPr>
              <w:rPr>
                <w:rFonts w:hint="eastAsia" w:ascii="宋体" w:hAnsi="宋体" w:eastAsia="宋体" w:cs="宋体"/>
                <w:i w:val="0"/>
                <w:iCs w:val="0"/>
                <w:color w:val="000000"/>
                <w:sz w:val="24"/>
                <w:szCs w:val="24"/>
                <w:u w:val="none"/>
              </w:rPr>
            </w:pPr>
          </w:p>
        </w:tc>
      </w:tr>
      <w:tr w14:paraId="2A1F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134B3C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7227FAE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 96芯LC抽屉式配线架</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5D9A456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 96芯LC抽屉式配线架(1U,19",含面板、适配器、熔纤盘)</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4886AA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兆龙</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070B4E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台</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B5590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6AAD61C9">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1A63843">
            <w:pPr>
              <w:rPr>
                <w:rFonts w:hint="eastAsia" w:ascii="宋体" w:hAnsi="宋体" w:eastAsia="宋体" w:cs="宋体"/>
                <w:i w:val="0"/>
                <w:iCs w:val="0"/>
                <w:color w:val="000000"/>
                <w:sz w:val="24"/>
                <w:szCs w:val="24"/>
                <w:u w:val="none"/>
              </w:rPr>
            </w:pPr>
          </w:p>
        </w:tc>
      </w:tr>
      <w:tr w14:paraId="5757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55BD41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02AB89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单模光缆</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0D7495E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12芯GYXTW 中心束管式室外单模光缆，OS2（9/125um）</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60BB04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国产</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84DE0E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米</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B7A586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300</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546DF68C">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55F192E">
            <w:pPr>
              <w:rPr>
                <w:rFonts w:hint="eastAsia" w:ascii="宋体" w:hAnsi="宋体" w:eastAsia="宋体" w:cs="宋体"/>
                <w:i w:val="0"/>
                <w:iCs w:val="0"/>
                <w:color w:val="000000"/>
                <w:sz w:val="24"/>
                <w:szCs w:val="24"/>
                <w:u w:val="none"/>
              </w:rPr>
            </w:pPr>
          </w:p>
        </w:tc>
      </w:tr>
      <w:tr w14:paraId="4FB7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759FC2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2B36C9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光纤跳线</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55D1CFE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LC-LC双工单模OS2（9/125um）光纤跳线，LSZH，3米</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15E04B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兆龙</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82AF12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7AB022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6478CC45">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476D435">
            <w:pPr>
              <w:rPr>
                <w:rFonts w:hint="eastAsia" w:ascii="宋体" w:hAnsi="宋体" w:eastAsia="宋体" w:cs="宋体"/>
                <w:i w:val="0"/>
                <w:iCs w:val="0"/>
                <w:color w:val="000000"/>
                <w:sz w:val="24"/>
                <w:szCs w:val="24"/>
                <w:u w:val="none"/>
              </w:rPr>
            </w:pPr>
          </w:p>
        </w:tc>
      </w:tr>
      <w:tr w14:paraId="6D6B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34273E9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398F98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光纤跳线</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3DC2C88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LC-LC双工多模OM3 光纤跳线，LSZH，3米</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845FAA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兆龙</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ECD3C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0C02B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63DE086B">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176EC516">
            <w:pPr>
              <w:rPr>
                <w:rFonts w:hint="eastAsia" w:ascii="宋体" w:hAnsi="宋体" w:eastAsia="宋体" w:cs="宋体"/>
                <w:i w:val="0"/>
                <w:iCs w:val="0"/>
                <w:color w:val="000000"/>
                <w:sz w:val="24"/>
                <w:szCs w:val="24"/>
                <w:u w:val="none"/>
              </w:rPr>
            </w:pPr>
          </w:p>
        </w:tc>
      </w:tr>
      <w:tr w14:paraId="0AFC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370909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6646C65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光纤测试</w:t>
            </w:r>
          </w:p>
          <w:p w14:paraId="4F79D6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与熔接</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3930FB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熔接及OTDR测试，敷设</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28040F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定制</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9E92C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825EF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20DA8665">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39071F85">
            <w:pPr>
              <w:rPr>
                <w:rFonts w:hint="eastAsia" w:ascii="宋体" w:hAnsi="宋体" w:eastAsia="宋体" w:cs="宋体"/>
                <w:i w:val="0"/>
                <w:iCs w:val="0"/>
                <w:color w:val="000000"/>
                <w:sz w:val="24"/>
                <w:szCs w:val="24"/>
                <w:u w:val="none"/>
              </w:rPr>
            </w:pPr>
          </w:p>
        </w:tc>
      </w:tr>
      <w:tr w14:paraId="482D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1BDD1C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7757BC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光纤槽</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387C71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240*100mm光纤槽</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06B9FC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国产</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6DA0FC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套</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F688E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3E6E8E9B">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56049596">
            <w:pPr>
              <w:rPr>
                <w:rFonts w:hint="eastAsia" w:ascii="宋体" w:hAnsi="宋体" w:eastAsia="宋体" w:cs="宋体"/>
                <w:i w:val="0"/>
                <w:iCs w:val="0"/>
                <w:color w:val="000000"/>
                <w:sz w:val="24"/>
                <w:szCs w:val="24"/>
                <w:u w:val="none"/>
              </w:rPr>
            </w:pPr>
          </w:p>
        </w:tc>
      </w:tr>
      <w:tr w14:paraId="252F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3530B4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26E57F5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理线器</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02B72F1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圆孔理线器</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F939A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国产</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7AAB44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D978E3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71D90AD4">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7BD42598">
            <w:pPr>
              <w:rPr>
                <w:rFonts w:hint="eastAsia" w:ascii="宋体" w:hAnsi="宋体" w:eastAsia="宋体" w:cs="宋体"/>
                <w:i w:val="0"/>
                <w:iCs w:val="0"/>
                <w:color w:val="000000"/>
                <w:sz w:val="24"/>
                <w:szCs w:val="24"/>
                <w:u w:val="none"/>
              </w:rPr>
            </w:pPr>
          </w:p>
        </w:tc>
      </w:tr>
      <w:tr w14:paraId="6D07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4BB9B0E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7387E0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网络跳线</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3287EC0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超细6A非屏蔽、打标，（2米、3米各40根，5米15根，10米5根）</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ACAC63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兆龙</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D5193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E8EEF2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70B67CC8">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21BB5D77">
            <w:pPr>
              <w:rPr>
                <w:rFonts w:hint="eastAsia" w:ascii="宋体" w:hAnsi="宋体" w:eastAsia="宋体" w:cs="宋体"/>
                <w:i w:val="0"/>
                <w:iCs w:val="0"/>
                <w:color w:val="000000"/>
                <w:sz w:val="24"/>
                <w:szCs w:val="24"/>
                <w:u w:val="none"/>
              </w:rPr>
            </w:pPr>
          </w:p>
        </w:tc>
      </w:tr>
      <w:tr w14:paraId="476E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1CD0B2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35C28A0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6类非屏蔽网线</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257CA7F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U/UTP CAT6 250MHz 4PR 23AWG PVC  灰色ZL1003 </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093FD8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兆龙</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E851A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箱/305米</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57E2B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5B51EA91">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2C811798">
            <w:pPr>
              <w:rPr>
                <w:rFonts w:hint="eastAsia" w:ascii="宋体" w:hAnsi="宋体" w:eastAsia="宋体" w:cs="宋体"/>
                <w:i w:val="0"/>
                <w:iCs w:val="0"/>
                <w:color w:val="000000"/>
                <w:sz w:val="24"/>
                <w:szCs w:val="24"/>
                <w:u w:val="none"/>
              </w:rPr>
            </w:pPr>
          </w:p>
        </w:tc>
      </w:tr>
      <w:tr w14:paraId="662B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663191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394C4F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服务器机柜</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7FEA6F0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42U机柜 600*1100*2000，前后网孔门（非标尺寸，需定制）</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EF855E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图腾</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05234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8064F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635BD262">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1F0CAF22">
            <w:pPr>
              <w:rPr>
                <w:rFonts w:hint="eastAsia" w:ascii="宋体" w:hAnsi="宋体" w:eastAsia="宋体" w:cs="宋体"/>
                <w:i w:val="0"/>
                <w:iCs w:val="0"/>
                <w:color w:val="000000"/>
                <w:sz w:val="24"/>
                <w:szCs w:val="24"/>
                <w:u w:val="none"/>
              </w:rPr>
            </w:pPr>
          </w:p>
        </w:tc>
      </w:tr>
      <w:tr w14:paraId="1FEC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3" w:type="pct"/>
            <w:tcBorders>
              <w:top w:val="single" w:color="000000" w:sz="4" w:space="0"/>
              <w:left w:val="single" w:color="000000" w:sz="8" w:space="0"/>
              <w:bottom w:val="single" w:color="000000" w:sz="4" w:space="0"/>
              <w:right w:val="single" w:color="000000" w:sz="4" w:space="0"/>
            </w:tcBorders>
            <w:noWrap w:val="0"/>
            <w:vAlign w:val="center"/>
          </w:tcPr>
          <w:p w14:paraId="225EAB4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1A55E1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PDU</w:t>
            </w:r>
          </w:p>
        </w:tc>
        <w:tc>
          <w:tcPr>
            <w:tcW w:w="1765" w:type="pct"/>
            <w:tcBorders>
              <w:top w:val="single" w:color="000000" w:sz="4" w:space="0"/>
              <w:left w:val="single" w:color="000000" w:sz="4" w:space="0"/>
              <w:bottom w:val="single" w:color="000000" w:sz="4" w:space="0"/>
              <w:right w:val="single" w:color="000000" w:sz="4" w:space="0"/>
            </w:tcBorders>
            <w:noWrap w:val="0"/>
            <w:vAlign w:val="center"/>
          </w:tcPr>
          <w:p w14:paraId="32C4671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10A新国标+指示灯+32A接线盒，配防雷模块，下接线，左右侧定制，18位10A，2位16A</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0EE69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诺电</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C96C8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F505D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7310F90E">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2235CC0">
            <w:pPr>
              <w:rPr>
                <w:rFonts w:hint="eastAsia" w:ascii="宋体" w:hAnsi="宋体" w:eastAsia="宋体" w:cs="宋体"/>
                <w:i w:val="0"/>
                <w:iCs w:val="0"/>
                <w:color w:val="000000"/>
                <w:sz w:val="24"/>
                <w:szCs w:val="24"/>
                <w:u w:val="none"/>
              </w:rPr>
            </w:pPr>
          </w:p>
        </w:tc>
      </w:tr>
      <w:tr w14:paraId="76B6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53" w:type="pct"/>
            <w:tcBorders>
              <w:top w:val="single" w:color="000000" w:sz="4" w:space="0"/>
              <w:left w:val="single" w:color="000000" w:sz="8" w:space="0"/>
              <w:bottom w:val="nil"/>
              <w:right w:val="single" w:color="000000" w:sz="4" w:space="0"/>
            </w:tcBorders>
            <w:noWrap w:val="0"/>
            <w:vAlign w:val="center"/>
          </w:tcPr>
          <w:p w14:paraId="0653AE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c>
          <w:tcPr>
            <w:tcW w:w="860" w:type="pct"/>
            <w:tcBorders>
              <w:top w:val="single" w:color="000000" w:sz="4" w:space="0"/>
              <w:left w:val="single" w:color="000000" w:sz="4" w:space="0"/>
              <w:bottom w:val="nil"/>
              <w:right w:val="single" w:color="000000" w:sz="4" w:space="0"/>
            </w:tcBorders>
            <w:noWrap w:val="0"/>
            <w:vAlign w:val="center"/>
          </w:tcPr>
          <w:p w14:paraId="62E702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人工及辅材</w:t>
            </w:r>
          </w:p>
        </w:tc>
        <w:tc>
          <w:tcPr>
            <w:tcW w:w="1765" w:type="pct"/>
            <w:tcBorders>
              <w:top w:val="single" w:color="000000" w:sz="4" w:space="0"/>
              <w:left w:val="single" w:color="000000" w:sz="4" w:space="0"/>
              <w:bottom w:val="nil"/>
              <w:right w:val="single" w:color="000000" w:sz="4" w:space="0"/>
            </w:tcBorders>
            <w:noWrap w:val="0"/>
            <w:vAlign w:val="center"/>
          </w:tcPr>
          <w:p w14:paraId="6BAF72F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1、综合布线施工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2、机房线路整改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3、机柜拆除、设备拆除、机柜安装、PDU配电</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4、整改期间现场网络保障，配合条零及调控系统应急保障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5、进行一次网络应急演练</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6、辅材</w:t>
            </w:r>
          </w:p>
        </w:tc>
        <w:tc>
          <w:tcPr>
            <w:tcW w:w="360" w:type="pct"/>
            <w:tcBorders>
              <w:top w:val="single" w:color="000000" w:sz="4" w:space="0"/>
              <w:left w:val="single" w:color="000000" w:sz="4" w:space="0"/>
              <w:bottom w:val="nil"/>
              <w:right w:val="single" w:color="000000" w:sz="4" w:space="0"/>
            </w:tcBorders>
            <w:noWrap w:val="0"/>
            <w:vAlign w:val="center"/>
          </w:tcPr>
          <w:p w14:paraId="5A4A94F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定制</w:t>
            </w:r>
          </w:p>
        </w:tc>
        <w:tc>
          <w:tcPr>
            <w:tcW w:w="339" w:type="pct"/>
            <w:tcBorders>
              <w:top w:val="single" w:color="000000" w:sz="4" w:space="0"/>
              <w:left w:val="single" w:color="000000" w:sz="4" w:space="0"/>
              <w:bottom w:val="nil"/>
              <w:right w:val="single" w:color="000000" w:sz="4" w:space="0"/>
            </w:tcBorders>
            <w:noWrap w:val="0"/>
            <w:vAlign w:val="center"/>
          </w:tcPr>
          <w:p w14:paraId="4E6D5B0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w:t>
            </w:r>
          </w:p>
        </w:tc>
        <w:tc>
          <w:tcPr>
            <w:tcW w:w="389" w:type="pct"/>
            <w:tcBorders>
              <w:top w:val="single" w:color="000000" w:sz="4" w:space="0"/>
              <w:left w:val="single" w:color="000000" w:sz="4" w:space="0"/>
              <w:bottom w:val="nil"/>
              <w:right w:val="single" w:color="000000" w:sz="4" w:space="0"/>
            </w:tcBorders>
            <w:noWrap w:val="0"/>
            <w:vAlign w:val="center"/>
          </w:tcPr>
          <w:p w14:paraId="4E2B90E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490" w:type="pct"/>
            <w:tcBorders>
              <w:top w:val="single" w:color="000000" w:sz="4" w:space="0"/>
              <w:left w:val="single" w:color="000000" w:sz="4" w:space="0"/>
              <w:bottom w:val="nil"/>
              <w:right w:val="single" w:color="000000" w:sz="4" w:space="0"/>
            </w:tcBorders>
            <w:noWrap/>
            <w:vAlign w:val="center"/>
          </w:tcPr>
          <w:p w14:paraId="72975894">
            <w:pP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12CAD16">
            <w:pPr>
              <w:rPr>
                <w:rFonts w:hint="eastAsia" w:ascii="宋体" w:hAnsi="宋体" w:eastAsia="宋体" w:cs="宋体"/>
                <w:i w:val="0"/>
                <w:iCs w:val="0"/>
                <w:color w:val="000000"/>
                <w:sz w:val="24"/>
                <w:szCs w:val="24"/>
                <w:u w:val="none"/>
              </w:rPr>
            </w:pPr>
          </w:p>
        </w:tc>
      </w:tr>
      <w:tr w14:paraId="2035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458" w:type="pct"/>
            <w:gridSpan w:val="7"/>
            <w:tcBorders>
              <w:top w:val="single" w:color="000000" w:sz="4" w:space="0"/>
              <w:left w:val="single" w:color="000000" w:sz="4" w:space="0"/>
              <w:bottom w:val="single" w:color="000000" w:sz="4" w:space="0"/>
              <w:right w:val="single" w:color="000000" w:sz="4" w:space="0"/>
            </w:tcBorders>
            <w:noWrap/>
            <w:vAlign w:val="center"/>
          </w:tcPr>
          <w:p w14:paraId="6AD17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747BEE1">
            <w:pPr>
              <w:rPr>
                <w:rFonts w:hint="eastAsia" w:ascii="宋体" w:hAnsi="宋体" w:eastAsia="宋体" w:cs="宋体"/>
                <w:i w:val="0"/>
                <w:iCs w:val="0"/>
                <w:color w:val="000000"/>
                <w:sz w:val="24"/>
                <w:szCs w:val="24"/>
                <w:u w:val="none"/>
              </w:rPr>
            </w:pPr>
          </w:p>
        </w:tc>
      </w:tr>
    </w:tbl>
    <w:p w14:paraId="5E3186FF"/>
    <w:p w14:paraId="779E5151">
      <w:pPr>
        <w:rPr>
          <w:rFonts w:hint="eastAsia"/>
        </w:rPr>
      </w:pPr>
    </w:p>
    <w:p w14:paraId="65F70C0F">
      <w:pPr>
        <w:adjustRightInd w:val="0"/>
        <w:snapToGrid w:val="0"/>
        <w:spacing w:line="360" w:lineRule="auto"/>
        <w:rPr>
          <w:rFonts w:hint="eastAsia" w:ascii="宋体" w:hAnsi="宋体" w:eastAsia="宋体" w:cs="仿宋_GB2312"/>
          <w:sz w:val="22"/>
          <w:szCs w:val="22"/>
        </w:rPr>
      </w:pPr>
      <w:r>
        <w:rPr>
          <w:rFonts w:hint="eastAsia" w:ascii="宋体" w:hAnsi="宋体" w:eastAsia="宋体" w:cs="仿宋_GB2312"/>
          <w:sz w:val="22"/>
          <w:szCs w:val="22"/>
          <w:lang w:val="en-US" w:eastAsia="zh-CN"/>
        </w:rPr>
        <w:t>二、履约期限</w:t>
      </w:r>
      <w:r>
        <w:rPr>
          <w:rFonts w:hint="eastAsia" w:ascii="宋体" w:hAnsi="宋体" w:eastAsia="宋体" w:cs="仿宋_GB2312"/>
          <w:sz w:val="22"/>
          <w:szCs w:val="22"/>
        </w:rPr>
        <w:t>：合同生效后</w:t>
      </w:r>
      <w:r>
        <w:rPr>
          <w:rFonts w:hint="eastAsia" w:ascii="宋体" w:hAnsi="宋体" w:eastAsia="宋体" w:cs="仿宋_GB2312"/>
          <w:sz w:val="22"/>
          <w:szCs w:val="22"/>
          <w:lang w:val="en-US" w:eastAsia="zh-CN"/>
        </w:rPr>
        <w:t>15</w:t>
      </w:r>
      <w:r>
        <w:rPr>
          <w:rFonts w:hint="eastAsia" w:ascii="宋体" w:hAnsi="宋体" w:eastAsia="宋体" w:cs="仿宋_GB2312"/>
          <w:sz w:val="22"/>
          <w:szCs w:val="22"/>
        </w:rPr>
        <w:t>日内需完成供货及安装工作。</w:t>
      </w:r>
    </w:p>
    <w:p w14:paraId="062B3F00">
      <w:pPr>
        <w:adjustRightInd w:val="0"/>
        <w:snapToGrid w:val="0"/>
        <w:spacing w:line="360" w:lineRule="auto"/>
        <w:rPr>
          <w:rFonts w:hint="eastAsia" w:ascii="宋体" w:hAnsi="宋体" w:eastAsia="宋体" w:cs="仿宋_GB2312"/>
          <w:sz w:val="22"/>
          <w:szCs w:val="22"/>
        </w:rPr>
      </w:pPr>
      <w:r>
        <w:rPr>
          <w:rFonts w:hint="eastAsia" w:ascii="宋体" w:hAnsi="宋体" w:eastAsia="宋体" w:cs="仿宋_GB2312"/>
          <w:sz w:val="22"/>
          <w:szCs w:val="22"/>
          <w:lang w:val="en-US" w:eastAsia="zh-CN"/>
        </w:rPr>
        <w:t>三、履约</w:t>
      </w:r>
      <w:r>
        <w:rPr>
          <w:rFonts w:hint="eastAsia" w:ascii="宋体" w:hAnsi="宋体" w:eastAsia="宋体" w:cs="仿宋_GB2312"/>
          <w:sz w:val="22"/>
          <w:szCs w:val="22"/>
        </w:rPr>
        <w:t>地点：湖北省烟草公司</w:t>
      </w:r>
      <w:r>
        <w:rPr>
          <w:rFonts w:hint="eastAsia" w:ascii="宋体" w:hAnsi="宋体" w:eastAsia="宋体" w:cs="仿宋_GB2312"/>
          <w:sz w:val="22"/>
          <w:szCs w:val="22"/>
          <w:lang w:eastAsia="zh-CN"/>
        </w:rPr>
        <w:t>十堰</w:t>
      </w:r>
      <w:r>
        <w:rPr>
          <w:rFonts w:hint="eastAsia" w:ascii="宋体" w:hAnsi="宋体" w:eastAsia="宋体" w:cs="仿宋_GB2312"/>
          <w:sz w:val="22"/>
          <w:szCs w:val="22"/>
        </w:rPr>
        <w:t>市公司。</w:t>
      </w:r>
    </w:p>
    <w:p w14:paraId="18D0F9F7">
      <w:pPr>
        <w:adjustRightInd w:val="0"/>
        <w:snapToGrid w:val="0"/>
        <w:spacing w:line="360" w:lineRule="auto"/>
        <w:rPr>
          <w:rFonts w:hint="eastAsia" w:ascii="宋体" w:hAnsi="宋体" w:eastAsia="宋体" w:cs="仿宋_GB2312"/>
          <w:sz w:val="22"/>
          <w:szCs w:val="22"/>
          <w:lang w:eastAsia="zh-CN"/>
        </w:rPr>
      </w:pPr>
      <w:r>
        <w:rPr>
          <w:rFonts w:hint="eastAsia" w:ascii="宋体" w:hAnsi="宋体" w:eastAsia="宋体" w:cs="仿宋_GB2312"/>
          <w:sz w:val="22"/>
          <w:szCs w:val="22"/>
        </w:rPr>
        <w:t>四、付款方式</w:t>
      </w:r>
      <w:r>
        <w:rPr>
          <w:rFonts w:hint="eastAsia" w:ascii="宋体" w:hAnsi="宋体" w:eastAsia="宋体" w:cs="仿宋_GB2312"/>
          <w:sz w:val="22"/>
          <w:szCs w:val="22"/>
          <w:lang w:eastAsia="zh-CN"/>
        </w:rPr>
        <w:t>：</w:t>
      </w:r>
    </w:p>
    <w:p w14:paraId="2D5F73EE">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eastAsia="宋体" w:cs="仿宋_GB2312"/>
          <w:sz w:val="22"/>
          <w:szCs w:val="22"/>
        </w:rPr>
        <w:t>设备到货安装</w:t>
      </w:r>
      <w:r>
        <w:rPr>
          <w:rFonts w:hint="eastAsia" w:ascii="宋体" w:hAnsi="宋体" w:cs="仿宋_GB2312"/>
          <w:sz w:val="22"/>
          <w:szCs w:val="22"/>
        </w:rPr>
        <w:t>，并经甲乙双方验收合格后，由供应商单位开具全额增值税专用发票，甲方收到发票后30个工作日内支付合同全款的97%；剩余3%尾款自验收合格之日起一年后进行支付。乙方根据甲方要求向甲方开具合同全额与税法要求对应税率的增值税一般纳税人专用发票。</w:t>
      </w:r>
    </w:p>
    <w:bookmarkEnd w:id="0"/>
    <w:p w14:paraId="51C8DB8D">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006B1512">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16C48AD0">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eastAsia="宋体" w:cs="仿宋_GB2312"/>
          <w:sz w:val="22"/>
          <w:szCs w:val="22"/>
        </w:rPr>
        <w:t>乙方保证提供的商品</w:t>
      </w:r>
      <w:r>
        <w:rPr>
          <w:rFonts w:hint="default" w:ascii="宋体" w:hAnsi="宋体" w:eastAsia="宋体" w:cs="仿宋_GB2312"/>
          <w:sz w:val="22"/>
          <w:szCs w:val="22"/>
        </w:rPr>
        <w:t>完全符合国家、行业以及本合同规定的质量、规格和性能</w:t>
      </w:r>
      <w:r>
        <w:rPr>
          <w:rFonts w:hint="eastAsia" w:ascii="宋体" w:hAnsi="宋体" w:cs="宋体"/>
          <w:szCs w:val="21"/>
        </w:rPr>
        <w:t>；乙方并保证本合同货物产品、正常使用和维修的情况下运转良好。如发现产品与合同上述约定不符，乙方应无条件接受甲方退货换货要求，并双倍赔偿本合同项下全部货款。</w:t>
      </w:r>
    </w:p>
    <w:bookmarkEnd w:id="1"/>
    <w:p w14:paraId="7EE49AC0">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59DA61D1">
      <w:pPr>
        <w:spacing w:line="360" w:lineRule="auto"/>
        <w:ind w:firstLine="420" w:firstLineChars="200"/>
        <w:rPr>
          <w:rFonts w:hint="eastAsia" w:ascii="宋体" w:hAnsi="宋体" w:cs="宋体"/>
          <w:szCs w:val="21"/>
        </w:rPr>
      </w:pPr>
      <w:r>
        <w:rPr>
          <w:rFonts w:hint="eastAsia" w:ascii="宋体" w:hAnsi="宋体" w:cs="宋体"/>
          <w:szCs w:val="21"/>
        </w:rPr>
        <w:t>1.验收方法：两次验收。</w:t>
      </w:r>
    </w:p>
    <w:p w14:paraId="5EB51489">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63A33A64">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2.1、第一次验收：乙方在合同约定时间内完成供货及安装工作；</w:t>
      </w:r>
    </w:p>
    <w:p w14:paraId="46D4F4EF">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084CA08A">
      <w:pPr>
        <w:spacing w:line="360" w:lineRule="auto"/>
        <w:ind w:firstLine="420" w:firstLineChars="200"/>
        <w:rPr>
          <w:rFonts w:ascii="宋体" w:hAnsi="宋体" w:cs="宋体"/>
          <w:szCs w:val="21"/>
        </w:rPr>
      </w:pPr>
      <w:r>
        <w:rPr>
          <w:rFonts w:hint="eastAsia" w:ascii="宋体" w:hAnsi="宋体" w:cs="宋体"/>
          <w:szCs w:val="21"/>
        </w:rPr>
        <w:t>3.验收内容：</w:t>
      </w:r>
    </w:p>
    <w:p w14:paraId="0BD67842">
      <w:pPr>
        <w:spacing w:line="360" w:lineRule="auto"/>
        <w:ind w:firstLine="420" w:firstLineChars="200"/>
        <w:rPr>
          <w:rFonts w:ascii="宋体" w:hAnsi="宋体" w:cs="宋体"/>
          <w:szCs w:val="21"/>
        </w:rPr>
      </w:pPr>
      <w:r>
        <w:rPr>
          <w:rFonts w:hint="eastAsia" w:ascii="宋体" w:hAnsi="宋体" w:cs="宋体"/>
          <w:szCs w:val="21"/>
        </w:rPr>
        <w:t>3.1、第一次验收：乙方提供经甲乙双方认可的验收报告；</w:t>
      </w:r>
    </w:p>
    <w:p w14:paraId="7DE6826B">
      <w:pPr>
        <w:spacing w:line="360" w:lineRule="auto"/>
        <w:ind w:firstLine="420" w:firstLineChars="200"/>
        <w:rPr>
          <w:rFonts w:hint="eastAsia" w:ascii="宋体" w:hAnsi="宋体" w:cs="宋体"/>
          <w:szCs w:val="21"/>
        </w:rPr>
      </w:pPr>
      <w:r>
        <w:rPr>
          <w:rFonts w:hint="eastAsia" w:ascii="宋体" w:hAnsi="宋体" w:cs="宋体"/>
          <w:szCs w:val="21"/>
        </w:rPr>
        <w:t>3.2、第二次验收：乙方提供自验收合格合格之日起1年质保期满的验收报告；</w:t>
      </w:r>
    </w:p>
    <w:p w14:paraId="0EE7321E">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4F8A2C3A">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7A062309">
      <w:pPr>
        <w:spacing w:line="360" w:lineRule="auto"/>
        <w:ind w:firstLine="420" w:firstLineChars="200"/>
        <w:rPr>
          <w:rFonts w:hint="eastAsia" w:ascii="宋体" w:hAnsi="宋体" w:cs="宋体"/>
          <w:szCs w:val="21"/>
        </w:rPr>
      </w:pPr>
      <w:r>
        <w:rPr>
          <w:rFonts w:hint="eastAsia" w:ascii="宋体" w:hAnsi="宋体" w:cs="宋体"/>
          <w:szCs w:val="21"/>
        </w:rPr>
        <w:t>4.2、完成机房汇聚网络及光纤链路升级改造等工作，达到各设备均能正常运行的条件。</w:t>
      </w:r>
    </w:p>
    <w:p w14:paraId="4E99BFF9">
      <w:pPr>
        <w:spacing w:line="360" w:lineRule="auto"/>
        <w:ind w:firstLine="420" w:firstLineChars="200"/>
        <w:rPr>
          <w:rFonts w:ascii="宋体" w:hAnsi="宋体" w:cs="宋体"/>
          <w:szCs w:val="21"/>
        </w:rPr>
      </w:pPr>
      <w:r>
        <w:rPr>
          <w:rFonts w:hint="eastAsia" w:ascii="宋体" w:hAnsi="宋体" w:cs="宋体"/>
          <w:szCs w:val="21"/>
        </w:rPr>
        <w:t>5.验收时间：</w:t>
      </w:r>
    </w:p>
    <w:p w14:paraId="0193FB5A">
      <w:pPr>
        <w:spacing w:line="360" w:lineRule="auto"/>
        <w:ind w:firstLine="420" w:firstLineChars="200"/>
        <w:rPr>
          <w:rFonts w:hint="eastAsia" w:ascii="宋体" w:hAnsi="宋体" w:cs="宋体"/>
          <w:szCs w:val="21"/>
        </w:rPr>
      </w:pPr>
      <w:r>
        <w:rPr>
          <w:rFonts w:hint="eastAsia" w:ascii="宋体" w:hAnsi="宋体" w:cs="宋体"/>
          <w:szCs w:val="21"/>
        </w:rPr>
        <w:t>5.1、第一次验收：安装工作完成验收合格后15个工作日内；</w:t>
      </w:r>
    </w:p>
    <w:p w14:paraId="187166CF">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32915A46">
      <w:pPr>
        <w:spacing w:line="360" w:lineRule="auto"/>
        <w:rPr>
          <w:rFonts w:ascii="宋体" w:hAnsi="宋体" w:cs="仿宋_GB2312"/>
          <w:sz w:val="22"/>
          <w:szCs w:val="22"/>
        </w:rPr>
      </w:pPr>
      <w:r>
        <w:rPr>
          <w:rFonts w:hint="eastAsia" w:ascii="宋体" w:hAnsi="宋体" w:cs="仿宋_GB2312"/>
          <w:sz w:val="22"/>
          <w:szCs w:val="22"/>
        </w:rPr>
        <w:t>七、售后服务</w:t>
      </w:r>
    </w:p>
    <w:p w14:paraId="798FB44B">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1、本项目售后服务期：自项目验收合格之日起1年。</w:t>
      </w:r>
    </w:p>
    <w:p w14:paraId="3102A67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3161FD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14FB953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69CE538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5AD0AE7F">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622909CB">
      <w:pPr>
        <w:spacing w:line="360" w:lineRule="auto"/>
        <w:rPr>
          <w:rFonts w:ascii="宋体" w:hAnsi="宋体" w:cs="宋体"/>
          <w:szCs w:val="21"/>
        </w:rPr>
      </w:pPr>
    </w:p>
    <w:p w14:paraId="6218A4BB">
      <w:pPr>
        <w:spacing w:line="360" w:lineRule="auto"/>
        <w:rPr>
          <w:rFonts w:ascii="宋体" w:hAnsi="宋体" w:cs="宋体"/>
          <w:szCs w:val="21"/>
        </w:rPr>
      </w:pPr>
    </w:p>
    <w:p w14:paraId="04359025">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57B8C"/>
    <w:rsid w:val="54D5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2025-12-03T08:21:00Z</dcterms:created>
  <dc:creator>顾梦</dc:creator>
  <cp:lastModifiedBy>顾梦</cp:lastModifiedBy>
  <dcterms:modified xsi:type="dcterms:W3CDTF">2025-12-03T08:22:23Z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FC1BB3DCA56C47C1A24759A7EE41F8EE_11</vt:lpwstr>
  </property>
  <property fmtid="{D5CDD505-2E9C-101B-9397-08002B2CF9AE}" pid="4" name="KSOTemplateDocerSaveRecord">
    <vt:lpwstr>eyJoZGlkIjoiYzY5N2EwYWQ1Yzc3OGE4MmU5ZDI3MWU3OTkyZDM3NGMiLCJ1c2VySWQiOiI0MDQwNzE2MzYifQ==</vt:lpwstr>
  </property>
</Properties>
</file>