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B675D">
      <w:pPr>
        <w:pStyle w:val="3"/>
        <w:bidi w:val="0"/>
        <w:jc w:val="center"/>
        <w:rPr>
          <w:rFonts w:hint="eastAsia"/>
          <w:lang w:val="en-US" w:eastAsia="zh-CN"/>
        </w:rPr>
      </w:pPr>
      <w:bookmarkStart w:id="0" w:name="_GoBack"/>
      <w:r>
        <w:rPr>
          <w:rFonts w:hint="eastAsia"/>
          <w:lang w:val="en-US" w:eastAsia="zh-CN"/>
        </w:rPr>
        <w:t>采购需求</w:t>
      </w:r>
    </w:p>
    <w:bookmarkEnd w:id="0"/>
    <w:p w14:paraId="2C8F4E7F">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本部分一般应包含但不限于如下主要内容：</w:t>
      </w:r>
    </w:p>
    <w:p w14:paraId="63911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cs="仿宋_GB2312"/>
          <w:sz w:val="22"/>
          <w:szCs w:val="22"/>
          <w:lang w:val="en-US" w:eastAsia="zh-CN"/>
        </w:rPr>
      </w:pPr>
      <w:r>
        <w:rPr>
          <w:rFonts w:hint="eastAsia" w:ascii="宋体" w:hAnsi="宋体" w:eastAsia="宋体" w:cs="仿宋_GB2312"/>
          <w:b/>
          <w:bCs/>
          <w:sz w:val="22"/>
          <w:szCs w:val="22"/>
          <w:lang w:val="en-US" w:eastAsia="zh-CN"/>
        </w:rPr>
        <w:t>一</w:t>
      </w:r>
      <w:r>
        <w:rPr>
          <w:rFonts w:hint="eastAsia" w:ascii="宋体" w:hAnsi="宋体" w:cs="仿宋_GB2312"/>
          <w:b/>
          <w:bCs/>
          <w:sz w:val="22"/>
          <w:szCs w:val="22"/>
          <w:lang w:val="en-US" w:eastAsia="zh-CN"/>
        </w:rPr>
        <w:t>、采购内容</w:t>
      </w:r>
      <w:r>
        <w:rPr>
          <w:rFonts w:hint="eastAsia" w:ascii="宋体" w:hAnsi="宋体" w:cs="仿宋_GB2312"/>
          <w:b/>
          <w:bCs/>
          <w:sz w:val="22"/>
          <w:szCs w:val="22"/>
        </w:rPr>
        <w:t>；</w:t>
      </w:r>
    </w:p>
    <w:tbl>
      <w:tblPr>
        <w:tblStyle w:val="6"/>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740"/>
        <w:gridCol w:w="4366"/>
        <w:gridCol w:w="803"/>
        <w:gridCol w:w="803"/>
      </w:tblGrid>
      <w:tr w14:paraId="7AAA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3" w:type="dxa"/>
            <w:vAlign w:val="center"/>
          </w:tcPr>
          <w:p w14:paraId="2E88C98E">
            <w:pPr>
              <w:widowControl/>
              <w:snapToGrid w:val="0"/>
              <w:spacing w:line="240" w:lineRule="auto"/>
              <w:ind w:left="0" w:leftChars="0" w:right="0" w:rightChars="0" w:firstLine="0" w:firstLineChars="0"/>
              <w:jc w:val="center"/>
              <w:rPr>
                <w:rFonts w:hint="eastAsia" w:ascii="宋体" w:hAnsi="宋体" w:eastAsia="宋体" w:cs="宋体"/>
                <w:b/>
                <w:color w:val="404040"/>
                <w:kern w:val="0"/>
                <w:sz w:val="21"/>
                <w:szCs w:val="21"/>
              </w:rPr>
            </w:pPr>
            <w:r>
              <w:rPr>
                <w:rFonts w:hint="eastAsia" w:ascii="宋体" w:hAnsi="宋体" w:eastAsia="宋体" w:cs="宋体"/>
                <w:b/>
                <w:color w:val="404040"/>
                <w:kern w:val="0"/>
                <w:sz w:val="21"/>
                <w:szCs w:val="21"/>
              </w:rPr>
              <w:t>序号</w:t>
            </w:r>
          </w:p>
        </w:tc>
        <w:tc>
          <w:tcPr>
            <w:tcW w:w="1740" w:type="dxa"/>
            <w:vAlign w:val="center"/>
          </w:tcPr>
          <w:p w14:paraId="05185B97">
            <w:pPr>
              <w:widowControl/>
              <w:snapToGrid w:val="0"/>
              <w:spacing w:line="240" w:lineRule="auto"/>
              <w:ind w:left="0" w:leftChars="0" w:right="0" w:rightChars="0" w:firstLine="0" w:firstLineChars="0"/>
              <w:jc w:val="center"/>
              <w:rPr>
                <w:rFonts w:hint="eastAsia" w:ascii="宋体" w:hAnsi="宋体" w:eastAsia="宋体" w:cs="宋体"/>
                <w:b/>
                <w:color w:val="404040"/>
                <w:kern w:val="0"/>
                <w:sz w:val="21"/>
                <w:szCs w:val="21"/>
              </w:rPr>
            </w:pPr>
            <w:r>
              <w:rPr>
                <w:rFonts w:hint="eastAsia" w:ascii="宋体" w:hAnsi="宋体" w:eastAsia="宋体" w:cs="宋体"/>
                <w:b/>
                <w:color w:val="404040"/>
                <w:kern w:val="0"/>
                <w:sz w:val="21"/>
                <w:szCs w:val="21"/>
              </w:rPr>
              <w:t>名称</w:t>
            </w:r>
          </w:p>
        </w:tc>
        <w:tc>
          <w:tcPr>
            <w:tcW w:w="4366" w:type="dxa"/>
            <w:vAlign w:val="center"/>
          </w:tcPr>
          <w:p w14:paraId="61919C5A">
            <w:pPr>
              <w:widowControl/>
              <w:snapToGrid w:val="0"/>
              <w:spacing w:line="240" w:lineRule="auto"/>
              <w:ind w:left="0" w:leftChars="0" w:right="0" w:rightChars="0" w:firstLine="0" w:firstLineChars="0"/>
              <w:jc w:val="center"/>
              <w:rPr>
                <w:rFonts w:hint="eastAsia" w:ascii="宋体" w:hAnsi="宋体" w:eastAsia="宋体" w:cs="宋体"/>
                <w:b/>
                <w:color w:val="404040"/>
                <w:kern w:val="0"/>
                <w:sz w:val="21"/>
                <w:szCs w:val="21"/>
              </w:rPr>
            </w:pPr>
            <w:r>
              <w:rPr>
                <w:rFonts w:hint="eastAsia" w:ascii="宋体" w:hAnsi="宋体" w:eastAsia="宋体" w:cs="宋体"/>
                <w:b/>
                <w:color w:val="404040"/>
                <w:kern w:val="0"/>
                <w:sz w:val="21"/>
                <w:szCs w:val="21"/>
              </w:rPr>
              <w:t>技术规格</w:t>
            </w:r>
          </w:p>
        </w:tc>
        <w:tc>
          <w:tcPr>
            <w:tcW w:w="803" w:type="dxa"/>
            <w:vAlign w:val="center"/>
          </w:tcPr>
          <w:p w14:paraId="33BFFAF9">
            <w:pPr>
              <w:widowControl/>
              <w:snapToGrid w:val="0"/>
              <w:spacing w:line="240" w:lineRule="auto"/>
              <w:ind w:left="0" w:leftChars="0" w:right="0" w:rightChars="0" w:firstLine="0" w:firstLineChars="0"/>
              <w:jc w:val="center"/>
              <w:rPr>
                <w:rFonts w:hint="eastAsia" w:ascii="宋体" w:hAnsi="宋体" w:eastAsia="宋体" w:cs="宋体"/>
                <w:b/>
                <w:color w:val="404040"/>
                <w:kern w:val="0"/>
                <w:sz w:val="21"/>
                <w:szCs w:val="21"/>
              </w:rPr>
            </w:pPr>
            <w:r>
              <w:rPr>
                <w:rFonts w:hint="eastAsia" w:ascii="宋体" w:hAnsi="宋体" w:eastAsia="宋体" w:cs="宋体"/>
                <w:b/>
                <w:color w:val="404040"/>
                <w:kern w:val="0"/>
                <w:sz w:val="21"/>
                <w:szCs w:val="21"/>
                <w:lang w:val="en-US" w:eastAsia="zh-CN"/>
              </w:rPr>
              <w:t>单</w:t>
            </w:r>
            <w:r>
              <w:rPr>
                <w:rFonts w:hint="eastAsia" w:ascii="宋体" w:hAnsi="宋体" w:eastAsia="宋体" w:cs="宋体"/>
                <w:b/>
                <w:color w:val="404040"/>
                <w:kern w:val="0"/>
                <w:sz w:val="21"/>
                <w:szCs w:val="21"/>
              </w:rPr>
              <w:t>位</w:t>
            </w:r>
          </w:p>
        </w:tc>
        <w:tc>
          <w:tcPr>
            <w:tcW w:w="803" w:type="dxa"/>
            <w:vAlign w:val="center"/>
          </w:tcPr>
          <w:p w14:paraId="340D498A">
            <w:pPr>
              <w:widowControl/>
              <w:snapToGrid w:val="0"/>
              <w:spacing w:line="240" w:lineRule="auto"/>
              <w:ind w:left="0" w:leftChars="0" w:right="0" w:rightChars="0" w:firstLine="0" w:firstLineChars="0"/>
              <w:jc w:val="center"/>
              <w:rPr>
                <w:rFonts w:hint="eastAsia" w:ascii="宋体" w:hAnsi="宋体" w:eastAsia="宋体" w:cs="宋体"/>
                <w:b/>
                <w:color w:val="404040"/>
                <w:kern w:val="0"/>
                <w:sz w:val="21"/>
                <w:szCs w:val="21"/>
              </w:rPr>
            </w:pPr>
            <w:r>
              <w:rPr>
                <w:rFonts w:hint="eastAsia" w:ascii="宋体" w:hAnsi="宋体" w:eastAsia="宋体" w:cs="宋体"/>
                <w:b/>
                <w:color w:val="404040"/>
                <w:kern w:val="0"/>
                <w:sz w:val="21"/>
                <w:szCs w:val="21"/>
                <w:lang w:val="en-US" w:eastAsia="zh-CN"/>
              </w:rPr>
              <w:t>数</w:t>
            </w:r>
            <w:r>
              <w:rPr>
                <w:rFonts w:hint="eastAsia" w:ascii="宋体" w:hAnsi="宋体" w:eastAsia="宋体" w:cs="宋体"/>
                <w:b/>
                <w:color w:val="404040"/>
                <w:kern w:val="0"/>
                <w:sz w:val="21"/>
                <w:szCs w:val="21"/>
              </w:rPr>
              <w:t>量</w:t>
            </w:r>
          </w:p>
        </w:tc>
      </w:tr>
      <w:tr w14:paraId="172B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803" w:type="dxa"/>
            <w:vAlign w:val="center"/>
          </w:tcPr>
          <w:p w14:paraId="5FA8FF43">
            <w:pPr>
              <w:widowControl/>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740" w:type="dxa"/>
            <w:vAlign w:val="center"/>
          </w:tcPr>
          <w:p w14:paraId="2ECA794B">
            <w:pPr>
              <w:widowControl/>
              <w:snapToGrid w:val="0"/>
              <w:spacing w:line="240" w:lineRule="auto"/>
              <w:ind w:left="0" w:leftChars="0" w:right="0" w:rightChars="0"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安全渗透测试</w:t>
            </w:r>
          </w:p>
        </w:tc>
        <w:tc>
          <w:tcPr>
            <w:tcW w:w="4366" w:type="dxa"/>
            <w:vAlign w:val="center"/>
          </w:tcPr>
          <w:p w14:paraId="71D77C94">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消零零消支付中心</w:t>
            </w:r>
          </w:p>
          <w:p w14:paraId="7BE1F453">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智慧党建</w:t>
            </w:r>
          </w:p>
          <w:p w14:paraId="23B72A92">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办事公开民主网信创改造</w:t>
            </w:r>
          </w:p>
          <w:p w14:paraId="01D9DBCB">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学会网站国产化改造</w:t>
            </w:r>
          </w:p>
          <w:p w14:paraId="1137557E">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发展计划及企业管理系统(一期)</w:t>
            </w:r>
          </w:p>
          <w:p w14:paraId="28FA7CBC">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贵烟投相关项目</w:t>
            </w:r>
          </w:p>
          <w:p w14:paraId="565EFA4E">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投资公司“金叶智汇</w:t>
            </w:r>
          </w:p>
          <w:p w14:paraId="4D6CB071">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山东烟草质检站实验室管理信息系统项目</w:t>
            </w:r>
          </w:p>
          <w:p w14:paraId="377E54EF">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纪检监察数字化管理平台</w:t>
            </w:r>
          </w:p>
          <w:p w14:paraId="5B53227E">
            <w:pPr>
              <w:widowControl/>
              <w:snapToGrid w:val="0"/>
              <w:spacing w:line="240" w:lineRule="auto"/>
              <w:ind w:left="0" w:leftChars="0" w:right="0" w:righ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孝感物流送货员职能转型</w:t>
            </w:r>
          </w:p>
        </w:tc>
        <w:tc>
          <w:tcPr>
            <w:tcW w:w="803" w:type="dxa"/>
            <w:vAlign w:val="center"/>
          </w:tcPr>
          <w:p w14:paraId="742DB8F2">
            <w:pPr>
              <w:widowControl/>
              <w:snapToGrid w:val="0"/>
              <w:spacing w:line="240" w:lineRule="auto"/>
              <w:ind w:left="0" w:leftChars="0" w:right="0" w:rightChars="0" w:firstLine="0" w:firstLineChars="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项</w:t>
            </w:r>
          </w:p>
        </w:tc>
        <w:tc>
          <w:tcPr>
            <w:tcW w:w="803" w:type="dxa"/>
            <w:vAlign w:val="center"/>
          </w:tcPr>
          <w:p w14:paraId="52FF85B6">
            <w:pPr>
              <w:widowControl/>
              <w:snapToGrid w:val="0"/>
              <w:spacing w:line="240" w:lineRule="auto"/>
              <w:ind w:left="0" w:leftChars="0" w:right="0" w:rightChars="0" w:firstLine="0" w:firstLineChars="0"/>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0</w:t>
            </w:r>
          </w:p>
        </w:tc>
      </w:tr>
      <w:tr w14:paraId="6414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803" w:type="dxa"/>
            <w:vAlign w:val="center"/>
          </w:tcPr>
          <w:p w14:paraId="48BB7DC8">
            <w:pPr>
              <w:widowControl/>
              <w:snapToGrid w:val="0"/>
              <w:spacing w:line="240" w:lineRule="auto"/>
              <w:ind w:left="0" w:leftChars="0" w:right="0" w:rightChars="0" w:firstLine="0" w:firstLineChars="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1740" w:type="dxa"/>
            <w:vAlign w:val="center"/>
          </w:tcPr>
          <w:p w14:paraId="2F96071A">
            <w:pPr>
              <w:widowControl/>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代码审计服务</w:t>
            </w:r>
          </w:p>
        </w:tc>
        <w:tc>
          <w:tcPr>
            <w:tcW w:w="4366" w:type="dxa"/>
            <w:vAlign w:val="center"/>
          </w:tcPr>
          <w:p w14:paraId="04CDB629">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消零零消支付中心</w:t>
            </w:r>
          </w:p>
          <w:p w14:paraId="06CD33BF">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智慧党建</w:t>
            </w:r>
          </w:p>
          <w:p w14:paraId="0143A52D">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办事公开民主网信创改造</w:t>
            </w:r>
          </w:p>
          <w:p w14:paraId="5A2C5D92">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学会网站国产化改造</w:t>
            </w:r>
          </w:p>
          <w:p w14:paraId="157335B2">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发展计划及企业管理系统(一期)</w:t>
            </w:r>
          </w:p>
          <w:p w14:paraId="4E4C6E1D">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贵烟投相关项目</w:t>
            </w:r>
          </w:p>
          <w:p w14:paraId="3FF08272">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投资公司“金叶智汇</w:t>
            </w:r>
          </w:p>
          <w:p w14:paraId="2CBB1723">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山东烟草质检站实验室管理信息系统项目</w:t>
            </w:r>
          </w:p>
          <w:p w14:paraId="0D47FED7">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纪检监察数字化管理平台</w:t>
            </w:r>
          </w:p>
          <w:p w14:paraId="39CDF974">
            <w:pPr>
              <w:widowControl/>
              <w:snapToGrid w:val="0"/>
              <w:spacing w:line="240" w:lineRule="auto"/>
              <w:ind w:left="0" w:leftChars="0" w:right="0" w:rightChars="0" w:firstLine="0" w:firstLineChars="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孝感物流送货员职能转型</w:t>
            </w:r>
          </w:p>
        </w:tc>
        <w:tc>
          <w:tcPr>
            <w:tcW w:w="803" w:type="dxa"/>
            <w:shd w:val="clear" w:color="auto" w:fill="auto"/>
            <w:vAlign w:val="center"/>
          </w:tcPr>
          <w:p w14:paraId="483B64A4">
            <w:pPr>
              <w:widowControl/>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项</w:t>
            </w:r>
          </w:p>
        </w:tc>
        <w:tc>
          <w:tcPr>
            <w:tcW w:w="803" w:type="dxa"/>
            <w:shd w:val="clear" w:color="auto" w:fill="auto"/>
            <w:vAlign w:val="center"/>
          </w:tcPr>
          <w:p w14:paraId="751DC72A">
            <w:pPr>
              <w:widowControl/>
              <w:snapToGrid w:val="0"/>
              <w:spacing w:line="240" w:lineRule="auto"/>
              <w:ind w:left="0" w:leftChars="0" w:right="0" w:rightChars="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0</w:t>
            </w:r>
          </w:p>
        </w:tc>
      </w:tr>
    </w:tbl>
    <w:p w14:paraId="53A7524A">
      <w:pPr>
        <w:spacing w:line="360" w:lineRule="auto"/>
        <w:ind w:left="220" w:hanging="220" w:hangingChars="100"/>
        <w:rPr>
          <w:rFonts w:hint="eastAsia" w:ascii="宋体" w:hAnsi="宋体" w:cs="仿宋_GB2312"/>
          <w:sz w:val="22"/>
          <w:szCs w:val="22"/>
          <w:lang w:val="en-US" w:eastAsia="zh-CN"/>
        </w:rPr>
      </w:pPr>
      <w:r>
        <w:rPr>
          <w:rFonts w:hint="eastAsia" w:ascii="宋体" w:hAnsi="宋体" w:cs="仿宋_GB2312"/>
          <w:sz w:val="22"/>
          <w:szCs w:val="22"/>
          <w:lang w:val="en-US" w:eastAsia="zh-CN"/>
        </w:rPr>
        <w:t>交货地点：甲方指定地点</w:t>
      </w:r>
    </w:p>
    <w:p w14:paraId="1B2A6E04">
      <w:pPr>
        <w:spacing w:line="360" w:lineRule="auto"/>
        <w:ind w:left="220" w:hanging="220" w:hangingChars="100"/>
        <w:rPr>
          <w:rFonts w:hint="eastAsia" w:ascii="宋体" w:hAnsi="宋体" w:cs="仿宋_GB2312"/>
          <w:sz w:val="22"/>
          <w:szCs w:val="22"/>
          <w:lang w:val="en-US" w:eastAsia="zh-CN"/>
        </w:rPr>
      </w:pPr>
      <w:r>
        <w:rPr>
          <w:rFonts w:hint="eastAsia" w:ascii="宋体" w:hAnsi="宋体" w:cs="仿宋_GB2312"/>
          <w:sz w:val="22"/>
          <w:szCs w:val="22"/>
          <w:lang w:val="en-US" w:eastAsia="zh-CN"/>
        </w:rPr>
        <w:t>交货期限：合同生效后30日内</w:t>
      </w:r>
    </w:p>
    <w:p w14:paraId="2370DAA0">
      <w:pPr>
        <w:spacing w:line="360" w:lineRule="auto"/>
        <w:ind w:left="220" w:hanging="220" w:hangingChars="100"/>
        <w:rPr>
          <w:rFonts w:hint="eastAsia" w:ascii="宋体" w:hAnsi="宋体" w:cs="仿宋_GB2312"/>
          <w:sz w:val="48"/>
          <w:szCs w:val="48"/>
        </w:rPr>
      </w:pPr>
      <w:r>
        <w:rPr>
          <w:rFonts w:hint="eastAsia" w:ascii="宋体" w:hAnsi="宋体" w:eastAsia="宋体" w:cs="仿宋_GB2312"/>
          <w:sz w:val="22"/>
          <w:szCs w:val="22"/>
          <w:lang w:val="en-US" w:eastAsia="zh-CN"/>
        </w:rPr>
        <w:t>服务期：</w:t>
      </w:r>
      <w:r>
        <w:rPr>
          <w:rFonts w:hint="eastAsia" w:ascii="宋体" w:hAnsi="宋体" w:eastAsia="宋体" w:cs="宋体"/>
          <w:kern w:val="0"/>
          <w:sz w:val="22"/>
          <w:szCs w:val="22"/>
          <w:lang w:val="en-US" w:eastAsia="zh-CN"/>
        </w:rPr>
        <w:t>一年</w:t>
      </w:r>
    </w:p>
    <w:p w14:paraId="00244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default"/>
          <w:lang w:val="en-US" w:eastAsia="zh-CN"/>
        </w:rPr>
      </w:pPr>
      <w:r>
        <w:rPr>
          <w:rFonts w:hint="eastAsia" w:ascii="宋体" w:hAnsi="宋体" w:eastAsia="宋体" w:cs="仿宋_GB2312"/>
          <w:b/>
          <w:bCs/>
          <w:sz w:val="22"/>
          <w:szCs w:val="22"/>
          <w:lang w:val="en-US" w:eastAsia="zh-CN"/>
        </w:rPr>
        <w:t>二、合同金额</w:t>
      </w:r>
      <w:r>
        <w:rPr>
          <w:rFonts w:hint="eastAsia" w:ascii="宋体" w:hAnsi="宋体" w:cs="仿宋_GB2312"/>
          <w:b/>
          <w:bCs/>
          <w:sz w:val="22"/>
          <w:szCs w:val="22"/>
        </w:rPr>
        <w:t>；</w:t>
      </w:r>
      <w:r>
        <w:rPr>
          <w:rFonts w:hint="eastAsia"/>
          <w:lang w:val="en-US" w:eastAsia="zh-CN"/>
        </w:rPr>
        <w:t>合同</w:t>
      </w:r>
      <w:r>
        <w:rPr>
          <w:rFonts w:hint="default"/>
          <w:lang w:val="en-US" w:eastAsia="zh-CN"/>
        </w:rPr>
        <w:t>总金额（含</w:t>
      </w:r>
      <w:r>
        <w:rPr>
          <w:rFonts w:hint="eastAsia"/>
          <w:lang w:val="en-US" w:eastAsia="zh-CN"/>
        </w:rPr>
        <w:t>6</w:t>
      </w:r>
      <w:r>
        <w:rPr>
          <w:rFonts w:hint="default"/>
          <w:lang w:val="en-US" w:eastAsia="zh-CN"/>
        </w:rPr>
        <w:t>%税价）：</w:t>
      </w:r>
      <w:r>
        <w:rPr>
          <w:rFonts w:hint="default"/>
          <w:u w:val="single"/>
          <w:lang w:val="en-US" w:eastAsia="zh-CN"/>
        </w:rPr>
        <w:t xml:space="preserve"> </w:t>
      </w:r>
      <w:r>
        <w:rPr>
          <w:rFonts w:hint="eastAsia"/>
          <w:u w:val="single"/>
          <w:lang w:val="en-US" w:eastAsia="zh-CN"/>
        </w:rPr>
        <w:t xml:space="preserve">  </w:t>
      </w:r>
      <w:r>
        <w:rPr>
          <w:rFonts w:hint="default"/>
          <w:u w:val="single"/>
          <w:lang w:val="en-US" w:eastAsia="zh-CN"/>
        </w:rPr>
        <w:t>（小写）</w:t>
      </w:r>
      <w:r>
        <w:rPr>
          <w:rFonts w:hint="default"/>
          <w:lang w:val="en-US" w:eastAsia="zh-CN"/>
        </w:rPr>
        <w:t xml:space="preserve"> 合同总金额：</w:t>
      </w:r>
      <w:r>
        <w:rPr>
          <w:rFonts w:hint="eastAsia"/>
          <w:u w:val="single"/>
          <w:lang w:val="en-US" w:eastAsia="zh-CN"/>
        </w:rPr>
        <w:t xml:space="preserve">   </w:t>
      </w:r>
      <w:r>
        <w:rPr>
          <w:rFonts w:hint="default"/>
          <w:u w:val="single"/>
          <w:lang w:val="en-US" w:eastAsia="zh-CN"/>
        </w:rPr>
        <w:t>（大写）</w:t>
      </w:r>
    </w:p>
    <w:p w14:paraId="67F30319">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合同</w:t>
      </w:r>
      <w:r>
        <w:rPr>
          <w:rFonts w:hint="default"/>
          <w:lang w:val="en-US" w:eastAsia="zh-CN"/>
        </w:rPr>
        <w:t>履行期间，如遇国家税率调整，以合同约定的不含税价作为基准价，对税率和价税合计做相应调整。调整时间界定按照国家相关规定执行。</w:t>
      </w:r>
    </w:p>
    <w:p w14:paraId="5CA536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42" w:firstLineChars="200"/>
        <w:textAlignment w:val="auto"/>
        <w:rPr>
          <w:rFonts w:hint="eastAsia" w:ascii="宋体" w:hAnsi="宋体" w:cs="仿宋_GB2312"/>
          <w:b/>
          <w:bCs/>
          <w:sz w:val="22"/>
          <w:szCs w:val="22"/>
          <w:lang w:val="en-US" w:eastAsia="zh-CN"/>
        </w:rPr>
      </w:pPr>
      <w:r>
        <w:rPr>
          <w:rFonts w:hint="eastAsia" w:ascii="宋体" w:hAnsi="宋体" w:cs="仿宋_GB2312"/>
          <w:b/>
          <w:bCs/>
          <w:sz w:val="22"/>
          <w:szCs w:val="22"/>
          <w:lang w:val="en-US" w:eastAsia="zh-CN"/>
        </w:rPr>
        <w:t>付款方式：</w:t>
      </w:r>
    </w:p>
    <w:p w14:paraId="595D4A18">
      <w:pPr>
        <w:keepNext w:val="0"/>
        <w:keepLines w:val="0"/>
        <w:pageBreakBefore w:val="0"/>
        <w:widowControl w:val="0"/>
        <w:kinsoku/>
        <w:wordWrap/>
        <w:overflowPunct/>
        <w:topLinePunct w:val="0"/>
        <w:autoSpaceDE/>
        <w:autoSpaceDN/>
        <w:bidi w:val="0"/>
        <w:spacing w:after="120" w:afterLines="0" w:afterAutospacing="0"/>
        <w:ind w:firstLine="420" w:firstLineChars="200"/>
        <w:jc w:val="both"/>
        <w:textAlignment w:val="auto"/>
        <w:rPr>
          <w:rFonts w:hint="eastAsia" w:asciiTheme="minorHAnsi" w:hAnsiTheme="minorHAnsi" w:eastAsiaTheme="minorEastAsia" w:cstheme="minorBidi"/>
          <w:kern w:val="2"/>
          <w:sz w:val="21"/>
          <w:szCs w:val="22"/>
          <w:highlight w:val="none"/>
          <w:u w:val="none"/>
          <w:lang w:val="en-US" w:eastAsia="zh-CN" w:bidi="ar-SA"/>
        </w:rPr>
      </w:pPr>
      <w:r>
        <w:rPr>
          <w:rFonts w:hint="eastAsia" w:asciiTheme="minorHAnsi" w:hAnsiTheme="minorHAnsi" w:eastAsiaTheme="minorEastAsia" w:cstheme="minorBidi"/>
          <w:kern w:val="2"/>
          <w:sz w:val="21"/>
          <w:szCs w:val="22"/>
          <w:lang w:val="en-US" w:eastAsia="zh-CN" w:bidi="ar-SA"/>
        </w:rPr>
        <w:t>第一笔款：</w:t>
      </w:r>
      <w:r>
        <w:rPr>
          <w:rFonts w:hint="eastAsia" w:asciiTheme="minorHAnsi" w:hAnsiTheme="minorHAnsi" w:eastAsiaTheme="minorEastAsia" w:cstheme="minorBidi"/>
          <w:kern w:val="2"/>
          <w:sz w:val="21"/>
          <w:szCs w:val="22"/>
          <w:highlight w:val="none"/>
          <w:lang w:val="en-US" w:eastAsia="zh-CN" w:bidi="ar-SA"/>
        </w:rPr>
        <w:t>合同签订后30日内，甲方向乙方支付合同总金额</w:t>
      </w:r>
      <w:r>
        <w:rPr>
          <w:rFonts w:hint="eastAsia" w:cstheme="minorBidi"/>
          <w:kern w:val="2"/>
          <w:sz w:val="21"/>
          <w:szCs w:val="22"/>
          <w:highlight w:val="none"/>
          <w:lang w:val="en-US" w:eastAsia="zh-CN" w:bidi="ar-SA"/>
        </w:rPr>
        <w:t>30</w:t>
      </w:r>
      <w:r>
        <w:rPr>
          <w:rFonts w:hint="eastAsia" w:asciiTheme="minorHAnsi" w:hAnsiTheme="minorHAnsi" w:eastAsiaTheme="minorEastAsia" w:cstheme="minorBidi"/>
          <w:kern w:val="2"/>
          <w:sz w:val="21"/>
          <w:szCs w:val="22"/>
          <w:highlight w:val="none"/>
          <w:lang w:val="en-US" w:eastAsia="zh-CN" w:bidi="ar-SA"/>
        </w:rPr>
        <w:t>%作为项目启动款项即人民币小写：</w:t>
      </w:r>
      <w:r>
        <w:rPr>
          <w:rFonts w:hint="eastAsia" w:asciiTheme="minorHAnsi" w:hAnsiTheme="minorHAnsi" w:eastAsiaTheme="minorEastAsia" w:cstheme="minorBidi"/>
          <w:kern w:val="2"/>
          <w:sz w:val="21"/>
          <w:szCs w:val="22"/>
          <w:highlight w:val="none"/>
          <w:u w:val="single"/>
          <w:lang w:val="en-US" w:eastAsia="zh-CN" w:bidi="ar-SA"/>
        </w:rPr>
        <w:t xml:space="preserve">     </w:t>
      </w:r>
      <w:r>
        <w:rPr>
          <w:rFonts w:hint="eastAsia" w:asciiTheme="minorHAnsi" w:hAnsiTheme="minorHAnsi" w:eastAsiaTheme="minorEastAsia" w:cstheme="minorBidi"/>
          <w:kern w:val="2"/>
          <w:sz w:val="21"/>
          <w:szCs w:val="22"/>
          <w:highlight w:val="none"/>
          <w:u w:val="none"/>
          <w:lang w:val="en-US" w:eastAsia="zh-CN" w:bidi="ar-SA"/>
        </w:rPr>
        <w:t>元，大写：</w:t>
      </w:r>
      <w:r>
        <w:rPr>
          <w:rFonts w:hint="eastAsia" w:asciiTheme="minorHAnsi" w:hAnsiTheme="minorHAnsi" w:eastAsiaTheme="minorEastAsia" w:cstheme="minorBidi"/>
          <w:kern w:val="2"/>
          <w:sz w:val="21"/>
          <w:szCs w:val="22"/>
          <w:highlight w:val="none"/>
          <w:u w:val="single"/>
          <w:lang w:val="en-US" w:eastAsia="zh-CN" w:bidi="ar-SA"/>
        </w:rPr>
        <w:t xml:space="preserve">    元</w:t>
      </w:r>
      <w:r>
        <w:rPr>
          <w:rFonts w:hint="eastAsia" w:asciiTheme="minorHAnsi" w:hAnsiTheme="minorHAnsi" w:eastAsiaTheme="minorEastAsia" w:cstheme="minorBidi"/>
          <w:kern w:val="2"/>
          <w:sz w:val="21"/>
          <w:szCs w:val="22"/>
          <w:highlight w:val="none"/>
          <w:u w:val="none"/>
          <w:lang w:val="en-US" w:eastAsia="zh-CN" w:bidi="ar-SA"/>
        </w:rPr>
        <w:t>。</w:t>
      </w:r>
    </w:p>
    <w:p w14:paraId="2366681C">
      <w:pPr>
        <w:keepNext w:val="0"/>
        <w:keepLines w:val="0"/>
        <w:pageBreakBefore w:val="0"/>
        <w:widowControl w:val="0"/>
        <w:kinsoku/>
        <w:wordWrap/>
        <w:overflowPunct/>
        <w:topLinePunct w:val="0"/>
        <w:autoSpaceDE/>
        <w:autoSpaceDN/>
        <w:bidi w:val="0"/>
        <w:spacing w:after="120" w:afterLines="0" w:afterAutospacing="0"/>
        <w:ind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第二笔款：乙方完成合同约定事项，并交付完整的正式版安全渗透测试和代码审计的《验收报告》并通过甲方审核后，支付合同总金额65%的款项即人民币小写：     元，大写：    元。</w:t>
      </w:r>
    </w:p>
    <w:p w14:paraId="2D59C4AF">
      <w:pPr>
        <w:keepNext w:val="0"/>
        <w:keepLines w:val="0"/>
        <w:pageBreakBefore w:val="0"/>
        <w:widowControl w:val="0"/>
        <w:kinsoku/>
        <w:wordWrap/>
        <w:overflowPunct/>
        <w:topLinePunct w:val="0"/>
        <w:autoSpaceDE/>
        <w:autoSpaceDN/>
        <w:bidi w:val="0"/>
        <w:spacing w:after="120" w:afterLines="0" w:afterAutospacing="0"/>
        <w:ind w:firstLine="420" w:firstLineChars="2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第三笔款：自服务期满1年之日起30日内，甲方向乙方支付合同总金额5%的款项即人民币小写：</w:t>
      </w:r>
      <w:r>
        <w:rPr>
          <w:rFonts w:hint="eastAsia" w:asciiTheme="minorHAnsi" w:hAnsiTheme="minorHAnsi" w:eastAsiaTheme="minorEastAsia" w:cstheme="minorBidi"/>
          <w:kern w:val="2"/>
          <w:sz w:val="21"/>
          <w:szCs w:val="22"/>
          <w:u w:val="single"/>
          <w:lang w:val="en-US" w:eastAsia="zh-CN" w:bidi="ar-SA"/>
        </w:rPr>
        <w:t xml:space="preserve">      元</w:t>
      </w:r>
      <w:r>
        <w:rPr>
          <w:rFonts w:hint="eastAsia" w:asciiTheme="minorHAnsi" w:hAnsiTheme="minorHAnsi" w:eastAsiaTheme="minorEastAsia" w:cstheme="minorBidi"/>
          <w:kern w:val="2"/>
          <w:sz w:val="21"/>
          <w:szCs w:val="22"/>
          <w:lang w:val="en-US" w:eastAsia="zh-CN" w:bidi="ar-SA"/>
        </w:rPr>
        <w:t>，大写：</w:t>
      </w:r>
      <w:r>
        <w:rPr>
          <w:rFonts w:hint="eastAsia" w:asciiTheme="minorHAnsi" w:hAnsiTheme="minorHAnsi" w:eastAsiaTheme="minorEastAsia" w:cstheme="minorBidi"/>
          <w:kern w:val="2"/>
          <w:sz w:val="21"/>
          <w:szCs w:val="22"/>
          <w:u w:val="single"/>
          <w:lang w:val="en-US" w:eastAsia="zh-CN" w:bidi="ar-SA"/>
        </w:rPr>
        <w:t xml:space="preserve">    元</w:t>
      </w:r>
      <w:r>
        <w:rPr>
          <w:rFonts w:hint="eastAsia" w:asciiTheme="minorHAnsi" w:hAnsiTheme="minorHAnsi" w:eastAsiaTheme="minorEastAsia" w:cstheme="minorBidi"/>
          <w:kern w:val="2"/>
          <w:sz w:val="21"/>
          <w:szCs w:val="22"/>
          <w:lang w:val="en-US" w:eastAsia="zh-CN" w:bidi="ar-SA"/>
        </w:rPr>
        <w:t>。</w:t>
      </w:r>
    </w:p>
    <w:p w14:paraId="62D98957">
      <w:pPr>
        <w:keepNext w:val="0"/>
        <w:keepLines w:val="0"/>
        <w:pageBreakBefore w:val="0"/>
        <w:widowControl w:val="0"/>
        <w:kinsoku/>
        <w:wordWrap/>
        <w:overflowPunct/>
        <w:topLinePunct w:val="0"/>
        <w:autoSpaceDE/>
        <w:autoSpaceDN/>
        <w:bidi w:val="0"/>
        <w:spacing w:after="120" w:afterLines="0" w:afterAutospacing="0"/>
        <w:ind w:firstLine="420" w:firstLineChars="200"/>
        <w:jc w:val="both"/>
        <w:textAlignment w:val="auto"/>
        <w:rPr>
          <w:rFonts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甲方第一次付款前，乙方应当向甲方交付与本合同总金额等额的发票。发票类别为：增值税专用发票，发票税率为：6%。</w:t>
      </w:r>
    </w:p>
    <w:p w14:paraId="28C2A74D">
      <w:pPr>
        <w:pStyle w:val="2"/>
        <w:rPr>
          <w:rFonts w:hint="eastAsia"/>
          <w:lang w:val="en-US" w:eastAsia="zh-CN"/>
        </w:rPr>
      </w:pPr>
    </w:p>
    <w:p w14:paraId="3A337104">
      <w:pPr>
        <w:pStyle w:val="2"/>
        <w:rPr>
          <w:rFonts w:hint="default"/>
          <w:lang w:val="en-US" w:eastAsia="zh-CN"/>
        </w:rPr>
      </w:pPr>
    </w:p>
    <w:p w14:paraId="0A3E14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仿宋_GB2312" w:eastAsiaTheme="minorEastAsia"/>
          <w:kern w:val="2"/>
          <w:sz w:val="21"/>
          <w:szCs w:val="21"/>
          <w:highlight w:val="none"/>
          <w:lang w:val="en-US" w:eastAsia="zh-CN" w:bidi="ar-SA"/>
        </w:rPr>
      </w:pPr>
    </w:p>
    <w:p w14:paraId="1B1432F3">
      <w:pPr>
        <w:keepNext w:val="0"/>
        <w:keepLines w:val="0"/>
        <w:pageBreakBefore w:val="0"/>
        <w:widowControl w:val="0"/>
        <w:numPr>
          <w:ilvl w:val="0"/>
          <w:numId w:val="1"/>
        </w:numPr>
        <w:kinsoku/>
        <w:wordWrap/>
        <w:overflowPunct/>
        <w:topLinePunct w:val="0"/>
        <w:autoSpaceDE/>
        <w:autoSpaceDN/>
        <w:bidi w:val="0"/>
        <w:adjustRightInd/>
        <w:snapToGrid/>
        <w:ind w:left="0" w:leftChars="0" w:firstLine="442" w:firstLineChars="200"/>
        <w:textAlignment w:val="auto"/>
        <w:rPr>
          <w:rFonts w:hint="eastAsia" w:ascii="宋体" w:hAnsi="宋体" w:cs="仿宋_GB2312"/>
          <w:b/>
          <w:bCs/>
          <w:sz w:val="22"/>
          <w:szCs w:val="22"/>
        </w:rPr>
      </w:pPr>
      <w:r>
        <w:rPr>
          <w:rFonts w:hint="eastAsia" w:ascii="宋体" w:hAnsi="宋体" w:eastAsia="宋体" w:cs="仿宋_GB2312"/>
          <w:b/>
          <w:bCs/>
          <w:sz w:val="22"/>
          <w:szCs w:val="22"/>
          <w:lang w:val="en-US" w:eastAsia="zh-CN"/>
        </w:rPr>
        <w:t>服务要求</w:t>
      </w:r>
      <w:r>
        <w:rPr>
          <w:rFonts w:hint="eastAsia" w:ascii="宋体" w:hAnsi="宋体" w:cs="仿宋_GB2312"/>
          <w:b/>
          <w:bCs/>
          <w:sz w:val="22"/>
          <w:szCs w:val="22"/>
        </w:rPr>
        <w:t>；</w:t>
      </w:r>
    </w:p>
    <w:p w14:paraId="6007D6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服务需求采集。主要是在开展安全渗透测试和代码审计服务工作前，与甲方进行深度需求沟通，明确测试与审计的范围（如指定信息系统、业务模块、代码仓库等）、目标（如发现高危漏洞、验证防护有效性、符合合规要求等）、方法（如黑盒测试、白盒审计、灰盒结合等）及时间周期，并结合甲方业务场景与安全诉求，形成详细的服务实施方案。</w:t>
      </w:r>
    </w:p>
    <w:p w14:paraId="658254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2.安全渗透测试。依据《信息安全技术 网络安全渗透测试技术指南》（GB/T 30279-2020）及相关行业规范，从网络层、应用层、数据层、终端层等维度对甲方被测评对象进行模拟恶意攻击者的渗透测试。网络层重点测试网络设备配置、端口开放、协议漏洞等；应用层聚焦Web应用、移动应用的业务逻辑漏洞、注入漏洞、跨站脚本等；数据层核查数据传输与存储的加密安全性；终端层评估服务器、工作站的系统漏洞与弱口令等。测试过程中记录漏洞细节、攻击路径及影响范围，最终形成包含漏洞评级、修复建议的安全渗透测试报告。</w:t>
      </w:r>
    </w:p>
    <w:p w14:paraId="73BD82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3.代码审计服务。依据《信息安全技术 代码安全审计规范》等相关标准，采用静态审计、动态审计、人工复核相结合的方法，对甲方指定代码仓库中的源代码进行安全审计。重点检查代码中的缓冲区溢出、内存泄漏、权限控制缺陷、加密算法不当使用等安全漏洞，分析代码合规性与安全性，记录漏洞位置、风险等级及成因，形成包含漏洞详情、修复方案及代码安全优化建议的代码审计报告。</w:t>
      </w:r>
    </w:p>
    <w:p w14:paraId="09FD11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4.服务交付物。乙方应按照甲方安全渗透测试和代码审计服务委托函规定的内容、要求和时间，向甲方提交服务实施方案、安全渗透测试报告、代码审计报告等相关资料，报告需数据真实、结论明确、建议可行。</w:t>
      </w:r>
    </w:p>
    <w:p w14:paraId="606AF5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5.国家相关标准要求。乙方应按国家、行业有关政策、技术标准、规范及管理规定（如《信息安全技术 网络安全渗透测试技术指南》GB/T 30279-2020、《信息安全技术 代码安全审计规范》等）开展安全渗透测试和代码审计服务，确保服务过程合规、结果准确。</w:t>
      </w:r>
    </w:p>
    <w:p w14:paraId="425603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p>
    <w:p w14:paraId="1407CDA8">
      <w:pPr>
        <w:numPr>
          <w:ilvl w:val="0"/>
          <w:numId w:val="0"/>
        </w:numPr>
        <w:spacing w:line="360" w:lineRule="auto"/>
        <w:ind w:left="0" w:leftChars="0" w:firstLine="0" w:firstLineChars="0"/>
        <w:rPr>
          <w:rFonts w:hint="default" w:ascii="宋体" w:hAnsi="宋体" w:cs="仿宋_GB2312" w:eastAsiaTheme="minorEastAsia"/>
          <w:kern w:val="2"/>
          <w:sz w:val="21"/>
          <w:szCs w:val="21"/>
          <w:highlight w:val="none"/>
          <w:lang w:val="en-US" w:eastAsia="zh-CN" w:bidi="ar-SA"/>
        </w:rPr>
      </w:pPr>
      <w:r>
        <w:rPr>
          <w:rFonts w:hint="eastAsia" w:ascii="宋体" w:hAnsi="宋体" w:eastAsia="宋体" w:cs="仿宋_GB2312"/>
          <w:b/>
          <w:bCs/>
          <w:kern w:val="2"/>
          <w:sz w:val="22"/>
          <w:szCs w:val="22"/>
          <w:lang w:val="en-US" w:eastAsia="zh-CN" w:bidi="ar-SA"/>
        </w:rPr>
        <w:t>五、验收标准及方法；</w:t>
      </w:r>
    </w:p>
    <w:p w14:paraId="4FB187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（一）验收方法：分三期付款</w:t>
      </w:r>
    </w:p>
    <w:p w14:paraId="5F3E2A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二）验收条件：服务验收以乙方完成安全渗透测试和代码审计服务并提交项目服务报告书为基础，需满足以下条件：一是乙方提交的项目安全渗透测试和代码审计服务报告书内容完整、数据真实，符合本服务要求及双方约定的测试审计标准；二是服务报告书经甲乙双方确认签字认可，视为服务验收通过。验收通过后，乙方应开具全额增值税一般纳税人6%增值税专用发票，甲方收到发票后30日内向乙方一次性支付全部费用。</w:t>
      </w:r>
    </w:p>
    <w:p w14:paraId="6C4124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（三）验收内容：供应商是否按采购文件及合同约定的履约期限、质量要求完成服务内容、是否完全履行服务承诺。</w:t>
      </w:r>
    </w:p>
    <w:p w14:paraId="63AA6E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（四）验收标准：</w:t>
      </w:r>
    </w:p>
    <w:p w14:paraId="0FFA5F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 交付物标准：服务实施方案需涵盖测试审计范围、目标、方法、周期等核心要素，符合双方沟通确认的需求；安全渗透测试报告与代码审计报告需包含漏洞详细描述、风险等级评定、可落地的修复建议及验证方法，数据真实无误、逻辑清晰。</w:t>
      </w:r>
    </w:p>
    <w:p w14:paraId="5AAAC8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 过程合规标准：服务全过程需遵循本要求中“国家相关标准要求”条款列明的规范，测试审计操作不得对甲方业务系统正常运行造成影响，必要时需提前获得甲方操作授权。</w:t>
      </w:r>
    </w:p>
    <w:p w14:paraId="37E87A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 漏洞验证标准：甲方可对报告中列明的漏洞进行抽样验证，高危漏洞验证成功率需达到100%，中低危漏洞验证成功率不低于90%；修复建议需具备可操作性，能有效指导甲方完成漏洞整改。</w:t>
      </w:r>
    </w:p>
    <w:p w14:paraId="40F971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 确认流程标准：双方需在交付物提交后15个工作日内完成审核，审核无异议则共同签字确认；若存在异议，乙方需在5个工作日内完成补充或修改，直至满足验收标准。</w:t>
      </w:r>
    </w:p>
    <w:p w14:paraId="1029D7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s="仿宋_GB2312" w:eastAsiaTheme="minorEastAsia"/>
          <w:kern w:val="2"/>
          <w:sz w:val="21"/>
          <w:szCs w:val="21"/>
          <w:highlight w:val="none"/>
          <w:lang w:val="en-US" w:eastAsia="zh-CN" w:bidi="ar-SA"/>
        </w:rPr>
        <w:sectPr>
          <w:pgSz w:w="11906" w:h="16838"/>
          <w:pgMar w:top="1440" w:right="1803" w:bottom="1440" w:left="1803" w:header="851" w:footer="992" w:gutter="0"/>
          <w:cols w:space="720" w:num="1"/>
          <w:docGrid w:type="lines" w:linePitch="319" w:charSpace="0"/>
        </w:sectPr>
      </w:pPr>
    </w:p>
    <w:p w14:paraId="51FBBB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D92D4"/>
    <w:multiLevelType w:val="singleLevel"/>
    <w:tmpl w:val="586D92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D6A30"/>
    <w:rsid w:val="41B04CF8"/>
    <w:rsid w:val="747E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Body Text"/>
    <w:basedOn w:val="1"/>
    <w:qFormat/>
    <w:uiPriority w:val="0"/>
    <w:pPr>
      <w:spacing w:after="120" w:afterLines="0" w:afterAutospacing="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2045</Words>
  <Characters>2324</Characters>
  <Lines>0</Lines>
  <Paragraphs>0</Paragraphs>
  <TotalTime>0</TotalTime>
  <ScaleCrop>false</ScaleCrop>
  <LinksUpToDate>false</LinksUpToDate>
  <CharactersWithSpaces>2358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2025-10-28T08:23:00Z</dcterms:created>
  <dc:creator>Administrator</dc:creator>
  <cp:lastModifiedBy>湛旭刚</cp:lastModifiedBy>
  <dcterms:modified xsi:type="dcterms:W3CDTF">2025-11-28T08:02:49Z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eyJoZGlkIjoiOWJkYzdlNzhhZGY5YWM4OTFhMjE2ZmFmN2ViYTMzZTUiLCJ1c2VySWQiOiI0MzU3OTIwODIifQ==</vt:lpwstr>
  </property>
  <property fmtid="{D5CDD505-2E9C-101B-9397-08002B2CF9AE}" pid="4" name="ICV">
    <vt:lpwstr>6754059E313B4BE49552DCF571C8C4A2_12</vt:lpwstr>
  </property>
</Properties>
</file>