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3E252">
      <w:pPr>
        <w:numPr>
          <w:ilvl w:val="0"/>
          <w:numId w:val="1"/>
        </w:numPr>
        <w:spacing w:line="360" w:lineRule="auto"/>
        <w:ind w:firstLine="442" w:firstLineChars="200"/>
        <w:rPr>
          <w:rFonts w:hint="eastAsia" w:ascii="宋体" w:hAnsi="宋体" w:cs="仿宋_GB2312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cs="仿宋_GB2312"/>
          <w:b/>
          <w:bCs/>
          <w:sz w:val="22"/>
          <w:szCs w:val="22"/>
          <w:lang w:val="en-US" w:eastAsia="zh-CN"/>
        </w:rPr>
        <w:t>采购内容明细</w:t>
      </w:r>
    </w:p>
    <w:tbl>
      <w:tblPr>
        <w:tblStyle w:val="4"/>
        <w:tblW w:w="8662" w:type="dxa"/>
        <w:tblInd w:w="118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534"/>
        <w:gridCol w:w="1074"/>
        <w:gridCol w:w="2904"/>
        <w:gridCol w:w="975"/>
        <w:gridCol w:w="1189"/>
      </w:tblGrid>
      <w:tr w14:paraId="40CFF16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BF63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15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13F96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  <w:t>名称</w:t>
            </w:r>
          </w:p>
        </w:tc>
        <w:tc>
          <w:tcPr>
            <w:tcW w:w="10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1376D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  <w:t>品牌</w:t>
            </w:r>
          </w:p>
        </w:tc>
        <w:tc>
          <w:tcPr>
            <w:tcW w:w="29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BBA41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  <w:t>型号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40C3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  <w:t>单位</w:t>
            </w:r>
          </w:p>
        </w:tc>
        <w:tc>
          <w:tcPr>
            <w:tcW w:w="11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A520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  <w:t>数量</w:t>
            </w:r>
          </w:p>
        </w:tc>
      </w:tr>
      <w:tr w14:paraId="6258527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A42F4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  <w:t>一</w:t>
            </w:r>
          </w:p>
        </w:tc>
        <w:tc>
          <w:tcPr>
            <w:tcW w:w="7676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FCF21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  <w:t>扩声系统</w:t>
            </w:r>
          </w:p>
        </w:tc>
      </w:tr>
      <w:tr w14:paraId="48B3B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0CAA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AB37C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机柜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6282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海康威视</w:t>
            </w:r>
          </w:p>
        </w:tc>
        <w:tc>
          <w:tcPr>
            <w:tcW w:w="29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D56C2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DS-XS6042-S/WT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577F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台</w:t>
            </w:r>
          </w:p>
        </w:tc>
        <w:tc>
          <w:tcPr>
            <w:tcW w:w="11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DF06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</w:t>
            </w:r>
          </w:p>
        </w:tc>
      </w:tr>
      <w:tr w14:paraId="5DAC59A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92A6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7E4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调音台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2281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海康威视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B0E9E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DS-QA4PAM1201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E22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台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A8CC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</w:t>
            </w:r>
          </w:p>
        </w:tc>
      </w:tr>
      <w:tr w14:paraId="0FE801F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2565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5427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反馈抑制器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C264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海康威视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8F11E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DS-QA4PF0201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F3F6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台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5C76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</w:t>
            </w:r>
          </w:p>
        </w:tc>
      </w:tr>
      <w:tr w14:paraId="2B8B4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C15A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74F07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音频处理器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959D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海康威视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26EE2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DS-QAPD161614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E213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台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1C6F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</w:t>
            </w:r>
          </w:p>
        </w:tc>
      </w:tr>
      <w:tr w14:paraId="559BE28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1F72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3D1D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电源时序器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2024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海康威视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237C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DS-QA4PP0801-N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BD4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台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0CD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</w:t>
            </w:r>
          </w:p>
        </w:tc>
      </w:tr>
      <w:tr w14:paraId="63D8713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D05F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0638F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辅助音箱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D28F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海康威视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437A6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DS-QA2OPC03001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07BC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台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2AA0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4</w:t>
            </w:r>
          </w:p>
        </w:tc>
      </w:tr>
      <w:tr w14:paraId="62C18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B0D8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C382E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主音响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EE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海康威视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791A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DS-QAOWP2001</w:t>
            </w: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B3F8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台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2A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4</w:t>
            </w:r>
          </w:p>
        </w:tc>
      </w:tr>
      <w:tr w14:paraId="780B575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BB06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0828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主功放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CE0E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海康威视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0D8F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DS-QAPA5014-2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EC3C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台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4EA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4</w:t>
            </w:r>
          </w:p>
        </w:tc>
      </w:tr>
      <w:tr w14:paraId="69D1D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2D55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  <w:t>二</w:t>
            </w:r>
          </w:p>
        </w:tc>
        <w:tc>
          <w:tcPr>
            <w:tcW w:w="7676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9C678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  <w:t>会议话筒系统</w:t>
            </w:r>
          </w:p>
        </w:tc>
      </w:tr>
      <w:tr w14:paraId="380A02F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2C01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F7B6A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无线会议话筒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8C71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海康威视</w:t>
            </w:r>
          </w:p>
        </w:tc>
        <w:tc>
          <w:tcPr>
            <w:tcW w:w="29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BC650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DS-QAIG64-UZ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EE6D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只</w:t>
            </w:r>
          </w:p>
        </w:tc>
        <w:tc>
          <w:tcPr>
            <w:tcW w:w="11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9013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16</w:t>
            </w:r>
          </w:p>
        </w:tc>
      </w:tr>
      <w:tr w14:paraId="64026BE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3BF7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C68ED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无线系统主机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C10D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海康威视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E801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DS-QAIY64-U1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774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台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92D8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</w:t>
            </w:r>
          </w:p>
        </w:tc>
      </w:tr>
      <w:tr w14:paraId="0E75123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F9AF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00B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充电箱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6D96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海康威视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E0A7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CFL-DL4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37BA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台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E28C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4</w:t>
            </w:r>
          </w:p>
        </w:tc>
      </w:tr>
      <w:tr w14:paraId="7ECD8EA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0939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5A37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无线手持话筒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17F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海康威视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31EF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DS-QA2IWTH01-2UP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B77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套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C6C3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</w:t>
            </w:r>
          </w:p>
        </w:tc>
      </w:tr>
    </w:tbl>
    <w:p w14:paraId="391DA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left"/>
        <w:textAlignment w:val="auto"/>
        <w:rPr>
          <w:rFonts w:hint="default" w:ascii="宋体" w:hAnsi="宋体" w:eastAsia="宋体" w:cs="宋体"/>
          <w:snapToGrid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napToGrid/>
          <w:sz w:val="22"/>
          <w:szCs w:val="22"/>
          <w:lang w:val="en-US" w:eastAsia="zh-CN"/>
        </w:rPr>
        <w:t>需提供原厂质保三年（原厂盖章）</w:t>
      </w:r>
    </w:p>
    <w:p w14:paraId="01A1C733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9CB5E76">
      <w:pPr>
        <w:autoSpaceDE w:val="0"/>
        <w:autoSpaceDN w:val="0"/>
        <w:adjustRightInd w:val="0"/>
        <w:ind w:firstLine="420" w:firstLineChars="200"/>
        <w:jc w:val="left"/>
        <w:rPr>
          <w:rFonts w:hint="eastAsia"/>
          <w:lang w:eastAsia="zh-CN"/>
        </w:rPr>
      </w:pPr>
      <w:r>
        <w:rPr>
          <w:rFonts w:hint="eastAsia"/>
        </w:rPr>
        <w:t>*此设备</w:t>
      </w:r>
      <w:r>
        <w:rPr>
          <w:rFonts w:hint="eastAsia"/>
          <w:lang w:val="en-US" w:eastAsia="zh-CN"/>
        </w:rPr>
        <w:t>部分包含</w:t>
      </w:r>
      <w:r>
        <w:rPr>
          <w:rFonts w:hint="eastAsia"/>
        </w:rPr>
        <w:t>运输、施工、辅材、调试等相关费用</w:t>
      </w:r>
      <w:r>
        <w:rPr>
          <w:rFonts w:hint="eastAsia"/>
          <w:lang w:eastAsia="zh-CN"/>
        </w:rPr>
        <w:t>。</w:t>
      </w:r>
    </w:p>
    <w:p w14:paraId="27B9944E">
      <w:pPr>
        <w:autoSpaceDE w:val="0"/>
        <w:autoSpaceDN w:val="0"/>
        <w:adjustRightInd w:val="0"/>
        <w:ind w:firstLine="420" w:firstLineChars="200"/>
        <w:jc w:val="left"/>
        <w:rPr>
          <w:rFonts w:hint="default" w:eastAsia="宋体"/>
          <w:lang w:val="en-US" w:eastAsia="zh-CN"/>
        </w:rPr>
      </w:pPr>
      <w:r>
        <w:t>交货地点：</w:t>
      </w:r>
      <w:r>
        <w:rPr>
          <w:rFonts w:hint="eastAsia"/>
          <w:lang w:val="en-US" w:eastAsia="zh-CN"/>
        </w:rPr>
        <w:t>甲方指定地点</w:t>
      </w:r>
    </w:p>
    <w:p w14:paraId="46B567D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交货期限：合同生效后30日内需完成供货及安装工作。</w:t>
      </w:r>
    </w:p>
    <w:p w14:paraId="5E33C38F">
      <w:pPr>
        <w:spacing w:line="360" w:lineRule="auto"/>
        <w:ind w:firstLine="442" w:firstLineChars="200"/>
        <w:rPr>
          <w:rFonts w:hint="eastAsia" w:ascii="宋体" w:hAnsi="宋体" w:cs="仿宋_GB2312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cs="仿宋_GB2312"/>
          <w:b/>
          <w:bCs/>
          <w:sz w:val="22"/>
          <w:szCs w:val="22"/>
          <w:lang w:val="en-US" w:eastAsia="zh-CN"/>
        </w:rPr>
        <w:t>二、付款方式：</w:t>
      </w:r>
    </w:p>
    <w:p w14:paraId="5C69E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1050" w:rightChars="500" w:firstLine="420" w:firstLineChars="200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cs="仿宋_GB2312" w:eastAsiaTheme="minorEastAsia"/>
          <w:kern w:val="2"/>
          <w:sz w:val="21"/>
          <w:szCs w:val="21"/>
          <w:highlight w:val="none"/>
          <w:lang w:val="en-US" w:eastAsia="zh-CN" w:bidi="ar-SA"/>
        </w:rPr>
        <w:t>甲方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按照以下方式向乙方付款：</w:t>
      </w:r>
    </w:p>
    <w:p w14:paraId="6D8F1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1050" w:rightChars="500" w:firstLine="420" w:firstLineChars="200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cs="仿宋_GB2312" w:eastAsiaTheme="minorEastAsia"/>
          <w:kern w:val="2"/>
          <w:sz w:val="21"/>
          <w:szCs w:val="21"/>
          <w:highlight w:val="none"/>
          <w:lang w:val="en-US" w:eastAsia="zh-CN" w:bidi="ar-SA"/>
        </w:rPr>
        <w:t>甲方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按照以下方式向乙方付款：</w:t>
      </w:r>
    </w:p>
    <w:p w14:paraId="595D4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20" w:afterLines="0" w:afterAutospacing="0"/>
        <w:ind w:firstLine="420" w:firstLineChars="200"/>
        <w:jc w:val="both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1、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产品经甲方到货验收合格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并签署《到货签收单》之日起30个工作日内，甲方向乙方支付合同总金额</w:t>
      </w:r>
      <w:r>
        <w:rPr>
          <w:rFonts w:hint="eastAsia" w:cstheme="minorBidi"/>
          <w:kern w:val="2"/>
          <w:sz w:val="21"/>
          <w:szCs w:val="22"/>
          <w:highlight w:val="none"/>
          <w:lang w:val="en-US" w:eastAsia="zh-CN" w:bidi="ar-SA"/>
        </w:rPr>
        <w:t>50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%的款</w:t>
      </w:r>
    </w:p>
    <w:p w14:paraId="289F3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20" w:afterLines="0" w:afterAutospacing="0"/>
        <w:ind w:firstLine="420" w:firstLineChars="200"/>
        <w:jc w:val="both"/>
        <w:textAlignment w:val="auto"/>
        <w:rPr>
          <w:rFonts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highlight w:val="none"/>
          <w:lang w:val="en-US" w:eastAsia="zh-CN" w:bidi="ar-SA"/>
        </w:rPr>
        <w:t>2、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 xml:space="preserve"> 产品经甲方安装调试验收合格并签署《验收报告》之日起30个工作日内，甲方向乙方支付合同总金额</w:t>
      </w:r>
      <w:r>
        <w:rPr>
          <w:rFonts w:hint="eastAsia" w:cstheme="minorBidi"/>
          <w:kern w:val="2"/>
          <w:sz w:val="21"/>
          <w:szCs w:val="22"/>
          <w:highlight w:val="none"/>
          <w:lang w:val="en-US" w:eastAsia="zh-CN" w:bidi="ar-SA"/>
        </w:rPr>
        <w:t>45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%的款项</w:t>
      </w:r>
    </w:p>
    <w:p w14:paraId="2D59C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20" w:afterLines="0" w:afterAutospacing="0"/>
        <w:ind w:firstLine="420" w:firstLineChars="200"/>
        <w:jc w:val="both"/>
        <w:textAlignment w:val="auto"/>
        <w:rPr>
          <w:rFonts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highlight w:val="none"/>
          <w:lang w:val="en-US" w:eastAsia="zh-CN" w:bidi="ar-SA"/>
        </w:rPr>
        <w:t>3、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自质保期满</w:t>
      </w:r>
      <w:r>
        <w:rPr>
          <w:rFonts w:hint="eastAsia" w:cstheme="minorBidi"/>
          <w:kern w:val="2"/>
          <w:sz w:val="21"/>
          <w:szCs w:val="22"/>
          <w:highlight w:val="none"/>
          <w:lang w:val="en-US" w:eastAsia="zh-CN" w:bidi="ar-SA"/>
        </w:rPr>
        <w:t>3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年之日起30 个工作日内，甲方向乙方支付合同总金额5%的款</w:t>
      </w:r>
    </w:p>
    <w:p w14:paraId="62D98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20" w:afterLines="0" w:afterAutospacing="0"/>
        <w:ind w:firstLine="420" w:firstLineChars="200"/>
        <w:jc w:val="both"/>
        <w:textAlignment w:val="auto"/>
        <w:rPr>
          <w:rFonts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highlight w:val="none"/>
          <w:lang w:val="en-US" w:eastAsia="zh-CN" w:bidi="ar-SA"/>
        </w:rPr>
        <w:t>4、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甲方第一次付款前，乙方应当向甲方交付与本合同总金额等额的发票。发票类别为：增值税专用发票，发票税率为：13%。</w:t>
      </w:r>
    </w:p>
    <w:p w14:paraId="1CCB43D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44E9E2CD">
      <w:pPr>
        <w:spacing w:line="360" w:lineRule="auto"/>
        <w:ind w:firstLine="442" w:firstLineChars="200"/>
        <w:rPr>
          <w:rFonts w:hint="eastAsia"/>
          <w:lang w:val="en-US" w:eastAsia="zh-CN"/>
        </w:rPr>
      </w:pPr>
      <w:r>
        <w:rPr>
          <w:rFonts w:hint="eastAsia" w:ascii="宋体" w:hAnsi="宋体" w:cs="仿宋_GB2312"/>
          <w:b/>
          <w:bCs/>
          <w:sz w:val="22"/>
          <w:szCs w:val="22"/>
          <w:lang w:val="en-US" w:eastAsia="zh-CN"/>
        </w:rPr>
        <w:t>三、质量保证</w:t>
      </w:r>
    </w:p>
    <w:p w14:paraId="31C7578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乙</w:t>
      </w:r>
      <w:r>
        <w:rPr>
          <w:rFonts w:hint="default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方保证提供的商品是由原厂商供应，并完全符合国家、行业以及本合同规定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br w:type="textWrapping"/>
      </w:r>
      <w:r>
        <w:rPr>
          <w:rFonts w:hint="default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的质量、规格和性能；乙方并保证本合同货物产品、正常使用和维修的情况下运转</w:t>
      </w:r>
      <w:r>
        <w:rPr>
          <w:rFonts w:hint="default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br w:type="textWrapping"/>
      </w:r>
      <w:r>
        <w:rPr>
          <w:rFonts w:hint="default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良好。如发现产品与合同上述约定不符，乙方应无条件接受甲方退货换货要求，并</w:t>
      </w:r>
      <w:r>
        <w:rPr>
          <w:rFonts w:hint="default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br w:type="textWrapping"/>
      </w:r>
      <w:r>
        <w:rPr>
          <w:rFonts w:hint="default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双倍赔偿本合同项下全部货款。</w:t>
      </w:r>
    </w:p>
    <w:p w14:paraId="4EF826B1">
      <w:pPr>
        <w:spacing w:line="360" w:lineRule="auto"/>
        <w:ind w:firstLine="442" w:firstLineChars="200"/>
        <w:rPr>
          <w:rFonts w:hint="eastAsia" w:ascii="宋体" w:hAnsi="宋体" w:cs="仿宋_GB2312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cs="仿宋_GB2312"/>
          <w:b/>
          <w:bCs/>
          <w:sz w:val="22"/>
          <w:szCs w:val="22"/>
          <w:lang w:val="en-US" w:eastAsia="zh-CN"/>
        </w:rPr>
        <w:t>四、验收标准及方法：</w:t>
      </w:r>
    </w:p>
    <w:p w14:paraId="2A5F0F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1</w:t>
      </w:r>
      <w:r>
        <w:rPr>
          <w:rFonts w:hint="default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、验收方法：分节点验收。</w:t>
      </w:r>
    </w:p>
    <w:p w14:paraId="625F123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2</w:t>
      </w:r>
      <w:r>
        <w:rPr>
          <w:rFonts w:hint="default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 xml:space="preserve">、验收条件： </w:t>
      </w:r>
    </w:p>
    <w:p w14:paraId="72D4F73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2.1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验收由甲、乙双方共同组织进行。乙方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提供的货物质量标准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需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满足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招标文件与投标文件及合同规定的规格、参数要求。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若乙方的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设备供货与安装集成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无法满足要求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则需要进行整改，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直至满足招标文件要求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为止（由此所产生的一切费用均由乙方承担）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，否则甲方将不予验收，不予支付货款。</w:t>
      </w:r>
    </w:p>
    <w:p w14:paraId="3887F02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2.2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到货检验：需现场安装、调试后验收的设备，以合同清单为依据，根据采购文件要求,对全部设备、产品、型号、规格、数量、外形、外观、包装及资料、文件点验，检验合格后甲方签署《到货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签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收单》。如发现有任何问题，甲方有权在到货验收单上注明，并相应延迟付款期限，直到乙方解决问题完毕。</w:t>
      </w:r>
    </w:p>
    <w:p w14:paraId="53C1B77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2.3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安装集成验收：乙方完成本次招标采购设备的安装调试，设备运行</w:t>
      </w:r>
      <w:r>
        <w:rPr>
          <w:rFonts w:hint="eastAsia" w:cstheme="minorBidi"/>
          <w:kern w:val="2"/>
          <w:sz w:val="21"/>
          <w:szCs w:val="22"/>
          <w:highlight w:val="none"/>
          <w:lang w:val="en-US" w:eastAsia="zh-CN" w:bidi="ar-SA"/>
        </w:rPr>
        <w:t>30个工作日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无故障，乙方向甲方提交验收申请以验收相关文档，甲方审核通过后，将组织进行验收。验收合格后，由双方代表签署《验收报告》。</w:t>
      </w:r>
    </w:p>
    <w:p w14:paraId="744570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2.4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签字后的验收报告作为乙方向甲方要求付款时提交的付款依据之一。</w:t>
      </w:r>
    </w:p>
    <w:p w14:paraId="2C93593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2.5验收不合格的，甲方向乙方提出书面异议，乙方应在24小时内积极响应，在接到书面异议后进行修理或更换，乙方在接到书面异议后的3个工作日内未进行修理或更换，或修理或更换后仍验收不合格，则甲方有权单方解除合同，乙方须退还甲方已支付款项、支付甲方已付款20%的违约金，并赔偿甲方因此受到的经济损失。</w:t>
      </w:r>
    </w:p>
    <w:p w14:paraId="12C37423">
      <w:pPr>
        <w:spacing w:line="360" w:lineRule="auto"/>
        <w:ind w:firstLine="442" w:firstLineChars="200"/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宋体" w:hAnsi="宋体" w:cs="仿宋_GB2312"/>
          <w:b/>
          <w:bCs/>
          <w:sz w:val="22"/>
          <w:szCs w:val="22"/>
          <w:lang w:val="en-US" w:eastAsia="zh-CN"/>
        </w:rPr>
        <w:t>五、售后服务：</w:t>
      </w:r>
    </w:p>
    <w:p w14:paraId="479CB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商品免费质保时间：</w:t>
      </w:r>
    </w:p>
    <w:tbl>
      <w:tblPr>
        <w:tblStyle w:val="5"/>
        <w:tblW w:w="45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4280"/>
        <w:gridCol w:w="3484"/>
      </w:tblGrid>
      <w:tr w14:paraId="2D0E0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756" w:type="pct"/>
          </w:tcPr>
          <w:p w14:paraId="0792C69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品名</w:t>
            </w:r>
          </w:p>
        </w:tc>
        <w:tc>
          <w:tcPr>
            <w:tcW w:w="2243" w:type="pct"/>
          </w:tcPr>
          <w:p w14:paraId="0A518D7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质保时间</w:t>
            </w:r>
          </w:p>
        </w:tc>
      </w:tr>
      <w:tr w14:paraId="61883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756" w:type="pct"/>
          </w:tcPr>
          <w:p w14:paraId="6AB709E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项目内所有内容</w:t>
            </w:r>
          </w:p>
        </w:tc>
        <w:tc>
          <w:tcPr>
            <w:tcW w:w="2243" w:type="pct"/>
          </w:tcPr>
          <w:p w14:paraId="72FA3E9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签订验收报告后3年原厂质保</w:t>
            </w:r>
          </w:p>
        </w:tc>
      </w:tr>
    </w:tbl>
    <w:p w14:paraId="24C2E73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如果发生硬件系统宕机故障，乙方将在接到甲方报修电话后30分钟内响应，</w:t>
      </w:r>
      <w:r>
        <w:rPr>
          <w:rFonts w:hint="eastAsia"/>
          <w:lang w:val="en-US" w:eastAsia="zh-CN"/>
        </w:rPr>
        <w:br w:type="textWrapping"/>
      </w:r>
      <w:r>
        <w:rPr>
          <w:rFonts w:hint="default"/>
          <w:lang w:val="en-US" w:eastAsia="zh-CN"/>
        </w:rPr>
        <w:t>并以最快的方式赶到甲方现场提供维护服务。</w:t>
      </w:r>
    </w:p>
    <w:p w14:paraId="7FB987E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cs="仿宋_GB2312"/>
          <w:szCs w:val="48"/>
        </w:rPr>
      </w:pPr>
      <w:r>
        <w:rPr>
          <w:rFonts w:hint="default"/>
          <w:lang w:val="en-US" w:eastAsia="zh-CN"/>
        </w:rPr>
        <w:t>如果发生硬件系统非宕机故障，乙方将在接到甲方报修电话后一小时内响应，</w:t>
      </w:r>
      <w:r>
        <w:rPr>
          <w:rFonts w:hint="eastAsia"/>
          <w:lang w:val="en-US" w:eastAsia="zh-CN"/>
        </w:rPr>
        <w:br w:type="textWrapping"/>
      </w:r>
      <w:r>
        <w:rPr>
          <w:rFonts w:hint="default"/>
          <w:lang w:val="en-US" w:eastAsia="zh-CN"/>
        </w:rPr>
        <w:t>并根据甲方要求和实际情况到甲方现场提供维护服务。</w:t>
      </w:r>
    </w:p>
    <w:p w14:paraId="6853068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cs="仿宋_GB2312"/>
          <w:szCs w:val="48"/>
        </w:rPr>
      </w:pPr>
      <w:r>
        <w:rPr>
          <w:rFonts w:hint="default"/>
          <w:lang w:val="en-US" w:eastAsia="zh-CN"/>
        </w:rPr>
        <w:t>维修及换件服务。上述商品设备的功能部件、转换部件、升级部件、元件或配件、或其任何组合出现功能失效时，乙方将到达甲方现场维修或更换失效部件。</w:t>
      </w:r>
    </w:p>
    <w:p w14:paraId="45063A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cs="仿宋_GB2312"/>
          <w:szCs w:val="48"/>
        </w:rPr>
      </w:pPr>
    </w:p>
    <w:p w14:paraId="172930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AC9432"/>
    <w:multiLevelType w:val="singleLevel"/>
    <w:tmpl w:val="21AC94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62B9781"/>
    <w:multiLevelType w:val="singleLevel"/>
    <w:tmpl w:val="262B978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D6A30"/>
    <w:rsid w:val="117A784A"/>
    <w:rsid w:val="29DA71DC"/>
    <w:rsid w:val="2C3D33B6"/>
    <w:rsid w:val="35B8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1384</Words>
  <Characters>1553</Characters>
  <Lines>0</Lines>
  <Paragraphs>0</Paragraphs>
  <TotalTime>0</TotalTime>
  <ScaleCrop>false</ScaleCrop>
  <LinksUpToDate>false</LinksUpToDate>
  <CharactersWithSpaces>1556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2025-10-28T08:23:00Z</dcterms:created>
  <dc:creator>Administrator</dc:creator>
  <cp:lastModifiedBy>湛旭刚</cp:lastModifiedBy>
  <dcterms:modified xsi:type="dcterms:W3CDTF">2025-11-24T00:33:18Z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eyJoZGlkIjoiOWJkYzdlNzhhZGY5YWM4OTFhMjE2ZmFmN2ViYTMzZTUiLCJ1c2VySWQiOiI0MzU3OTIwODIifQ==</vt:lpwstr>
  </property>
  <property fmtid="{D5CDD505-2E9C-101B-9397-08002B2CF9AE}" pid="4" name="ICV">
    <vt:lpwstr>6754059E313B4BE49552DCF571C8C4A2_12</vt:lpwstr>
  </property>
</Properties>
</file>