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6DCCC">
      <w:pPr>
        <w:pStyle w:val="2"/>
        <w:jc w:val="center"/>
        <w:rPr>
          <w:rFonts w:hint="eastAsia" w:ascii="宋体" w:hAnsi="宋体" w:cs="仿宋_GB2312"/>
          <w:sz w:val="48"/>
          <w:szCs w:val="28"/>
        </w:rPr>
      </w:pPr>
      <w:r>
        <w:rPr>
          <w:rFonts w:hint="eastAsia" w:ascii="宋体" w:hAnsi="宋体" w:cs="仿宋_GB2312"/>
          <w:sz w:val="48"/>
          <w:szCs w:val="28"/>
        </w:rPr>
        <w:t>技术、服务及其他商务要求</w:t>
      </w:r>
    </w:p>
    <w:p w14:paraId="3EEC21F3">
      <w:pPr>
        <w:rPr>
          <w:rFonts w:hint="eastAsia"/>
        </w:rPr>
      </w:pPr>
      <w:r>
        <w:rPr>
          <w:rFonts w:hint="eastAsia"/>
        </w:rPr>
        <w:t>一、采购内容明细</w:t>
      </w:r>
    </w:p>
    <w:tbl>
      <w:tblPr>
        <w:tblStyle w:val="3"/>
        <w:tblW w:w="58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2"/>
        <w:gridCol w:w="876"/>
        <w:gridCol w:w="1140"/>
        <w:gridCol w:w="615"/>
        <w:gridCol w:w="1180"/>
        <w:gridCol w:w="2555"/>
        <w:gridCol w:w="628"/>
        <w:gridCol w:w="564"/>
        <w:gridCol w:w="972"/>
        <w:gridCol w:w="944"/>
      </w:tblGrid>
      <w:tr w14:paraId="4DE63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14:paraId="0CCD0E6E">
            <w:pPr>
              <w:keepNext w:val="0"/>
              <w:keepLines w:val="0"/>
              <w:widowControl/>
              <w:suppressLineNumbers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8"/>
                <w:szCs w:val="18"/>
                <w:u w:val="none"/>
                <w:lang w:val="en-US" w:eastAsia="zh-CN" w:bidi="ar"/>
              </w:rPr>
              <w:t>序号</w:t>
            </w:r>
          </w:p>
        </w:tc>
        <w:tc>
          <w:tcPr>
            <w:tcW w:w="443" w:type="pct"/>
            <w:tcBorders>
              <w:top w:val="single" w:color="auto" w:sz="4" w:space="0"/>
              <w:left w:val="single" w:color="auto" w:sz="4" w:space="0"/>
              <w:bottom w:val="single" w:color="auto" w:sz="4" w:space="0"/>
              <w:right w:val="single" w:color="auto" w:sz="4" w:space="0"/>
            </w:tcBorders>
            <w:noWrap w:val="0"/>
            <w:vAlign w:val="center"/>
          </w:tcPr>
          <w:p w14:paraId="1291C5AB">
            <w:pPr>
              <w:keepNext w:val="0"/>
              <w:keepLines w:val="0"/>
              <w:widowControl/>
              <w:suppressLineNumbers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8"/>
                <w:szCs w:val="18"/>
                <w:u w:val="none"/>
                <w:lang w:val="en-US" w:eastAsia="zh-CN" w:bidi="ar"/>
              </w:rPr>
              <w:t>采购内容</w:t>
            </w:r>
          </w:p>
        </w:tc>
        <w:tc>
          <w:tcPr>
            <w:tcW w:w="576" w:type="pct"/>
            <w:tcBorders>
              <w:top w:val="single" w:color="auto" w:sz="4" w:space="0"/>
              <w:left w:val="single" w:color="auto" w:sz="4" w:space="0"/>
              <w:bottom w:val="single" w:color="auto" w:sz="4" w:space="0"/>
              <w:right w:val="single" w:color="auto" w:sz="4" w:space="0"/>
            </w:tcBorders>
            <w:noWrap w:val="0"/>
            <w:vAlign w:val="center"/>
          </w:tcPr>
          <w:p w14:paraId="359EEE2E">
            <w:pPr>
              <w:keepNext w:val="0"/>
              <w:keepLines w:val="0"/>
              <w:widowControl/>
              <w:suppressLineNumbers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8"/>
                <w:szCs w:val="18"/>
                <w:u w:val="none"/>
                <w:lang w:val="en-US" w:eastAsia="zh-CN" w:bidi="ar"/>
              </w:rPr>
              <w:t>产品类型</w:t>
            </w:r>
          </w:p>
        </w:tc>
        <w:tc>
          <w:tcPr>
            <w:tcW w:w="311" w:type="pct"/>
            <w:tcBorders>
              <w:top w:val="single" w:color="auto" w:sz="4" w:space="0"/>
              <w:left w:val="single" w:color="auto" w:sz="4" w:space="0"/>
              <w:bottom w:val="single" w:color="auto" w:sz="4" w:space="0"/>
              <w:right w:val="single" w:color="auto" w:sz="4" w:space="0"/>
            </w:tcBorders>
            <w:noWrap w:val="0"/>
            <w:vAlign w:val="center"/>
          </w:tcPr>
          <w:p w14:paraId="23230EEE">
            <w:pPr>
              <w:keepNext w:val="0"/>
              <w:keepLines w:val="0"/>
              <w:widowControl/>
              <w:suppressLineNumbers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8"/>
                <w:szCs w:val="18"/>
                <w:u w:val="none"/>
                <w:lang w:val="en-US" w:eastAsia="zh-CN" w:bidi="ar"/>
              </w:rPr>
              <w:t>品牌</w:t>
            </w:r>
          </w:p>
        </w:tc>
        <w:tc>
          <w:tcPr>
            <w:tcW w:w="596" w:type="pct"/>
            <w:tcBorders>
              <w:top w:val="single" w:color="auto" w:sz="4" w:space="0"/>
              <w:left w:val="single" w:color="auto" w:sz="4" w:space="0"/>
              <w:bottom w:val="single" w:color="auto" w:sz="4" w:space="0"/>
              <w:right w:val="single" w:color="auto" w:sz="4" w:space="0"/>
            </w:tcBorders>
            <w:noWrap w:val="0"/>
            <w:vAlign w:val="center"/>
          </w:tcPr>
          <w:p w14:paraId="3C94E21F">
            <w:pPr>
              <w:keepNext w:val="0"/>
              <w:keepLines w:val="0"/>
              <w:widowControl/>
              <w:suppressLineNumbers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8"/>
                <w:szCs w:val="18"/>
                <w:u w:val="none"/>
                <w:lang w:val="en-US" w:eastAsia="zh-CN" w:bidi="ar"/>
              </w:rPr>
              <w:t>型号</w:t>
            </w:r>
          </w:p>
        </w:tc>
        <w:tc>
          <w:tcPr>
            <w:tcW w:w="1292" w:type="pct"/>
            <w:tcBorders>
              <w:top w:val="single" w:color="auto" w:sz="4" w:space="0"/>
              <w:left w:val="single" w:color="auto" w:sz="4" w:space="0"/>
              <w:bottom w:val="single" w:color="auto" w:sz="4" w:space="0"/>
              <w:right w:val="single" w:color="auto" w:sz="4" w:space="0"/>
            </w:tcBorders>
            <w:noWrap w:val="0"/>
            <w:vAlign w:val="center"/>
          </w:tcPr>
          <w:p w14:paraId="05EEC4FF">
            <w:pPr>
              <w:keepNext w:val="0"/>
              <w:keepLines w:val="0"/>
              <w:widowControl/>
              <w:suppressLineNumbers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8"/>
                <w:szCs w:val="18"/>
                <w:u w:val="none"/>
                <w:lang w:val="en-US" w:eastAsia="zh-CN" w:bidi="ar"/>
              </w:rPr>
              <w:t xml:space="preserve">产品说明  </w:t>
            </w:r>
          </w:p>
        </w:tc>
        <w:tc>
          <w:tcPr>
            <w:tcW w:w="317" w:type="pct"/>
            <w:tcBorders>
              <w:top w:val="single" w:color="auto" w:sz="4" w:space="0"/>
              <w:left w:val="single" w:color="auto" w:sz="4" w:space="0"/>
              <w:bottom w:val="single" w:color="auto" w:sz="4" w:space="0"/>
              <w:right w:val="single" w:color="auto" w:sz="4" w:space="0"/>
            </w:tcBorders>
            <w:noWrap w:val="0"/>
            <w:vAlign w:val="center"/>
          </w:tcPr>
          <w:p w14:paraId="6ED1BBDB">
            <w:pPr>
              <w:keepNext w:val="0"/>
              <w:keepLines w:val="0"/>
              <w:widowControl/>
              <w:suppressLineNumbers w:val="0"/>
              <w:jc w:val="center"/>
              <w:textAlignment w:val="center"/>
              <w:rPr>
                <w:sz w:val="20"/>
                <w:szCs w:val="22"/>
              </w:rPr>
            </w:pPr>
            <w:r>
              <w:rPr>
                <w:rFonts w:hint="eastAsia" w:ascii="微软雅黑" w:hAnsi="微软雅黑" w:eastAsia="微软雅黑" w:cs="微软雅黑"/>
                <w:i w:val="0"/>
                <w:iCs w:val="0"/>
                <w:color w:val="000000"/>
                <w:kern w:val="0"/>
                <w:sz w:val="18"/>
                <w:szCs w:val="18"/>
                <w:u w:val="none"/>
                <w:lang w:val="en-US" w:eastAsia="zh-CN" w:bidi="ar"/>
              </w:rPr>
              <w:t>数量</w:t>
            </w:r>
          </w:p>
        </w:tc>
        <w:tc>
          <w:tcPr>
            <w:tcW w:w="285" w:type="pct"/>
            <w:tcBorders>
              <w:top w:val="single" w:color="auto" w:sz="4" w:space="0"/>
              <w:left w:val="single" w:color="auto" w:sz="4" w:space="0"/>
              <w:bottom w:val="single" w:color="auto" w:sz="4" w:space="0"/>
              <w:right w:val="single" w:color="auto" w:sz="4" w:space="0"/>
            </w:tcBorders>
            <w:noWrap w:val="0"/>
            <w:vAlign w:val="center"/>
          </w:tcPr>
          <w:p w14:paraId="72A6A9F9">
            <w:pPr>
              <w:keepNext w:val="0"/>
              <w:keepLines w:val="0"/>
              <w:widowControl/>
              <w:suppressLineNumbers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8"/>
                <w:szCs w:val="18"/>
                <w:u w:val="none"/>
                <w:lang w:val="en-US" w:eastAsia="zh-CN" w:bidi="ar"/>
              </w:rPr>
              <w:t>单位</w:t>
            </w:r>
          </w:p>
        </w:tc>
        <w:tc>
          <w:tcPr>
            <w:tcW w:w="491" w:type="pct"/>
            <w:tcBorders>
              <w:top w:val="single" w:color="auto" w:sz="4" w:space="0"/>
              <w:left w:val="single" w:color="auto" w:sz="4" w:space="0"/>
              <w:bottom w:val="single" w:color="auto" w:sz="4" w:space="0"/>
              <w:right w:val="single" w:color="auto" w:sz="4" w:space="0"/>
            </w:tcBorders>
            <w:noWrap w:val="0"/>
            <w:vAlign w:val="center"/>
          </w:tcPr>
          <w:p w14:paraId="476D6A7B">
            <w:pPr>
              <w:keepNext w:val="0"/>
              <w:keepLines w:val="0"/>
              <w:widowControl/>
              <w:suppressLineNumbers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8"/>
                <w:szCs w:val="18"/>
                <w:u w:val="none"/>
                <w:lang w:val="en-US" w:eastAsia="zh-CN" w:bidi="ar"/>
              </w:rPr>
              <w:t>单价(元)</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798D788C">
            <w:pPr>
              <w:keepNext w:val="0"/>
              <w:keepLines w:val="0"/>
              <w:widowControl/>
              <w:suppressLineNumbers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8"/>
                <w:szCs w:val="18"/>
                <w:u w:val="none"/>
                <w:lang w:val="en-US" w:eastAsia="zh-CN" w:bidi="ar"/>
              </w:rPr>
              <w:t>小计(元)</w:t>
            </w:r>
          </w:p>
        </w:tc>
      </w:tr>
      <w:tr w14:paraId="24344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208" w:type="pct"/>
            <w:tcBorders>
              <w:top w:val="single" w:color="auto" w:sz="4" w:space="0"/>
              <w:left w:val="single" w:color="000000" w:sz="4" w:space="0"/>
              <w:bottom w:val="single" w:color="000000" w:sz="4" w:space="0"/>
              <w:right w:val="single" w:color="000000" w:sz="4" w:space="0"/>
            </w:tcBorders>
            <w:noWrap w:val="0"/>
            <w:vAlign w:val="center"/>
          </w:tcPr>
          <w:p w14:paraId="7460BFF1">
            <w:pPr>
              <w:keepNext w:val="0"/>
              <w:keepLines w:val="0"/>
              <w:widowControl/>
              <w:suppressLineNumbers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443" w:type="pct"/>
            <w:tcBorders>
              <w:top w:val="single" w:color="auto" w:sz="4" w:space="0"/>
              <w:left w:val="single" w:color="000000" w:sz="4" w:space="0"/>
              <w:bottom w:val="single" w:color="000000" w:sz="4" w:space="0"/>
              <w:right w:val="single" w:color="000000" w:sz="4" w:space="0"/>
            </w:tcBorders>
            <w:noWrap w:val="0"/>
            <w:vAlign w:val="center"/>
          </w:tcPr>
          <w:p w14:paraId="68AFDAC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核心</w:t>
            </w:r>
          </w:p>
          <w:p w14:paraId="00E3B82A">
            <w:pPr>
              <w:keepNext w:val="0"/>
              <w:keepLines w:val="0"/>
              <w:widowControl/>
              <w:suppressLineNumbers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6"/>
                <w:szCs w:val="16"/>
                <w:u w:val="none"/>
                <w:lang w:val="en-US" w:eastAsia="zh-CN" w:bidi="ar"/>
              </w:rPr>
              <w:t>交换机</w:t>
            </w:r>
          </w:p>
        </w:tc>
        <w:tc>
          <w:tcPr>
            <w:tcW w:w="576" w:type="pct"/>
            <w:tcBorders>
              <w:top w:val="single" w:color="auto" w:sz="4" w:space="0"/>
              <w:left w:val="single" w:color="000000" w:sz="4" w:space="0"/>
              <w:bottom w:val="single" w:color="000000" w:sz="4" w:space="0"/>
              <w:right w:val="single" w:color="000000" w:sz="4" w:space="0"/>
            </w:tcBorders>
            <w:noWrap w:val="0"/>
            <w:vAlign w:val="center"/>
          </w:tcPr>
          <w:p w14:paraId="264C64CC">
            <w:pPr>
              <w:keepNext w:val="0"/>
              <w:keepLines w:val="0"/>
              <w:widowControl/>
              <w:suppressLineNumbers w:val="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6"/>
                <w:szCs w:val="16"/>
                <w:u w:val="none"/>
                <w:lang w:val="en-US" w:eastAsia="zh-CN" w:bidi="ar"/>
              </w:rPr>
              <w:t>核心3层交换机（12光口 36电口）</w:t>
            </w:r>
          </w:p>
        </w:tc>
        <w:tc>
          <w:tcPr>
            <w:tcW w:w="311" w:type="pct"/>
            <w:tcBorders>
              <w:top w:val="single" w:color="auto" w:sz="4" w:space="0"/>
              <w:left w:val="single" w:color="000000" w:sz="4" w:space="0"/>
              <w:bottom w:val="nil"/>
              <w:right w:val="single" w:color="000000" w:sz="4" w:space="0"/>
            </w:tcBorders>
            <w:noWrap w:val="0"/>
            <w:vAlign w:val="center"/>
          </w:tcPr>
          <w:p w14:paraId="076695B3">
            <w:pPr>
              <w:keepNext w:val="0"/>
              <w:keepLines w:val="0"/>
              <w:widowControl/>
              <w:suppressLineNumbers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6"/>
                <w:szCs w:val="16"/>
                <w:u w:val="none"/>
                <w:lang w:val="en-US" w:eastAsia="zh-CN" w:bidi="ar"/>
              </w:rPr>
              <w:t>华为</w:t>
            </w:r>
          </w:p>
        </w:tc>
        <w:tc>
          <w:tcPr>
            <w:tcW w:w="596" w:type="pct"/>
            <w:tcBorders>
              <w:top w:val="single" w:color="auto" w:sz="4" w:space="0"/>
              <w:left w:val="single" w:color="000000" w:sz="4" w:space="0"/>
              <w:bottom w:val="single" w:color="000000" w:sz="4" w:space="0"/>
              <w:right w:val="single" w:color="000000" w:sz="4" w:space="0"/>
            </w:tcBorders>
            <w:noWrap w:val="0"/>
            <w:vAlign w:val="center"/>
          </w:tcPr>
          <w:p w14:paraId="202B6FAD">
            <w:pPr>
              <w:keepNext w:val="0"/>
              <w:keepLines w:val="0"/>
              <w:widowControl/>
              <w:suppressLineNumbers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6"/>
                <w:szCs w:val="16"/>
                <w:u w:val="none"/>
                <w:lang w:val="en-US" w:eastAsia="zh-CN" w:bidi="ar"/>
              </w:rPr>
              <w:t>S6720S-S36S16X-A</w:t>
            </w:r>
          </w:p>
        </w:tc>
        <w:tc>
          <w:tcPr>
            <w:tcW w:w="1292" w:type="pct"/>
            <w:tcBorders>
              <w:top w:val="single" w:color="auto" w:sz="4" w:space="0"/>
              <w:left w:val="single" w:color="000000" w:sz="4" w:space="0"/>
              <w:bottom w:val="single" w:color="000000" w:sz="4" w:space="0"/>
              <w:right w:val="single" w:color="000000" w:sz="4" w:space="0"/>
            </w:tcBorders>
            <w:noWrap w:val="0"/>
            <w:vAlign w:val="center"/>
          </w:tcPr>
          <w:p w14:paraId="40F84374">
            <w:pPr>
              <w:keepNext w:val="0"/>
              <w:keepLines w:val="0"/>
              <w:widowControl/>
              <w:suppressLineNumbers w:val="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6"/>
                <w:szCs w:val="16"/>
                <w:u w:val="none"/>
                <w:lang w:val="en-US" w:eastAsia="zh-CN" w:bidi="ar"/>
              </w:rPr>
              <w:t>(36个千兆SFP,16个万兆SFP+,交流供电,前维护)交换容量2.56Tbps/23.04Tbps，包转发率294Mpps，单电源内置</w:t>
            </w:r>
          </w:p>
        </w:tc>
        <w:tc>
          <w:tcPr>
            <w:tcW w:w="317" w:type="pct"/>
            <w:tcBorders>
              <w:top w:val="single" w:color="auto" w:sz="4" w:space="0"/>
              <w:left w:val="single" w:color="000000" w:sz="4" w:space="0"/>
              <w:bottom w:val="single" w:color="000000" w:sz="4" w:space="0"/>
              <w:right w:val="single" w:color="000000" w:sz="4" w:space="0"/>
            </w:tcBorders>
            <w:noWrap w:val="0"/>
            <w:vAlign w:val="center"/>
          </w:tcPr>
          <w:p w14:paraId="1ED79A5B">
            <w:pPr>
              <w:keepNext w:val="0"/>
              <w:keepLines w:val="0"/>
              <w:widowControl/>
              <w:suppressLineNumbers w:val="0"/>
              <w:jc w:val="center"/>
              <w:textAlignment w:val="center"/>
              <w:rPr>
                <w:sz w:val="20"/>
                <w:szCs w:val="22"/>
              </w:rPr>
            </w:pPr>
            <w:r>
              <w:rPr>
                <w:rFonts w:hint="eastAsia" w:ascii="微软雅黑" w:hAnsi="微软雅黑" w:eastAsia="微软雅黑" w:cs="微软雅黑"/>
                <w:i w:val="0"/>
                <w:iCs w:val="0"/>
                <w:color w:val="000000"/>
                <w:kern w:val="0"/>
                <w:sz w:val="16"/>
                <w:szCs w:val="16"/>
                <w:u w:val="none"/>
                <w:lang w:val="en-US" w:eastAsia="zh-CN" w:bidi="ar"/>
              </w:rPr>
              <w:t>1</w:t>
            </w:r>
          </w:p>
        </w:tc>
        <w:tc>
          <w:tcPr>
            <w:tcW w:w="285" w:type="pct"/>
            <w:tcBorders>
              <w:top w:val="single" w:color="auto" w:sz="4" w:space="0"/>
              <w:left w:val="single" w:color="000000" w:sz="4" w:space="0"/>
              <w:bottom w:val="single" w:color="000000" w:sz="4" w:space="0"/>
              <w:right w:val="single" w:color="000000" w:sz="4" w:space="0"/>
            </w:tcBorders>
            <w:noWrap w:val="0"/>
            <w:vAlign w:val="center"/>
          </w:tcPr>
          <w:p w14:paraId="2A6E0039">
            <w:pPr>
              <w:keepNext w:val="0"/>
              <w:keepLines w:val="0"/>
              <w:widowControl/>
              <w:suppressLineNumbers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491" w:type="pct"/>
            <w:tcBorders>
              <w:top w:val="single" w:color="auto" w:sz="4" w:space="0"/>
              <w:left w:val="single" w:color="000000" w:sz="4" w:space="0"/>
              <w:bottom w:val="nil"/>
              <w:right w:val="single" w:color="000000" w:sz="4" w:space="0"/>
            </w:tcBorders>
            <w:noWrap w:val="0"/>
            <w:vAlign w:val="center"/>
          </w:tcPr>
          <w:p w14:paraId="560DBE57">
            <w:pPr>
              <w:jc w:val="right"/>
              <w:rPr>
                <w:rFonts w:hint="eastAsia" w:ascii="微软雅黑" w:hAnsi="微软雅黑" w:eastAsia="微软雅黑" w:cs="微软雅黑"/>
                <w:i w:val="0"/>
                <w:iCs w:val="0"/>
                <w:color w:val="000000"/>
                <w:sz w:val="15"/>
                <w:szCs w:val="15"/>
                <w:u w:val="none"/>
              </w:rPr>
            </w:pPr>
          </w:p>
        </w:tc>
        <w:tc>
          <w:tcPr>
            <w:tcW w:w="477" w:type="pct"/>
            <w:tcBorders>
              <w:top w:val="single" w:color="auto" w:sz="4" w:space="0"/>
              <w:left w:val="single" w:color="000000" w:sz="4" w:space="0"/>
              <w:bottom w:val="single" w:color="000000" w:sz="4" w:space="0"/>
              <w:right w:val="single" w:color="000000" w:sz="4" w:space="0"/>
            </w:tcBorders>
            <w:noWrap w:val="0"/>
            <w:vAlign w:val="center"/>
          </w:tcPr>
          <w:p w14:paraId="50F4D98A">
            <w:pPr>
              <w:jc w:val="right"/>
              <w:rPr>
                <w:rFonts w:hint="eastAsia" w:ascii="微软雅黑" w:hAnsi="微软雅黑" w:eastAsia="微软雅黑" w:cs="微软雅黑"/>
                <w:i w:val="0"/>
                <w:iCs w:val="0"/>
                <w:color w:val="000000"/>
                <w:sz w:val="15"/>
                <w:szCs w:val="15"/>
                <w:u w:val="none"/>
              </w:rPr>
            </w:pPr>
          </w:p>
        </w:tc>
      </w:tr>
      <w:tr w14:paraId="06F55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jc w:val="center"/>
        </w:trPr>
        <w:tc>
          <w:tcPr>
            <w:tcW w:w="208" w:type="pct"/>
            <w:tcBorders>
              <w:top w:val="single" w:color="000000" w:sz="4" w:space="0"/>
              <w:left w:val="single" w:color="000000" w:sz="4" w:space="0"/>
              <w:bottom w:val="single" w:color="000000" w:sz="4" w:space="0"/>
              <w:right w:val="single" w:color="000000" w:sz="4" w:space="0"/>
            </w:tcBorders>
            <w:noWrap w:val="0"/>
            <w:vAlign w:val="center"/>
          </w:tcPr>
          <w:p w14:paraId="79291EC8">
            <w:pPr>
              <w:keepNext w:val="0"/>
              <w:keepLines w:val="0"/>
              <w:widowControl/>
              <w:suppressLineNumbers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6"/>
                <w:szCs w:val="16"/>
                <w:u w:val="none"/>
                <w:lang w:val="en-US" w:eastAsia="zh-CN" w:bidi="ar"/>
              </w:rPr>
              <w:t>2</w:t>
            </w:r>
          </w:p>
        </w:tc>
        <w:tc>
          <w:tcPr>
            <w:tcW w:w="443" w:type="pct"/>
            <w:vMerge w:val="restart"/>
            <w:tcBorders>
              <w:top w:val="single" w:color="000000" w:sz="4" w:space="0"/>
              <w:left w:val="single" w:color="000000" w:sz="4" w:space="0"/>
              <w:bottom w:val="single" w:color="000000" w:sz="4" w:space="0"/>
              <w:right w:val="single" w:color="000000" w:sz="4" w:space="0"/>
            </w:tcBorders>
            <w:noWrap w:val="0"/>
            <w:vAlign w:val="center"/>
          </w:tcPr>
          <w:p w14:paraId="0CDBFD0A">
            <w:pPr>
              <w:keepNext w:val="0"/>
              <w:keepLines w:val="0"/>
              <w:widowControl/>
              <w:suppressLineNumbers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6"/>
                <w:szCs w:val="16"/>
                <w:u w:val="none"/>
                <w:lang w:val="en-US" w:eastAsia="zh-CN" w:bidi="ar"/>
              </w:rPr>
              <w:t>交换机</w:t>
            </w:r>
          </w:p>
        </w:tc>
        <w:tc>
          <w:tcPr>
            <w:tcW w:w="576" w:type="pct"/>
            <w:tcBorders>
              <w:top w:val="single" w:color="000000" w:sz="4" w:space="0"/>
              <w:left w:val="single" w:color="000000" w:sz="4" w:space="0"/>
              <w:bottom w:val="single" w:color="000000" w:sz="4" w:space="0"/>
              <w:right w:val="single" w:color="000000" w:sz="4" w:space="0"/>
            </w:tcBorders>
            <w:noWrap w:val="0"/>
            <w:vAlign w:val="center"/>
          </w:tcPr>
          <w:p w14:paraId="414CE53A">
            <w:pPr>
              <w:keepNext w:val="0"/>
              <w:keepLines w:val="0"/>
              <w:widowControl/>
              <w:suppressLineNumbers w:val="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6"/>
                <w:szCs w:val="16"/>
                <w:u w:val="none"/>
                <w:lang w:val="en-US" w:eastAsia="zh-CN" w:bidi="ar"/>
              </w:rPr>
              <w:t>管理型交换机(4光口24电口)</w:t>
            </w:r>
          </w:p>
        </w:tc>
        <w:tc>
          <w:tcPr>
            <w:tcW w:w="311" w:type="pct"/>
            <w:tcBorders>
              <w:top w:val="single" w:color="000000" w:sz="4" w:space="0"/>
              <w:left w:val="single" w:color="000000" w:sz="4" w:space="0"/>
              <w:bottom w:val="nil"/>
              <w:right w:val="single" w:color="000000" w:sz="4" w:space="0"/>
            </w:tcBorders>
            <w:noWrap w:val="0"/>
            <w:vAlign w:val="center"/>
          </w:tcPr>
          <w:p w14:paraId="49901A39">
            <w:pPr>
              <w:keepNext w:val="0"/>
              <w:keepLines w:val="0"/>
              <w:widowControl/>
              <w:suppressLineNumbers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6"/>
                <w:szCs w:val="16"/>
                <w:u w:val="none"/>
                <w:lang w:val="en-US" w:eastAsia="zh-CN" w:bidi="ar"/>
              </w:rPr>
              <w:t>华为</w:t>
            </w:r>
          </w:p>
        </w:tc>
        <w:tc>
          <w:tcPr>
            <w:tcW w:w="596" w:type="pct"/>
            <w:tcBorders>
              <w:top w:val="single" w:color="000000" w:sz="4" w:space="0"/>
              <w:left w:val="single" w:color="000000" w:sz="4" w:space="0"/>
              <w:bottom w:val="single" w:color="000000" w:sz="4" w:space="0"/>
              <w:right w:val="single" w:color="000000" w:sz="4" w:space="0"/>
            </w:tcBorders>
            <w:noWrap w:val="0"/>
            <w:vAlign w:val="center"/>
          </w:tcPr>
          <w:p w14:paraId="6FAC6CB5">
            <w:pPr>
              <w:keepNext w:val="0"/>
              <w:keepLines w:val="0"/>
              <w:widowControl/>
              <w:suppressLineNumbers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6"/>
                <w:szCs w:val="16"/>
                <w:u w:val="none"/>
                <w:lang w:val="en-US" w:eastAsia="zh-CN" w:bidi="ar"/>
              </w:rPr>
              <w:t>S1730S-S24P4S-A2</w:t>
            </w:r>
          </w:p>
        </w:tc>
        <w:tc>
          <w:tcPr>
            <w:tcW w:w="1292" w:type="pct"/>
            <w:tcBorders>
              <w:top w:val="single" w:color="000000" w:sz="4" w:space="0"/>
              <w:left w:val="single" w:color="000000" w:sz="4" w:space="0"/>
              <w:bottom w:val="single" w:color="000000" w:sz="4" w:space="0"/>
              <w:right w:val="single" w:color="000000" w:sz="4" w:space="0"/>
            </w:tcBorders>
            <w:noWrap w:val="0"/>
            <w:vAlign w:val="center"/>
          </w:tcPr>
          <w:p w14:paraId="5C660411">
            <w:pPr>
              <w:keepNext w:val="0"/>
              <w:keepLines w:val="0"/>
              <w:widowControl/>
              <w:suppressLineNumbers w:val="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6"/>
                <w:szCs w:val="16"/>
                <w:u w:val="none"/>
                <w:lang w:val="en-US" w:eastAsia="zh-CN" w:bidi="ar"/>
              </w:rPr>
              <w:t>24个10/100/1000BASE-T以太网端口,4个千兆SFP,PoE+,交流供电，</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交换容量336Gbps，包转发率42Mpps，机架式，POE功率380W</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493F7E1E">
            <w:pPr>
              <w:keepNext w:val="0"/>
              <w:keepLines w:val="0"/>
              <w:widowControl/>
              <w:suppressLineNumbers w:val="0"/>
              <w:jc w:val="center"/>
              <w:textAlignment w:val="center"/>
              <w:rPr>
                <w:sz w:val="20"/>
                <w:szCs w:val="22"/>
              </w:rPr>
            </w:pPr>
            <w:r>
              <w:rPr>
                <w:rFonts w:hint="eastAsia" w:ascii="微软雅黑" w:hAnsi="微软雅黑" w:eastAsia="微软雅黑" w:cs="微软雅黑"/>
                <w:i w:val="0"/>
                <w:iCs w:val="0"/>
                <w:color w:val="000000"/>
                <w:kern w:val="0"/>
                <w:sz w:val="16"/>
                <w:szCs w:val="16"/>
                <w:u w:val="none"/>
                <w:lang w:val="en-US" w:eastAsia="zh-CN" w:bidi="ar"/>
              </w:rPr>
              <w:t>8</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40FF1A9">
            <w:pPr>
              <w:keepNext w:val="0"/>
              <w:keepLines w:val="0"/>
              <w:widowControl/>
              <w:suppressLineNumbers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491" w:type="pct"/>
            <w:tcBorders>
              <w:top w:val="single" w:color="000000" w:sz="4" w:space="0"/>
              <w:left w:val="single" w:color="000000" w:sz="4" w:space="0"/>
              <w:bottom w:val="nil"/>
              <w:right w:val="single" w:color="000000" w:sz="4" w:space="0"/>
            </w:tcBorders>
            <w:noWrap w:val="0"/>
            <w:vAlign w:val="center"/>
          </w:tcPr>
          <w:p w14:paraId="1035A870">
            <w:pPr>
              <w:jc w:val="right"/>
              <w:rPr>
                <w:rFonts w:hint="eastAsia" w:ascii="微软雅黑" w:hAnsi="微软雅黑" w:eastAsia="微软雅黑" w:cs="微软雅黑"/>
                <w:i w:val="0"/>
                <w:iCs w:val="0"/>
                <w:color w:val="000000"/>
                <w:sz w:val="15"/>
                <w:szCs w:val="15"/>
                <w:u w:val="none"/>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04C0DD0A">
            <w:pPr>
              <w:jc w:val="right"/>
              <w:rPr>
                <w:rFonts w:hint="eastAsia" w:ascii="微软雅黑" w:hAnsi="微软雅黑" w:eastAsia="微软雅黑" w:cs="微软雅黑"/>
                <w:i w:val="0"/>
                <w:iCs w:val="0"/>
                <w:color w:val="000000"/>
                <w:sz w:val="15"/>
                <w:szCs w:val="15"/>
                <w:u w:val="none"/>
              </w:rPr>
            </w:pPr>
          </w:p>
        </w:tc>
      </w:tr>
      <w:tr w14:paraId="72F06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jc w:val="center"/>
        </w:trPr>
        <w:tc>
          <w:tcPr>
            <w:tcW w:w="208" w:type="pct"/>
            <w:tcBorders>
              <w:top w:val="single" w:color="000000" w:sz="4" w:space="0"/>
              <w:left w:val="single" w:color="000000" w:sz="4" w:space="0"/>
              <w:bottom w:val="single" w:color="000000" w:sz="4" w:space="0"/>
              <w:right w:val="single" w:color="000000" w:sz="4" w:space="0"/>
            </w:tcBorders>
            <w:noWrap w:val="0"/>
            <w:vAlign w:val="center"/>
          </w:tcPr>
          <w:p w14:paraId="66E2D957">
            <w:pPr>
              <w:keepNext w:val="0"/>
              <w:keepLines w:val="0"/>
              <w:widowControl/>
              <w:suppressLineNumbers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6"/>
                <w:szCs w:val="16"/>
                <w:u w:val="none"/>
                <w:lang w:val="en-US" w:eastAsia="zh-CN" w:bidi="ar"/>
              </w:rPr>
              <w:t>3</w:t>
            </w:r>
          </w:p>
        </w:tc>
        <w:tc>
          <w:tcPr>
            <w:tcW w:w="44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4A4296">
            <w:pPr>
              <w:jc w:val="center"/>
              <w:rPr>
                <w:rFonts w:hint="eastAsia" w:ascii="微软雅黑" w:hAnsi="微软雅黑" w:eastAsia="微软雅黑" w:cs="微软雅黑"/>
                <w:i w:val="0"/>
                <w:iCs w:val="0"/>
                <w:color w:val="000000"/>
                <w:sz w:val="15"/>
                <w:szCs w:val="15"/>
                <w:u w:val="none"/>
              </w:rPr>
            </w:pPr>
          </w:p>
        </w:tc>
        <w:tc>
          <w:tcPr>
            <w:tcW w:w="576" w:type="pct"/>
            <w:tcBorders>
              <w:top w:val="single" w:color="000000" w:sz="4" w:space="0"/>
              <w:left w:val="single" w:color="000000" w:sz="4" w:space="0"/>
              <w:bottom w:val="single" w:color="000000" w:sz="4" w:space="0"/>
              <w:right w:val="single" w:color="000000" w:sz="4" w:space="0"/>
            </w:tcBorders>
            <w:noWrap w:val="0"/>
            <w:vAlign w:val="center"/>
          </w:tcPr>
          <w:p w14:paraId="5C013F97">
            <w:pPr>
              <w:keepNext w:val="0"/>
              <w:keepLines w:val="0"/>
              <w:widowControl/>
              <w:suppressLineNumbers w:val="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6"/>
                <w:szCs w:val="16"/>
                <w:u w:val="none"/>
                <w:lang w:val="en-US" w:eastAsia="zh-CN" w:bidi="ar"/>
              </w:rPr>
              <w:t>管理型交换机(24电口)</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1CF5A8F5">
            <w:pPr>
              <w:keepNext w:val="0"/>
              <w:keepLines w:val="0"/>
              <w:widowControl/>
              <w:suppressLineNumbers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6"/>
                <w:szCs w:val="16"/>
                <w:u w:val="none"/>
                <w:lang w:val="en-US" w:eastAsia="zh-CN" w:bidi="ar"/>
              </w:rPr>
              <w:t>华为</w:t>
            </w:r>
          </w:p>
        </w:tc>
        <w:tc>
          <w:tcPr>
            <w:tcW w:w="596" w:type="pct"/>
            <w:tcBorders>
              <w:top w:val="single" w:color="000000" w:sz="4" w:space="0"/>
              <w:left w:val="single" w:color="000000" w:sz="4" w:space="0"/>
              <w:bottom w:val="single" w:color="000000" w:sz="4" w:space="0"/>
              <w:right w:val="single" w:color="000000" w:sz="4" w:space="0"/>
            </w:tcBorders>
            <w:noWrap w:val="0"/>
            <w:vAlign w:val="center"/>
          </w:tcPr>
          <w:p w14:paraId="03681A24">
            <w:pPr>
              <w:keepNext w:val="0"/>
              <w:keepLines w:val="0"/>
              <w:widowControl/>
              <w:suppressLineNumbers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6"/>
                <w:szCs w:val="16"/>
                <w:u w:val="none"/>
                <w:lang w:val="en-US" w:eastAsia="zh-CN" w:bidi="ar"/>
              </w:rPr>
              <w:t>S1730S-S24T4S-QA2</w:t>
            </w:r>
          </w:p>
        </w:tc>
        <w:tc>
          <w:tcPr>
            <w:tcW w:w="1292" w:type="pct"/>
            <w:tcBorders>
              <w:top w:val="single" w:color="000000" w:sz="4" w:space="0"/>
              <w:left w:val="single" w:color="000000" w:sz="4" w:space="0"/>
              <w:bottom w:val="single" w:color="000000" w:sz="4" w:space="0"/>
              <w:right w:val="single" w:color="000000" w:sz="4" w:space="0"/>
            </w:tcBorders>
            <w:noWrap w:val="0"/>
            <w:vAlign w:val="center"/>
          </w:tcPr>
          <w:p w14:paraId="21E8B8E5">
            <w:pPr>
              <w:keepNext w:val="0"/>
              <w:keepLines w:val="0"/>
              <w:widowControl/>
              <w:suppressLineNumbers w:val="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6"/>
                <w:szCs w:val="16"/>
                <w:u w:val="none"/>
                <w:lang w:val="en-US" w:eastAsia="zh-CN" w:bidi="ar"/>
              </w:rPr>
              <w:t>24个10/100/1000BASE-T以太网端口,4个千兆SFP,交流供电，交换容量336Gbps，包转发率42Mpps，机架式，静音款</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36057F2D">
            <w:pPr>
              <w:keepNext w:val="0"/>
              <w:keepLines w:val="0"/>
              <w:widowControl/>
              <w:suppressLineNumbers w:val="0"/>
              <w:jc w:val="center"/>
              <w:textAlignment w:val="center"/>
              <w:rPr>
                <w:sz w:val="20"/>
                <w:szCs w:val="22"/>
              </w:rPr>
            </w:pPr>
            <w:r>
              <w:rPr>
                <w:rFonts w:hint="eastAsia" w:ascii="微软雅黑" w:hAnsi="微软雅黑" w:eastAsia="微软雅黑" w:cs="微软雅黑"/>
                <w:i w:val="0"/>
                <w:iCs w:val="0"/>
                <w:color w:val="000000"/>
                <w:kern w:val="0"/>
                <w:sz w:val="16"/>
                <w:szCs w:val="16"/>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11F0592">
            <w:pPr>
              <w:keepNext w:val="0"/>
              <w:keepLines w:val="0"/>
              <w:widowControl/>
              <w:suppressLineNumbers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491" w:type="pct"/>
            <w:tcBorders>
              <w:top w:val="single" w:color="000000" w:sz="4" w:space="0"/>
              <w:left w:val="single" w:color="000000" w:sz="4" w:space="0"/>
              <w:bottom w:val="single" w:color="000000" w:sz="4" w:space="0"/>
              <w:right w:val="single" w:color="000000" w:sz="4" w:space="0"/>
            </w:tcBorders>
            <w:noWrap w:val="0"/>
            <w:vAlign w:val="center"/>
          </w:tcPr>
          <w:p w14:paraId="61C7A1BC">
            <w:pPr>
              <w:jc w:val="right"/>
              <w:rPr>
                <w:rFonts w:hint="eastAsia" w:ascii="微软雅黑" w:hAnsi="微软雅黑" w:eastAsia="微软雅黑" w:cs="微软雅黑"/>
                <w:i w:val="0"/>
                <w:iCs w:val="0"/>
                <w:color w:val="000000"/>
                <w:sz w:val="15"/>
                <w:szCs w:val="15"/>
                <w:u w:val="none"/>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68C52D77">
            <w:pPr>
              <w:jc w:val="right"/>
              <w:rPr>
                <w:rFonts w:hint="eastAsia" w:ascii="微软雅黑" w:hAnsi="微软雅黑" w:eastAsia="微软雅黑" w:cs="微软雅黑"/>
                <w:i w:val="0"/>
                <w:iCs w:val="0"/>
                <w:color w:val="000000"/>
                <w:sz w:val="15"/>
                <w:szCs w:val="15"/>
                <w:u w:val="none"/>
              </w:rPr>
            </w:pPr>
          </w:p>
        </w:tc>
      </w:tr>
      <w:tr w14:paraId="168B4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jc w:val="center"/>
        </w:trPr>
        <w:tc>
          <w:tcPr>
            <w:tcW w:w="208" w:type="pct"/>
            <w:tcBorders>
              <w:top w:val="single" w:color="000000" w:sz="4" w:space="0"/>
              <w:left w:val="single" w:color="000000" w:sz="4" w:space="0"/>
              <w:bottom w:val="single" w:color="000000" w:sz="4" w:space="0"/>
              <w:right w:val="single" w:color="000000" w:sz="4" w:space="0"/>
            </w:tcBorders>
            <w:noWrap w:val="0"/>
            <w:vAlign w:val="center"/>
          </w:tcPr>
          <w:p w14:paraId="10444DCE">
            <w:pPr>
              <w:keepNext w:val="0"/>
              <w:keepLines w:val="0"/>
              <w:widowControl/>
              <w:suppressLineNumbers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6"/>
                <w:szCs w:val="16"/>
                <w:u w:val="none"/>
                <w:lang w:val="en-US" w:eastAsia="zh-CN" w:bidi="ar"/>
              </w:rPr>
              <w:t>4</w:t>
            </w:r>
          </w:p>
        </w:tc>
        <w:tc>
          <w:tcPr>
            <w:tcW w:w="44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EF1D0C">
            <w:pPr>
              <w:jc w:val="center"/>
              <w:rPr>
                <w:rFonts w:hint="eastAsia" w:ascii="微软雅黑" w:hAnsi="微软雅黑" w:eastAsia="微软雅黑" w:cs="微软雅黑"/>
                <w:i w:val="0"/>
                <w:iCs w:val="0"/>
                <w:color w:val="000000"/>
                <w:sz w:val="15"/>
                <w:szCs w:val="15"/>
                <w:u w:val="none"/>
              </w:rPr>
            </w:pPr>
          </w:p>
        </w:tc>
        <w:tc>
          <w:tcPr>
            <w:tcW w:w="576" w:type="pct"/>
            <w:tcBorders>
              <w:top w:val="single" w:color="000000" w:sz="4" w:space="0"/>
              <w:left w:val="single" w:color="000000" w:sz="4" w:space="0"/>
              <w:bottom w:val="single" w:color="000000" w:sz="4" w:space="0"/>
              <w:right w:val="single" w:color="000000" w:sz="4" w:space="0"/>
            </w:tcBorders>
            <w:noWrap w:val="0"/>
            <w:vAlign w:val="center"/>
          </w:tcPr>
          <w:p w14:paraId="02219DAA">
            <w:pPr>
              <w:keepNext w:val="0"/>
              <w:keepLines w:val="0"/>
              <w:widowControl/>
              <w:suppressLineNumbers w:val="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6"/>
                <w:szCs w:val="16"/>
                <w:u w:val="none"/>
                <w:lang w:val="en-US" w:eastAsia="zh-CN" w:bidi="ar"/>
              </w:rPr>
              <w:t>交换机(24电口)</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4D19476C">
            <w:pPr>
              <w:keepNext w:val="0"/>
              <w:keepLines w:val="0"/>
              <w:widowControl/>
              <w:suppressLineNumbers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6"/>
                <w:szCs w:val="16"/>
                <w:u w:val="none"/>
                <w:lang w:val="en-US" w:eastAsia="zh-CN" w:bidi="ar"/>
              </w:rPr>
              <w:t>华为</w:t>
            </w:r>
          </w:p>
        </w:tc>
        <w:tc>
          <w:tcPr>
            <w:tcW w:w="596" w:type="pct"/>
            <w:tcBorders>
              <w:top w:val="single" w:color="000000" w:sz="4" w:space="0"/>
              <w:left w:val="single" w:color="000000" w:sz="4" w:space="0"/>
              <w:bottom w:val="single" w:color="000000" w:sz="4" w:space="0"/>
              <w:right w:val="single" w:color="000000" w:sz="4" w:space="0"/>
            </w:tcBorders>
            <w:noWrap w:val="0"/>
            <w:vAlign w:val="center"/>
          </w:tcPr>
          <w:p w14:paraId="40CDF785">
            <w:pPr>
              <w:keepNext w:val="0"/>
              <w:keepLines w:val="0"/>
              <w:widowControl/>
              <w:suppressLineNumbers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6"/>
                <w:szCs w:val="16"/>
                <w:u w:val="none"/>
                <w:lang w:val="en-US" w:eastAsia="zh-CN" w:bidi="ar"/>
              </w:rPr>
              <w:t>S1730S-L24PR-A</w:t>
            </w:r>
          </w:p>
        </w:tc>
        <w:tc>
          <w:tcPr>
            <w:tcW w:w="1292" w:type="pct"/>
            <w:tcBorders>
              <w:top w:val="single" w:color="000000" w:sz="4" w:space="0"/>
              <w:left w:val="single" w:color="000000" w:sz="4" w:space="0"/>
              <w:bottom w:val="single" w:color="000000" w:sz="4" w:space="0"/>
              <w:right w:val="single" w:color="000000" w:sz="4" w:space="0"/>
            </w:tcBorders>
            <w:noWrap w:val="0"/>
            <w:vAlign w:val="center"/>
          </w:tcPr>
          <w:p w14:paraId="41CE2E0F">
            <w:pPr>
              <w:keepNext w:val="0"/>
              <w:keepLines w:val="0"/>
              <w:widowControl/>
              <w:suppressLineNumbers w:val="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6"/>
                <w:szCs w:val="16"/>
                <w:u w:val="none"/>
                <w:lang w:val="en-US" w:eastAsia="zh-CN" w:bidi="ar"/>
              </w:rPr>
              <w:t>24个10/100/1000BASE-T以太网端口,POE+,交流供电，</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交换容量48Gbps，包转发率35.71Mpps，机架式，静音款，8K MAC,POE功率191W</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740C47E4">
            <w:pPr>
              <w:keepNext w:val="0"/>
              <w:keepLines w:val="0"/>
              <w:widowControl/>
              <w:suppressLineNumbers w:val="0"/>
              <w:jc w:val="center"/>
              <w:textAlignment w:val="center"/>
              <w:rPr>
                <w:sz w:val="20"/>
                <w:szCs w:val="22"/>
              </w:rPr>
            </w:pPr>
            <w:r>
              <w:rPr>
                <w:rFonts w:hint="eastAsia" w:ascii="微软雅黑" w:hAnsi="微软雅黑" w:eastAsia="微软雅黑" w:cs="微软雅黑"/>
                <w:i w:val="0"/>
                <w:iCs w:val="0"/>
                <w:color w:val="000000"/>
                <w:kern w:val="0"/>
                <w:sz w:val="16"/>
                <w:szCs w:val="16"/>
                <w:u w:val="none"/>
                <w:lang w:val="en-US" w:eastAsia="zh-CN" w:bidi="ar"/>
              </w:rPr>
              <w:t>9</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95415DD">
            <w:pPr>
              <w:keepNext w:val="0"/>
              <w:keepLines w:val="0"/>
              <w:widowControl/>
              <w:suppressLineNumbers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491" w:type="pct"/>
            <w:tcBorders>
              <w:top w:val="single" w:color="000000" w:sz="4" w:space="0"/>
              <w:left w:val="single" w:color="000000" w:sz="4" w:space="0"/>
              <w:bottom w:val="single" w:color="000000" w:sz="4" w:space="0"/>
              <w:right w:val="single" w:color="000000" w:sz="4" w:space="0"/>
            </w:tcBorders>
            <w:noWrap w:val="0"/>
            <w:vAlign w:val="center"/>
          </w:tcPr>
          <w:p w14:paraId="38EA91E6">
            <w:pPr>
              <w:jc w:val="right"/>
              <w:rPr>
                <w:rFonts w:hint="eastAsia" w:ascii="微软雅黑" w:hAnsi="微软雅黑" w:eastAsia="微软雅黑" w:cs="微软雅黑"/>
                <w:i w:val="0"/>
                <w:iCs w:val="0"/>
                <w:color w:val="000000"/>
                <w:sz w:val="15"/>
                <w:szCs w:val="15"/>
                <w:u w:val="none"/>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0E818E7B">
            <w:pPr>
              <w:jc w:val="right"/>
              <w:rPr>
                <w:rFonts w:hint="eastAsia" w:ascii="微软雅黑" w:hAnsi="微软雅黑" w:eastAsia="微软雅黑" w:cs="微软雅黑"/>
                <w:i w:val="0"/>
                <w:iCs w:val="0"/>
                <w:color w:val="000000"/>
                <w:sz w:val="15"/>
                <w:szCs w:val="15"/>
                <w:u w:val="none"/>
              </w:rPr>
            </w:pPr>
          </w:p>
        </w:tc>
      </w:tr>
      <w:tr w14:paraId="0D4DF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208" w:type="pct"/>
            <w:tcBorders>
              <w:top w:val="single" w:color="000000" w:sz="4" w:space="0"/>
              <w:left w:val="single" w:color="000000" w:sz="4" w:space="0"/>
              <w:bottom w:val="single" w:color="000000" w:sz="4" w:space="0"/>
              <w:right w:val="single" w:color="000000" w:sz="4" w:space="0"/>
            </w:tcBorders>
            <w:noWrap w:val="0"/>
            <w:vAlign w:val="center"/>
          </w:tcPr>
          <w:p w14:paraId="6CFE8D54">
            <w:pPr>
              <w:keepNext w:val="0"/>
              <w:keepLines w:val="0"/>
              <w:widowControl/>
              <w:suppressLineNumbers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6"/>
                <w:szCs w:val="16"/>
                <w:u w:val="none"/>
                <w:lang w:val="en-US" w:eastAsia="zh-CN" w:bidi="ar"/>
              </w:rPr>
              <w:t>5</w:t>
            </w:r>
          </w:p>
        </w:tc>
        <w:tc>
          <w:tcPr>
            <w:tcW w:w="44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2E9A13">
            <w:pPr>
              <w:jc w:val="center"/>
              <w:rPr>
                <w:rFonts w:hint="eastAsia" w:ascii="微软雅黑" w:hAnsi="微软雅黑" w:eastAsia="微软雅黑" w:cs="微软雅黑"/>
                <w:i w:val="0"/>
                <w:iCs w:val="0"/>
                <w:color w:val="000000"/>
                <w:sz w:val="15"/>
                <w:szCs w:val="15"/>
                <w:u w:val="none"/>
              </w:rPr>
            </w:pPr>
          </w:p>
        </w:tc>
        <w:tc>
          <w:tcPr>
            <w:tcW w:w="576" w:type="pct"/>
            <w:tcBorders>
              <w:top w:val="single" w:color="000000" w:sz="4" w:space="0"/>
              <w:left w:val="single" w:color="000000" w:sz="4" w:space="0"/>
              <w:bottom w:val="single" w:color="000000" w:sz="4" w:space="0"/>
              <w:right w:val="single" w:color="000000" w:sz="4" w:space="0"/>
            </w:tcBorders>
            <w:noWrap w:val="0"/>
            <w:vAlign w:val="center"/>
          </w:tcPr>
          <w:p w14:paraId="2EB9A14C">
            <w:pPr>
              <w:keepNext w:val="0"/>
              <w:keepLines w:val="0"/>
              <w:widowControl/>
              <w:suppressLineNumbers w:val="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6"/>
                <w:szCs w:val="16"/>
                <w:u w:val="none"/>
                <w:lang w:val="en-US" w:eastAsia="zh-CN" w:bidi="ar"/>
              </w:rPr>
              <w:t>光纤收发器(1光1电)</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48E527AC">
            <w:pPr>
              <w:keepNext w:val="0"/>
              <w:keepLines w:val="0"/>
              <w:widowControl/>
              <w:suppressLineNumbers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6"/>
                <w:szCs w:val="16"/>
                <w:u w:val="none"/>
                <w:lang w:val="en-US" w:eastAsia="zh-CN" w:bidi="ar"/>
              </w:rPr>
              <w:t>华三</w:t>
            </w:r>
          </w:p>
        </w:tc>
        <w:tc>
          <w:tcPr>
            <w:tcW w:w="596" w:type="pct"/>
            <w:tcBorders>
              <w:top w:val="single" w:color="000000" w:sz="4" w:space="0"/>
              <w:left w:val="single" w:color="000000" w:sz="4" w:space="0"/>
              <w:bottom w:val="single" w:color="000000" w:sz="4" w:space="0"/>
              <w:right w:val="single" w:color="000000" w:sz="4" w:space="0"/>
            </w:tcBorders>
            <w:noWrap w:val="0"/>
            <w:vAlign w:val="center"/>
          </w:tcPr>
          <w:p w14:paraId="552DC6B4">
            <w:pPr>
              <w:keepNext w:val="0"/>
              <w:keepLines w:val="0"/>
              <w:widowControl/>
              <w:suppressLineNumbers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6"/>
                <w:szCs w:val="16"/>
                <w:u w:val="none"/>
                <w:lang w:val="en-US" w:eastAsia="zh-CN" w:bidi="ar"/>
              </w:rPr>
              <w:t>FC311G-3A</w:t>
            </w:r>
          </w:p>
        </w:tc>
        <w:tc>
          <w:tcPr>
            <w:tcW w:w="1292" w:type="pct"/>
            <w:tcBorders>
              <w:top w:val="single" w:color="000000" w:sz="4" w:space="0"/>
              <w:left w:val="single" w:color="000000" w:sz="4" w:space="0"/>
              <w:bottom w:val="single" w:color="000000" w:sz="4" w:space="0"/>
              <w:right w:val="single" w:color="000000" w:sz="4" w:space="0"/>
            </w:tcBorders>
            <w:noWrap w:val="0"/>
            <w:vAlign w:val="center"/>
          </w:tcPr>
          <w:p w14:paraId="0714BE28">
            <w:pPr>
              <w:keepNext w:val="0"/>
              <w:keepLines w:val="0"/>
              <w:widowControl/>
              <w:suppressLineNumbers w:val="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6"/>
                <w:szCs w:val="16"/>
                <w:u w:val="none"/>
                <w:lang w:val="en-US" w:eastAsia="zh-CN" w:bidi="ar"/>
              </w:rPr>
              <w:t>单模单纤光纤收发器,1*GE+1*SC,传输距离3KM，6KV防雷设计</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1F7A7253">
            <w:pPr>
              <w:keepNext w:val="0"/>
              <w:keepLines w:val="0"/>
              <w:widowControl/>
              <w:suppressLineNumbers w:val="0"/>
              <w:jc w:val="center"/>
              <w:textAlignment w:val="center"/>
              <w:rPr>
                <w:sz w:val="20"/>
                <w:szCs w:val="22"/>
              </w:rPr>
            </w:pPr>
            <w:r>
              <w:rPr>
                <w:rFonts w:hint="eastAsia" w:ascii="微软雅黑" w:hAnsi="微软雅黑" w:eastAsia="微软雅黑" w:cs="微软雅黑"/>
                <w:i w:val="0"/>
                <w:iCs w:val="0"/>
                <w:color w:val="000000"/>
                <w:kern w:val="0"/>
                <w:sz w:val="16"/>
                <w:szCs w:val="16"/>
                <w:u w:val="none"/>
                <w:lang w:val="en-US" w:eastAsia="zh-CN" w:bidi="ar"/>
              </w:rPr>
              <w:t>38</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746C483">
            <w:pPr>
              <w:keepNext w:val="0"/>
              <w:keepLines w:val="0"/>
              <w:widowControl/>
              <w:suppressLineNumbers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491" w:type="pct"/>
            <w:tcBorders>
              <w:top w:val="single" w:color="000000" w:sz="4" w:space="0"/>
              <w:left w:val="single" w:color="000000" w:sz="4" w:space="0"/>
              <w:bottom w:val="single" w:color="000000" w:sz="4" w:space="0"/>
              <w:right w:val="single" w:color="000000" w:sz="4" w:space="0"/>
            </w:tcBorders>
            <w:noWrap w:val="0"/>
            <w:vAlign w:val="center"/>
          </w:tcPr>
          <w:p w14:paraId="0A4238DA">
            <w:pPr>
              <w:jc w:val="right"/>
              <w:rPr>
                <w:rFonts w:hint="eastAsia" w:ascii="微软雅黑" w:hAnsi="微软雅黑" w:eastAsia="微软雅黑" w:cs="微软雅黑"/>
                <w:i w:val="0"/>
                <w:iCs w:val="0"/>
                <w:color w:val="000000"/>
                <w:sz w:val="15"/>
                <w:szCs w:val="15"/>
                <w:u w:val="none"/>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2C405686">
            <w:pPr>
              <w:jc w:val="right"/>
              <w:rPr>
                <w:rFonts w:hint="eastAsia" w:ascii="微软雅黑" w:hAnsi="微软雅黑" w:eastAsia="微软雅黑" w:cs="微软雅黑"/>
                <w:i w:val="0"/>
                <w:iCs w:val="0"/>
                <w:color w:val="000000"/>
                <w:sz w:val="15"/>
                <w:szCs w:val="15"/>
                <w:u w:val="none"/>
              </w:rPr>
            </w:pPr>
          </w:p>
        </w:tc>
      </w:tr>
      <w:tr w14:paraId="403F8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208" w:type="pct"/>
            <w:tcBorders>
              <w:top w:val="single" w:color="000000" w:sz="4" w:space="0"/>
              <w:left w:val="single" w:color="000000" w:sz="4" w:space="0"/>
              <w:bottom w:val="single" w:color="000000" w:sz="4" w:space="0"/>
              <w:right w:val="single" w:color="000000" w:sz="4" w:space="0"/>
            </w:tcBorders>
            <w:noWrap/>
            <w:vAlign w:val="center"/>
          </w:tcPr>
          <w:p w14:paraId="4316429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w:t>
            </w:r>
          </w:p>
        </w:tc>
        <w:tc>
          <w:tcPr>
            <w:tcW w:w="443" w:type="pct"/>
            <w:vMerge w:val="continue"/>
            <w:tcBorders>
              <w:top w:val="single" w:color="000000" w:sz="4" w:space="0"/>
              <w:left w:val="single" w:color="000000" w:sz="4" w:space="0"/>
              <w:bottom w:val="nil"/>
              <w:right w:val="single" w:color="000000" w:sz="4" w:space="0"/>
            </w:tcBorders>
            <w:noWrap/>
            <w:vAlign w:val="center"/>
          </w:tcPr>
          <w:p w14:paraId="04D1888E">
            <w:pPr>
              <w:jc w:val="center"/>
              <w:rPr>
                <w:rFonts w:hint="eastAsia" w:ascii="微软雅黑" w:hAnsi="微软雅黑" w:eastAsia="微软雅黑" w:cs="微软雅黑"/>
                <w:i w:val="0"/>
                <w:iCs w:val="0"/>
                <w:color w:val="000000"/>
                <w:sz w:val="15"/>
                <w:szCs w:val="15"/>
                <w:u w:val="none"/>
              </w:rPr>
            </w:pPr>
          </w:p>
        </w:tc>
        <w:tc>
          <w:tcPr>
            <w:tcW w:w="576" w:type="pct"/>
            <w:tcBorders>
              <w:top w:val="single" w:color="000000" w:sz="4" w:space="0"/>
              <w:left w:val="single" w:color="000000" w:sz="4" w:space="0"/>
              <w:bottom w:val="single" w:color="000000" w:sz="4" w:space="0"/>
              <w:right w:val="single" w:color="000000" w:sz="4" w:space="0"/>
            </w:tcBorders>
            <w:noWrap/>
            <w:vAlign w:val="center"/>
          </w:tcPr>
          <w:p w14:paraId="789CF560">
            <w:pPr>
              <w:keepNext w:val="0"/>
              <w:keepLines w:val="0"/>
              <w:widowControl/>
              <w:suppressLineNumbers w:val="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6"/>
                <w:szCs w:val="16"/>
                <w:u w:val="none"/>
                <w:lang w:val="en-US" w:eastAsia="zh-CN" w:bidi="ar"/>
              </w:rPr>
              <w:t>光纤收发器(1光4电)</w:t>
            </w:r>
          </w:p>
        </w:tc>
        <w:tc>
          <w:tcPr>
            <w:tcW w:w="311" w:type="pct"/>
            <w:tcBorders>
              <w:top w:val="single" w:color="000000" w:sz="4" w:space="0"/>
              <w:left w:val="single" w:color="000000" w:sz="4" w:space="0"/>
              <w:bottom w:val="nil"/>
              <w:right w:val="single" w:color="000000" w:sz="4" w:space="0"/>
            </w:tcBorders>
            <w:noWrap/>
            <w:vAlign w:val="center"/>
          </w:tcPr>
          <w:p w14:paraId="7AD8E953">
            <w:pPr>
              <w:keepNext w:val="0"/>
              <w:keepLines w:val="0"/>
              <w:widowControl/>
              <w:suppressLineNumbers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6"/>
                <w:szCs w:val="16"/>
                <w:u w:val="none"/>
                <w:lang w:val="en-US" w:eastAsia="zh-CN" w:bidi="ar"/>
              </w:rPr>
              <w:t>华三</w:t>
            </w:r>
          </w:p>
        </w:tc>
        <w:tc>
          <w:tcPr>
            <w:tcW w:w="596" w:type="pct"/>
            <w:tcBorders>
              <w:top w:val="single" w:color="000000" w:sz="4" w:space="0"/>
              <w:left w:val="single" w:color="000000" w:sz="4" w:space="0"/>
              <w:bottom w:val="nil"/>
              <w:right w:val="single" w:color="000000" w:sz="4" w:space="0"/>
            </w:tcBorders>
            <w:noWrap/>
            <w:vAlign w:val="center"/>
          </w:tcPr>
          <w:p w14:paraId="5CBE2235">
            <w:pPr>
              <w:keepNext w:val="0"/>
              <w:keepLines w:val="0"/>
              <w:widowControl/>
              <w:suppressLineNumbers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6"/>
                <w:szCs w:val="16"/>
                <w:u w:val="none"/>
                <w:lang w:val="en-US" w:eastAsia="zh-CN" w:bidi="ar"/>
              </w:rPr>
              <w:t>FC314G-3B</w:t>
            </w:r>
          </w:p>
        </w:tc>
        <w:tc>
          <w:tcPr>
            <w:tcW w:w="1292" w:type="pct"/>
            <w:tcBorders>
              <w:top w:val="single" w:color="000000" w:sz="4" w:space="0"/>
              <w:left w:val="single" w:color="000000" w:sz="4" w:space="0"/>
              <w:bottom w:val="single" w:color="000000" w:sz="4" w:space="0"/>
              <w:right w:val="single" w:color="000000" w:sz="4" w:space="0"/>
            </w:tcBorders>
            <w:noWrap/>
            <w:vAlign w:val="center"/>
          </w:tcPr>
          <w:p w14:paraId="45429791">
            <w:pPr>
              <w:keepNext w:val="0"/>
              <w:keepLines w:val="0"/>
              <w:widowControl/>
              <w:suppressLineNumbers w:val="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6"/>
                <w:szCs w:val="16"/>
                <w:u w:val="none"/>
                <w:lang w:val="en-US" w:eastAsia="zh-CN" w:bidi="ar"/>
              </w:rPr>
              <w:t>单模单纤光纤收发器,4*GE+1*SC,传输距离3KM，6KV防雷设计</w:t>
            </w:r>
          </w:p>
        </w:tc>
        <w:tc>
          <w:tcPr>
            <w:tcW w:w="317" w:type="pct"/>
            <w:tcBorders>
              <w:top w:val="single" w:color="000000" w:sz="4" w:space="0"/>
              <w:left w:val="single" w:color="000000" w:sz="4" w:space="0"/>
              <w:bottom w:val="single" w:color="000000" w:sz="4" w:space="0"/>
              <w:right w:val="single" w:color="000000" w:sz="4" w:space="0"/>
            </w:tcBorders>
            <w:noWrap/>
            <w:vAlign w:val="center"/>
          </w:tcPr>
          <w:p w14:paraId="4E95791F">
            <w:pPr>
              <w:keepNext w:val="0"/>
              <w:keepLines w:val="0"/>
              <w:widowControl/>
              <w:suppressLineNumbers w:val="0"/>
              <w:jc w:val="center"/>
              <w:textAlignment w:val="center"/>
              <w:rPr>
                <w:sz w:val="20"/>
                <w:szCs w:val="22"/>
              </w:rPr>
            </w:pPr>
            <w:r>
              <w:rPr>
                <w:rFonts w:hint="eastAsia" w:ascii="微软雅黑" w:hAnsi="微软雅黑" w:eastAsia="微软雅黑" w:cs="微软雅黑"/>
                <w:i w:val="0"/>
                <w:iCs w:val="0"/>
                <w:color w:val="000000"/>
                <w:kern w:val="0"/>
                <w:sz w:val="16"/>
                <w:szCs w:val="16"/>
                <w:u w:val="none"/>
                <w:lang w:val="en-US" w:eastAsia="zh-CN" w:bidi="ar"/>
              </w:rPr>
              <w:t>13</w:t>
            </w:r>
          </w:p>
        </w:tc>
        <w:tc>
          <w:tcPr>
            <w:tcW w:w="285" w:type="pct"/>
            <w:tcBorders>
              <w:top w:val="single" w:color="000000" w:sz="4" w:space="0"/>
              <w:left w:val="single" w:color="000000" w:sz="4" w:space="0"/>
              <w:bottom w:val="single" w:color="000000" w:sz="4" w:space="0"/>
              <w:right w:val="single" w:color="000000" w:sz="4" w:space="0"/>
            </w:tcBorders>
            <w:noWrap/>
            <w:vAlign w:val="center"/>
          </w:tcPr>
          <w:p w14:paraId="652F641F">
            <w:pPr>
              <w:keepNext w:val="0"/>
              <w:keepLines w:val="0"/>
              <w:widowControl/>
              <w:suppressLineNumbers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491" w:type="pct"/>
            <w:tcBorders>
              <w:top w:val="single" w:color="000000" w:sz="4" w:space="0"/>
              <w:left w:val="single" w:color="000000" w:sz="4" w:space="0"/>
              <w:bottom w:val="nil"/>
              <w:right w:val="single" w:color="000000" w:sz="4" w:space="0"/>
            </w:tcBorders>
            <w:noWrap/>
            <w:vAlign w:val="center"/>
          </w:tcPr>
          <w:p w14:paraId="19D94AD5">
            <w:pPr>
              <w:jc w:val="right"/>
              <w:rPr>
                <w:rFonts w:hint="eastAsia" w:ascii="微软雅黑" w:hAnsi="微软雅黑" w:eastAsia="微软雅黑" w:cs="微软雅黑"/>
                <w:i w:val="0"/>
                <w:iCs w:val="0"/>
                <w:color w:val="000000"/>
                <w:sz w:val="15"/>
                <w:szCs w:val="15"/>
                <w:u w:val="none"/>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7952AAF0">
            <w:pPr>
              <w:jc w:val="right"/>
              <w:rPr>
                <w:rFonts w:hint="eastAsia" w:ascii="微软雅黑" w:hAnsi="微软雅黑" w:eastAsia="微软雅黑" w:cs="微软雅黑"/>
                <w:i w:val="0"/>
                <w:iCs w:val="0"/>
                <w:color w:val="000000"/>
                <w:sz w:val="15"/>
                <w:szCs w:val="15"/>
                <w:u w:val="none"/>
              </w:rPr>
            </w:pPr>
          </w:p>
        </w:tc>
      </w:tr>
      <w:tr w14:paraId="55B76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jc w:val="center"/>
        </w:trPr>
        <w:tc>
          <w:tcPr>
            <w:tcW w:w="208" w:type="pct"/>
            <w:tcBorders>
              <w:top w:val="single" w:color="000000" w:sz="4" w:space="0"/>
              <w:left w:val="single" w:color="000000" w:sz="4" w:space="0"/>
              <w:bottom w:val="single" w:color="000000" w:sz="4" w:space="0"/>
              <w:right w:val="single" w:color="000000" w:sz="4" w:space="0"/>
            </w:tcBorders>
            <w:noWrap/>
            <w:vAlign w:val="center"/>
          </w:tcPr>
          <w:p w14:paraId="1A3B0BD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8"/>
                <w:szCs w:val="18"/>
                <w:u w:val="none"/>
                <w:lang w:val="en-US" w:eastAsia="zh-CN" w:bidi="ar"/>
              </w:rPr>
              <w:t>7</w:t>
            </w:r>
          </w:p>
        </w:tc>
        <w:tc>
          <w:tcPr>
            <w:tcW w:w="443" w:type="pct"/>
            <w:tcBorders>
              <w:top w:val="single" w:color="000000" w:sz="4" w:space="0"/>
              <w:left w:val="single" w:color="000000" w:sz="4" w:space="0"/>
              <w:bottom w:val="single" w:color="000000" w:sz="4" w:space="0"/>
              <w:right w:val="single" w:color="000000" w:sz="4" w:space="0"/>
            </w:tcBorders>
            <w:noWrap/>
            <w:vAlign w:val="center"/>
          </w:tcPr>
          <w:p w14:paraId="490141A2">
            <w:pPr>
              <w:keepNext w:val="0"/>
              <w:keepLines w:val="0"/>
              <w:widowControl/>
              <w:suppressLineNumbers w:val="0"/>
              <w:jc w:val="center"/>
              <w:textAlignment w:val="center"/>
              <w:rPr>
                <w:sz w:val="20"/>
                <w:szCs w:val="22"/>
              </w:rPr>
            </w:pPr>
            <w:r>
              <w:rPr>
                <w:rFonts w:hint="eastAsia" w:ascii="微软雅黑" w:hAnsi="微软雅黑" w:eastAsia="微软雅黑" w:cs="微软雅黑"/>
                <w:i w:val="0"/>
                <w:iCs w:val="0"/>
                <w:color w:val="000000"/>
                <w:kern w:val="0"/>
                <w:sz w:val="16"/>
                <w:szCs w:val="16"/>
                <w:u w:val="none"/>
                <w:lang w:val="en-US" w:eastAsia="zh-CN" w:bidi="ar"/>
              </w:rPr>
              <w:t>对象存储一体机</w:t>
            </w:r>
          </w:p>
        </w:tc>
        <w:tc>
          <w:tcPr>
            <w:tcW w:w="576" w:type="pct"/>
            <w:tcBorders>
              <w:top w:val="single" w:color="000000" w:sz="4" w:space="0"/>
              <w:left w:val="single" w:color="000000" w:sz="4" w:space="0"/>
              <w:bottom w:val="single" w:color="000000" w:sz="4" w:space="0"/>
              <w:right w:val="single" w:color="000000" w:sz="4" w:space="0"/>
            </w:tcBorders>
            <w:noWrap/>
            <w:vAlign w:val="center"/>
          </w:tcPr>
          <w:p w14:paraId="534A63BD">
            <w:pPr>
              <w:keepNext w:val="0"/>
              <w:keepLines w:val="0"/>
              <w:widowControl/>
              <w:suppressLineNumbers w:val="0"/>
              <w:jc w:val="left"/>
              <w:textAlignment w:val="center"/>
              <w:rPr>
                <w:sz w:val="20"/>
                <w:szCs w:val="22"/>
              </w:rPr>
            </w:pPr>
            <w:r>
              <w:rPr>
                <w:rFonts w:hint="eastAsia" w:ascii="微软雅黑" w:hAnsi="微软雅黑" w:eastAsia="微软雅黑" w:cs="微软雅黑"/>
                <w:i w:val="0"/>
                <w:iCs w:val="0"/>
                <w:color w:val="000000"/>
                <w:kern w:val="0"/>
                <w:sz w:val="16"/>
                <w:szCs w:val="16"/>
                <w:u w:val="none"/>
                <w:lang w:val="en-US" w:eastAsia="zh-CN" w:bidi="ar"/>
              </w:rPr>
              <w:t>网络存储设备（300路）</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1D03B49E">
            <w:pPr>
              <w:keepNext w:val="0"/>
              <w:keepLines w:val="0"/>
              <w:widowControl/>
              <w:suppressLineNumbers w:val="0"/>
              <w:jc w:val="center"/>
              <w:textAlignment w:val="center"/>
              <w:rPr>
                <w:sz w:val="20"/>
                <w:szCs w:val="22"/>
              </w:rPr>
            </w:pPr>
            <w:r>
              <w:rPr>
                <w:rFonts w:hint="eastAsia" w:ascii="微软雅黑" w:hAnsi="微软雅黑" w:eastAsia="微软雅黑" w:cs="微软雅黑"/>
                <w:i w:val="0"/>
                <w:iCs w:val="0"/>
                <w:color w:val="000000"/>
                <w:kern w:val="0"/>
                <w:sz w:val="16"/>
                <w:szCs w:val="16"/>
                <w:u w:val="none"/>
                <w:lang w:val="en-US" w:eastAsia="zh-CN" w:bidi="ar"/>
              </w:rPr>
              <w:t>海康威视</w:t>
            </w:r>
          </w:p>
        </w:tc>
        <w:tc>
          <w:tcPr>
            <w:tcW w:w="596" w:type="pct"/>
            <w:tcBorders>
              <w:top w:val="single" w:color="000000" w:sz="4" w:space="0"/>
              <w:left w:val="single" w:color="000000" w:sz="4" w:space="0"/>
              <w:bottom w:val="single" w:color="000000" w:sz="4" w:space="0"/>
              <w:right w:val="single" w:color="000000" w:sz="4" w:space="0"/>
            </w:tcBorders>
            <w:noWrap/>
            <w:vAlign w:val="center"/>
          </w:tcPr>
          <w:p w14:paraId="5C913352">
            <w:pPr>
              <w:keepNext w:val="0"/>
              <w:keepLines w:val="0"/>
              <w:widowControl/>
              <w:suppressLineNumbers w:val="0"/>
              <w:jc w:val="center"/>
              <w:textAlignment w:val="center"/>
              <w:rPr>
                <w:sz w:val="20"/>
                <w:szCs w:val="22"/>
              </w:rPr>
            </w:pPr>
            <w:r>
              <w:rPr>
                <w:rFonts w:hint="eastAsia" w:ascii="微软雅黑" w:hAnsi="微软雅黑" w:eastAsia="微软雅黑" w:cs="微软雅黑"/>
                <w:i w:val="0"/>
                <w:iCs w:val="0"/>
                <w:color w:val="000000"/>
                <w:kern w:val="0"/>
                <w:sz w:val="16"/>
                <w:szCs w:val="16"/>
                <w:u w:val="none"/>
                <w:lang w:val="en-US" w:eastAsia="zh-CN" w:bidi="ar"/>
              </w:rPr>
              <w:t>DS-A71136R</w:t>
            </w:r>
          </w:p>
        </w:tc>
        <w:tc>
          <w:tcPr>
            <w:tcW w:w="1292" w:type="pct"/>
            <w:tcBorders>
              <w:top w:val="single" w:color="000000" w:sz="4" w:space="0"/>
              <w:left w:val="single" w:color="000000" w:sz="4" w:space="0"/>
              <w:bottom w:val="single" w:color="000000" w:sz="4" w:space="0"/>
              <w:right w:val="single" w:color="000000" w:sz="4" w:space="0"/>
            </w:tcBorders>
            <w:noWrap/>
            <w:vAlign w:val="center"/>
          </w:tcPr>
          <w:p w14:paraId="39CB16F2">
            <w:pPr>
              <w:keepNext w:val="0"/>
              <w:keepLines w:val="0"/>
              <w:widowControl/>
              <w:suppressLineNumbers w:val="0"/>
              <w:jc w:val="left"/>
              <w:textAlignment w:val="center"/>
              <w:rPr>
                <w:sz w:val="20"/>
                <w:szCs w:val="22"/>
              </w:rPr>
            </w:pPr>
            <w:r>
              <w:rPr>
                <w:rFonts w:hint="eastAsia" w:ascii="微软雅黑" w:hAnsi="微软雅黑" w:eastAsia="微软雅黑" w:cs="微软雅黑"/>
                <w:i w:val="0"/>
                <w:iCs w:val="0"/>
                <w:color w:val="000000"/>
                <w:kern w:val="0"/>
                <w:sz w:val="16"/>
                <w:szCs w:val="16"/>
                <w:u w:val="none"/>
                <w:lang w:val="en-US" w:eastAsia="zh-CN" w:bidi="ar"/>
              </w:rPr>
              <w:t>标配36盘位，含18块12TBHDD硬盘，存储时间达30天</w:t>
            </w:r>
          </w:p>
        </w:tc>
        <w:tc>
          <w:tcPr>
            <w:tcW w:w="317" w:type="pct"/>
            <w:tcBorders>
              <w:top w:val="single" w:color="000000" w:sz="4" w:space="0"/>
              <w:left w:val="single" w:color="000000" w:sz="4" w:space="0"/>
              <w:bottom w:val="single" w:color="000000" w:sz="4" w:space="0"/>
              <w:right w:val="single" w:color="000000" w:sz="4" w:space="0"/>
            </w:tcBorders>
            <w:noWrap/>
            <w:vAlign w:val="center"/>
          </w:tcPr>
          <w:p w14:paraId="749B82BA">
            <w:pPr>
              <w:keepNext w:val="0"/>
              <w:keepLines w:val="0"/>
              <w:widowControl/>
              <w:suppressLineNumbers w:val="0"/>
              <w:jc w:val="center"/>
              <w:textAlignment w:val="center"/>
              <w:rPr>
                <w:sz w:val="20"/>
                <w:szCs w:val="22"/>
              </w:rPr>
            </w:pPr>
            <w:r>
              <w:rPr>
                <w:rFonts w:hint="eastAsia" w:ascii="微软雅黑" w:hAnsi="微软雅黑" w:eastAsia="微软雅黑" w:cs="微软雅黑"/>
                <w:i w:val="0"/>
                <w:iCs w:val="0"/>
                <w:color w:val="000000"/>
                <w:kern w:val="0"/>
                <w:sz w:val="16"/>
                <w:szCs w:val="16"/>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noWrap/>
            <w:vAlign w:val="center"/>
          </w:tcPr>
          <w:p w14:paraId="6E583541">
            <w:pPr>
              <w:keepNext w:val="0"/>
              <w:keepLines w:val="0"/>
              <w:widowControl/>
              <w:suppressLineNumbers w:val="0"/>
              <w:jc w:val="center"/>
              <w:textAlignment w:val="center"/>
              <w:rPr>
                <w:sz w:val="20"/>
                <w:szCs w:val="22"/>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491" w:type="pct"/>
            <w:tcBorders>
              <w:top w:val="single" w:color="000000" w:sz="4" w:space="0"/>
              <w:left w:val="single" w:color="000000" w:sz="4" w:space="0"/>
              <w:bottom w:val="single" w:color="000000" w:sz="4" w:space="0"/>
              <w:right w:val="single" w:color="000000" w:sz="4" w:space="0"/>
            </w:tcBorders>
            <w:noWrap/>
            <w:vAlign w:val="center"/>
          </w:tcPr>
          <w:p w14:paraId="3C06CDBB">
            <w:pPr>
              <w:jc w:val="right"/>
              <w:rPr>
                <w:rFonts w:hint="eastAsia" w:ascii="微软雅黑" w:hAnsi="微软雅黑" w:eastAsia="微软雅黑" w:cs="微软雅黑"/>
                <w:i w:val="0"/>
                <w:iCs w:val="0"/>
                <w:color w:val="000000"/>
                <w:sz w:val="16"/>
                <w:szCs w:val="16"/>
                <w:u w:val="none"/>
              </w:rPr>
            </w:pP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372F84F6">
            <w:pPr>
              <w:jc w:val="right"/>
              <w:rPr>
                <w:sz w:val="20"/>
                <w:szCs w:val="22"/>
              </w:rPr>
            </w:pPr>
          </w:p>
        </w:tc>
      </w:tr>
      <w:tr w14:paraId="20DF4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jc w:val="center"/>
        </w:trPr>
        <w:tc>
          <w:tcPr>
            <w:tcW w:w="4030" w:type="pct"/>
            <w:gridSpan w:val="8"/>
            <w:tcBorders>
              <w:top w:val="single" w:color="000000" w:sz="4" w:space="0"/>
              <w:left w:val="single" w:color="000000" w:sz="4" w:space="0"/>
              <w:bottom w:val="single" w:color="000000" w:sz="4" w:space="0"/>
              <w:right w:val="single" w:color="000000" w:sz="4" w:space="0"/>
            </w:tcBorders>
            <w:noWrap/>
            <w:vAlign w:val="center"/>
          </w:tcPr>
          <w:p w14:paraId="4E57327E">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合计：</w:t>
            </w:r>
          </w:p>
        </w:tc>
        <w:tc>
          <w:tcPr>
            <w:tcW w:w="491" w:type="pct"/>
            <w:tcBorders>
              <w:top w:val="single" w:color="000000" w:sz="4" w:space="0"/>
              <w:left w:val="single" w:color="000000" w:sz="4" w:space="0"/>
              <w:bottom w:val="single" w:color="000000" w:sz="4" w:space="0"/>
              <w:right w:val="single" w:color="000000" w:sz="4" w:space="0"/>
            </w:tcBorders>
            <w:noWrap/>
            <w:vAlign w:val="center"/>
          </w:tcPr>
          <w:p w14:paraId="7B982708">
            <w:pPr>
              <w:jc w:val="right"/>
              <w:rPr>
                <w:rFonts w:hint="eastAsia" w:ascii="微软雅黑" w:hAnsi="微软雅黑" w:eastAsia="微软雅黑" w:cs="微软雅黑"/>
                <w:i w:val="0"/>
                <w:iCs w:val="0"/>
                <w:color w:val="000000"/>
                <w:sz w:val="16"/>
                <w:szCs w:val="16"/>
                <w:u w:val="none"/>
              </w:rPr>
            </w:pP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4D790216">
            <w:pPr>
              <w:jc w:val="right"/>
              <w:rPr>
                <w:sz w:val="20"/>
                <w:szCs w:val="22"/>
              </w:rPr>
            </w:pPr>
          </w:p>
        </w:tc>
      </w:tr>
    </w:tbl>
    <w:p w14:paraId="05AFBCE7">
      <w:pPr>
        <w:adjustRightInd w:val="0"/>
        <w:snapToGrid w:val="0"/>
        <w:spacing w:line="360" w:lineRule="auto"/>
        <w:rPr>
          <w:rFonts w:hint="eastAsia" w:ascii="宋体" w:hAnsi="宋体" w:cs="仿宋_GB2312"/>
          <w:bCs/>
          <w:sz w:val="22"/>
          <w:szCs w:val="22"/>
        </w:rPr>
      </w:pPr>
    </w:p>
    <w:p w14:paraId="4F038C40">
      <w:pPr>
        <w:adjustRightInd w:val="0"/>
        <w:snapToGrid w:val="0"/>
        <w:spacing w:line="360" w:lineRule="auto"/>
        <w:rPr>
          <w:rFonts w:ascii="宋体" w:hAnsi="宋体" w:cs="仿宋_GB2312"/>
          <w:bCs/>
          <w:sz w:val="22"/>
          <w:szCs w:val="22"/>
        </w:rPr>
      </w:pPr>
      <w:r>
        <w:rPr>
          <w:rFonts w:hint="eastAsia" w:ascii="宋体" w:hAnsi="宋体" w:cs="仿宋_GB2312"/>
          <w:bCs/>
          <w:sz w:val="22"/>
          <w:szCs w:val="22"/>
        </w:rPr>
        <w:t>二、交货地点：湖北省烟草公司</w:t>
      </w:r>
      <w:r>
        <w:rPr>
          <w:rFonts w:hint="eastAsia" w:ascii="宋体" w:hAnsi="宋体" w:cs="仿宋_GB2312"/>
          <w:bCs/>
          <w:sz w:val="22"/>
          <w:szCs w:val="22"/>
          <w:lang w:eastAsia="zh-CN"/>
        </w:rPr>
        <w:t>武汉市</w:t>
      </w:r>
      <w:r>
        <w:rPr>
          <w:rFonts w:hint="eastAsia" w:ascii="宋体" w:hAnsi="宋体" w:cs="仿宋_GB2312"/>
          <w:bCs/>
          <w:sz w:val="22"/>
          <w:szCs w:val="22"/>
        </w:rPr>
        <w:t>公司。</w:t>
      </w:r>
    </w:p>
    <w:p w14:paraId="0A89C088">
      <w:pPr>
        <w:adjustRightInd w:val="0"/>
        <w:snapToGrid w:val="0"/>
        <w:spacing w:line="360" w:lineRule="auto"/>
        <w:rPr>
          <w:rFonts w:hint="eastAsia" w:ascii="宋体" w:hAnsi="宋体" w:cs="仿宋_GB2312"/>
          <w:sz w:val="22"/>
          <w:szCs w:val="22"/>
        </w:rPr>
      </w:pPr>
      <w:r>
        <w:rPr>
          <w:rFonts w:hint="eastAsia" w:ascii="宋体" w:hAnsi="宋体" w:cs="仿宋_GB2312"/>
          <w:sz w:val="22"/>
          <w:szCs w:val="22"/>
        </w:rPr>
        <w:t>三、交货期限：</w:t>
      </w:r>
      <w:r>
        <w:rPr>
          <w:rFonts w:hint="eastAsia" w:ascii="宋体" w:hAnsi="宋体" w:cs="仿宋_GB2312"/>
          <w:sz w:val="22"/>
          <w:szCs w:val="22"/>
          <w:u w:val="none"/>
        </w:rPr>
        <w:t>合同生效后30日内需完成供货及安装</w:t>
      </w:r>
      <w:r>
        <w:rPr>
          <w:rFonts w:hint="eastAsia" w:ascii="宋体" w:hAnsi="宋体" w:cs="仿宋_GB2312"/>
          <w:sz w:val="22"/>
          <w:szCs w:val="22"/>
          <w:u w:val="none"/>
          <w:lang w:val="en-US" w:eastAsia="zh-CN"/>
        </w:rPr>
        <w:t>调试</w:t>
      </w:r>
      <w:r>
        <w:rPr>
          <w:rFonts w:hint="eastAsia" w:ascii="宋体" w:hAnsi="宋体" w:cs="仿宋_GB2312"/>
          <w:sz w:val="22"/>
          <w:szCs w:val="22"/>
          <w:u w:val="none"/>
        </w:rPr>
        <w:t>工作</w:t>
      </w:r>
      <w:r>
        <w:rPr>
          <w:rFonts w:hint="eastAsia" w:ascii="宋体" w:hAnsi="宋体" w:cs="仿宋_GB2312"/>
          <w:sz w:val="22"/>
          <w:szCs w:val="22"/>
        </w:rPr>
        <w:t>。</w:t>
      </w:r>
    </w:p>
    <w:p w14:paraId="1ABCA369">
      <w:pPr>
        <w:adjustRightInd w:val="0"/>
        <w:snapToGrid w:val="0"/>
        <w:spacing w:line="360" w:lineRule="auto"/>
        <w:rPr>
          <w:rFonts w:ascii="宋体" w:hAnsi="宋体" w:cs="仿宋_GB2312"/>
          <w:sz w:val="22"/>
          <w:szCs w:val="22"/>
        </w:rPr>
      </w:pPr>
      <w:r>
        <w:rPr>
          <w:rFonts w:hint="eastAsia" w:ascii="宋体" w:hAnsi="宋体" w:cs="仿宋_GB2312"/>
          <w:sz w:val="22"/>
          <w:szCs w:val="22"/>
        </w:rPr>
        <w:t>四、付款方式；</w:t>
      </w:r>
    </w:p>
    <w:p w14:paraId="27CBE36B">
      <w:pPr>
        <w:adjustRightInd w:val="0"/>
        <w:snapToGrid w:val="0"/>
        <w:spacing w:line="360" w:lineRule="auto"/>
        <w:ind w:firstLine="440" w:firstLineChars="200"/>
        <w:rPr>
          <w:rFonts w:hint="eastAsia" w:ascii="宋体" w:hAnsi="宋体" w:cs="仿宋_GB2312"/>
          <w:sz w:val="22"/>
          <w:szCs w:val="22"/>
        </w:rPr>
      </w:pPr>
      <w:bookmarkStart w:id="0" w:name="_Hlk195607267"/>
      <w:r>
        <w:rPr>
          <w:rFonts w:hint="eastAsia" w:ascii="宋体" w:hAnsi="宋体" w:cs="仿宋_GB2312"/>
          <w:sz w:val="22"/>
          <w:szCs w:val="22"/>
        </w:rPr>
        <w:t>设备到货经双方确认无误后开始安装实施，经双方验收合格后15个工作日内，甲方向乙方支付合同总价款的97%；剩余3%尾款自验收之日起一年后进行支付。乙方根据甲方要求向甲方开具合同全额与税法要求对应税率的增值税一般纳税人专用发票。</w:t>
      </w:r>
    </w:p>
    <w:bookmarkEnd w:id="0"/>
    <w:p w14:paraId="28B346FB">
      <w:pPr>
        <w:spacing w:line="360" w:lineRule="auto"/>
        <w:rPr>
          <w:rFonts w:hint="eastAsia" w:ascii="宋体" w:hAnsi="宋体" w:cs="仿宋_GB2312"/>
          <w:sz w:val="22"/>
          <w:szCs w:val="22"/>
        </w:rPr>
      </w:pPr>
      <w:r>
        <w:rPr>
          <w:rFonts w:hint="eastAsia" w:ascii="宋体" w:hAnsi="宋体" w:cs="仿宋_GB2312"/>
          <w:sz w:val="22"/>
          <w:szCs w:val="22"/>
        </w:rPr>
        <w:t>五、质量要求：</w:t>
      </w:r>
    </w:p>
    <w:p w14:paraId="41E6800E">
      <w:pPr>
        <w:spacing w:line="360" w:lineRule="auto"/>
        <w:ind w:firstLine="420" w:firstLineChars="200"/>
        <w:rPr>
          <w:rFonts w:ascii="宋体" w:hAnsi="宋体" w:cs="宋体"/>
          <w:szCs w:val="21"/>
        </w:rPr>
      </w:pPr>
      <w:bookmarkStart w:id="1" w:name="_Hlk195607323"/>
      <w:r>
        <w:rPr>
          <w:rFonts w:hint="eastAsia" w:ascii="宋体" w:hAnsi="宋体" w:cs="宋体"/>
          <w:szCs w:val="21"/>
        </w:rPr>
        <w:t>1.乙方保证提供的商品均为原厂正品，且从合法合规渠道采购。</w:t>
      </w:r>
    </w:p>
    <w:p w14:paraId="6EBF399C">
      <w:pPr>
        <w:spacing w:line="360" w:lineRule="auto"/>
        <w:ind w:firstLine="440" w:firstLineChars="200"/>
        <w:rPr>
          <w:rFonts w:hint="eastAsia" w:ascii="宋体" w:hAnsi="宋体" w:cs="宋体"/>
          <w:szCs w:val="21"/>
        </w:rPr>
      </w:pPr>
      <w:r>
        <w:rPr>
          <w:rFonts w:hint="eastAsia" w:ascii="宋体" w:hAnsi="宋体" w:eastAsia="宋体" w:cs="仿宋_GB2312"/>
          <w:sz w:val="22"/>
          <w:szCs w:val="22"/>
        </w:rPr>
        <w:t>2.乙方保证提供的商品</w:t>
      </w:r>
      <w:r>
        <w:rPr>
          <w:rFonts w:hint="default" w:ascii="宋体" w:hAnsi="宋体" w:eastAsia="宋体" w:cs="仿宋_GB2312"/>
          <w:sz w:val="22"/>
          <w:szCs w:val="22"/>
        </w:rPr>
        <w:t>完全符合国家、行业以及本合同规定的质量、规格和性能</w:t>
      </w:r>
      <w:r>
        <w:rPr>
          <w:rFonts w:hint="eastAsia" w:ascii="宋体" w:hAnsi="宋体" w:eastAsia="宋体" w:cs="仿宋_GB2312"/>
          <w:sz w:val="22"/>
          <w:szCs w:val="22"/>
        </w:rPr>
        <w:t>；乙方并保</w:t>
      </w:r>
      <w:r>
        <w:rPr>
          <w:rFonts w:hint="eastAsia" w:ascii="宋体" w:hAnsi="宋体" w:cs="宋体"/>
          <w:szCs w:val="21"/>
        </w:rPr>
        <w:t>证本合同货物产品、正常使用和维修的情况下运转良好。如发现产品与合同上述约定不符，乙方应无条件接受甲方退货换货要求，并双倍赔偿本合同项下全部货款。</w:t>
      </w:r>
    </w:p>
    <w:bookmarkEnd w:id="1"/>
    <w:p w14:paraId="77A7488F">
      <w:pPr>
        <w:spacing w:line="360" w:lineRule="auto"/>
        <w:rPr>
          <w:rFonts w:ascii="宋体" w:hAnsi="宋体" w:cs="仿宋_GB2312"/>
          <w:sz w:val="22"/>
          <w:szCs w:val="22"/>
        </w:rPr>
      </w:pPr>
      <w:r>
        <w:rPr>
          <w:rFonts w:hint="eastAsia" w:ascii="宋体" w:hAnsi="宋体" w:cs="仿宋_GB2312"/>
          <w:sz w:val="22"/>
          <w:szCs w:val="22"/>
        </w:rPr>
        <w:t>六、</w:t>
      </w:r>
      <w:bookmarkStart w:id="2" w:name="_Hlk195606140"/>
      <w:r>
        <w:rPr>
          <w:rFonts w:hint="eastAsia" w:ascii="宋体" w:hAnsi="宋体" w:cs="仿宋_GB2312"/>
          <w:sz w:val="22"/>
          <w:szCs w:val="22"/>
        </w:rPr>
        <w:t>验收标准及方法</w:t>
      </w:r>
      <w:bookmarkEnd w:id="2"/>
      <w:r>
        <w:rPr>
          <w:rFonts w:hint="eastAsia" w:ascii="宋体" w:hAnsi="宋体" w:cs="仿宋_GB2312"/>
          <w:sz w:val="22"/>
          <w:szCs w:val="22"/>
        </w:rPr>
        <w:t>：</w:t>
      </w:r>
    </w:p>
    <w:p w14:paraId="631A229A">
      <w:pPr>
        <w:spacing w:line="360" w:lineRule="auto"/>
        <w:ind w:firstLine="420" w:firstLineChars="200"/>
        <w:rPr>
          <w:rFonts w:hint="eastAsia" w:ascii="宋体" w:hAnsi="宋体" w:cs="宋体"/>
          <w:szCs w:val="21"/>
        </w:rPr>
      </w:pPr>
      <w:r>
        <w:rPr>
          <w:rFonts w:hint="eastAsia" w:ascii="宋体" w:hAnsi="宋体" w:cs="宋体"/>
          <w:szCs w:val="21"/>
        </w:rPr>
        <w:t>1.验收方法：二次验收。</w:t>
      </w:r>
    </w:p>
    <w:p w14:paraId="71A57024">
      <w:pPr>
        <w:spacing w:line="360" w:lineRule="auto"/>
        <w:ind w:firstLine="420" w:firstLineChars="200"/>
        <w:rPr>
          <w:rFonts w:hint="eastAsia" w:ascii="宋体" w:hAnsi="宋体" w:cs="宋体"/>
          <w:szCs w:val="21"/>
        </w:rPr>
      </w:pPr>
      <w:r>
        <w:rPr>
          <w:rFonts w:hint="eastAsia" w:ascii="宋体" w:hAnsi="宋体" w:cs="宋体"/>
          <w:szCs w:val="21"/>
        </w:rPr>
        <w:t xml:space="preserve">2.验收条件： </w:t>
      </w:r>
    </w:p>
    <w:p w14:paraId="194BBF7A">
      <w:pPr>
        <w:spacing w:line="360" w:lineRule="auto"/>
        <w:ind w:firstLine="420" w:firstLineChars="200"/>
        <w:rPr>
          <w:rFonts w:hint="eastAsia" w:ascii="宋体" w:hAnsi="宋体" w:cs="宋体"/>
          <w:szCs w:val="21"/>
        </w:rPr>
      </w:pPr>
      <w:r>
        <w:rPr>
          <w:rFonts w:hint="eastAsia" w:ascii="宋体" w:hAnsi="宋体" w:cs="宋体"/>
          <w:szCs w:val="21"/>
        </w:rPr>
        <w:t>2.1、第一次验收：乙方在合同约定时间内完成供货、安装集成工作；</w:t>
      </w:r>
    </w:p>
    <w:p w14:paraId="3BD167FA">
      <w:pPr>
        <w:spacing w:line="360" w:lineRule="auto"/>
        <w:ind w:firstLine="420" w:firstLineChars="200"/>
        <w:rPr>
          <w:rFonts w:hint="eastAsia" w:ascii="宋体" w:hAnsi="宋体" w:cs="宋体"/>
          <w:szCs w:val="21"/>
        </w:rPr>
      </w:pPr>
      <w:r>
        <w:rPr>
          <w:rFonts w:hint="eastAsia" w:ascii="宋体" w:hAnsi="宋体" w:cs="宋体"/>
          <w:szCs w:val="21"/>
        </w:rPr>
        <w:t>2.2、第二次验收：</w:t>
      </w:r>
      <w:bookmarkStart w:id="3" w:name="_Hlk207965450"/>
      <w:r>
        <w:rPr>
          <w:rFonts w:hint="eastAsia" w:ascii="宋体" w:hAnsi="宋体" w:cs="宋体"/>
          <w:szCs w:val="21"/>
        </w:rPr>
        <w:t>自验收合格之日起1年质保期满</w:t>
      </w:r>
      <w:bookmarkEnd w:id="3"/>
      <w:r>
        <w:rPr>
          <w:rFonts w:hint="eastAsia" w:ascii="宋体" w:hAnsi="宋体" w:cs="宋体"/>
          <w:szCs w:val="21"/>
        </w:rPr>
        <w:t>；</w:t>
      </w:r>
    </w:p>
    <w:p w14:paraId="4765C53F">
      <w:pPr>
        <w:spacing w:line="360" w:lineRule="auto"/>
        <w:ind w:firstLine="420" w:firstLineChars="200"/>
        <w:rPr>
          <w:rFonts w:ascii="宋体" w:hAnsi="宋体" w:cs="宋体"/>
          <w:szCs w:val="21"/>
        </w:rPr>
      </w:pPr>
      <w:r>
        <w:rPr>
          <w:rFonts w:hint="eastAsia" w:ascii="宋体" w:hAnsi="宋体" w:cs="宋体"/>
          <w:szCs w:val="21"/>
        </w:rPr>
        <w:t>3.验收内容：</w:t>
      </w:r>
    </w:p>
    <w:p w14:paraId="7FF17FD7">
      <w:pPr>
        <w:spacing w:line="360" w:lineRule="auto"/>
        <w:ind w:firstLine="420" w:firstLineChars="200"/>
        <w:rPr>
          <w:rFonts w:ascii="宋体" w:hAnsi="宋体" w:cs="宋体"/>
          <w:szCs w:val="21"/>
        </w:rPr>
      </w:pPr>
      <w:r>
        <w:rPr>
          <w:rFonts w:hint="eastAsia" w:ascii="宋体" w:hAnsi="宋体" w:cs="宋体"/>
          <w:szCs w:val="21"/>
        </w:rPr>
        <w:t>3.1、第一次验收：双方签订项目验收报告(含设备到货确认单）；</w:t>
      </w:r>
    </w:p>
    <w:p w14:paraId="4C6994AC">
      <w:pPr>
        <w:spacing w:line="360" w:lineRule="auto"/>
        <w:ind w:firstLine="420" w:firstLineChars="200"/>
        <w:rPr>
          <w:rFonts w:hint="eastAsia" w:ascii="宋体" w:hAnsi="宋体" w:cs="宋体"/>
          <w:szCs w:val="21"/>
        </w:rPr>
      </w:pPr>
      <w:r>
        <w:rPr>
          <w:rFonts w:hint="eastAsia" w:ascii="宋体" w:hAnsi="宋体" w:cs="宋体"/>
          <w:szCs w:val="21"/>
        </w:rPr>
        <w:t>3.2、第二次验收：自验收合格之日起1年质保期满的验收报告；</w:t>
      </w:r>
    </w:p>
    <w:p w14:paraId="114BFF8D">
      <w:pPr>
        <w:spacing w:line="360" w:lineRule="auto"/>
        <w:ind w:firstLine="420" w:firstLineChars="200"/>
        <w:rPr>
          <w:rFonts w:hint="eastAsia" w:ascii="宋体" w:hAnsi="宋体" w:cs="宋体"/>
          <w:szCs w:val="21"/>
        </w:rPr>
      </w:pPr>
      <w:r>
        <w:rPr>
          <w:rFonts w:hint="eastAsia" w:ascii="宋体" w:hAnsi="宋体" w:cs="宋体"/>
          <w:szCs w:val="21"/>
        </w:rPr>
        <w:t>4.验收标准：</w:t>
      </w:r>
    </w:p>
    <w:p w14:paraId="34AD7911">
      <w:pPr>
        <w:spacing w:line="360" w:lineRule="auto"/>
        <w:ind w:firstLine="420" w:firstLineChars="200"/>
        <w:rPr>
          <w:rFonts w:hint="eastAsia" w:ascii="宋体" w:hAnsi="宋体" w:cs="宋体"/>
          <w:szCs w:val="21"/>
        </w:rPr>
      </w:pPr>
      <w:r>
        <w:rPr>
          <w:rFonts w:hint="eastAsia" w:ascii="宋体" w:hAnsi="宋体" w:cs="宋体"/>
          <w:szCs w:val="21"/>
        </w:rPr>
        <w:t>4.1、乙方所供货物是否符合本合同的约定；</w:t>
      </w:r>
    </w:p>
    <w:p w14:paraId="48999F5A">
      <w:pPr>
        <w:spacing w:line="360" w:lineRule="auto"/>
        <w:ind w:firstLine="420" w:firstLineChars="200"/>
        <w:rPr>
          <w:rFonts w:hint="eastAsia" w:ascii="宋体" w:hAnsi="宋体" w:cs="宋体"/>
          <w:szCs w:val="21"/>
        </w:rPr>
      </w:pPr>
      <w:r>
        <w:rPr>
          <w:rFonts w:hint="eastAsia" w:ascii="宋体" w:hAnsi="宋体" w:cs="宋体"/>
          <w:szCs w:val="21"/>
        </w:rPr>
        <w:t>4.2、乙方是否按照合同约定安装完成并投入正常使用；</w:t>
      </w:r>
    </w:p>
    <w:p w14:paraId="5465DABF">
      <w:pPr>
        <w:spacing w:line="360" w:lineRule="auto"/>
        <w:ind w:firstLine="420" w:firstLineChars="200"/>
        <w:rPr>
          <w:rFonts w:ascii="宋体" w:hAnsi="宋体" w:cs="宋体"/>
          <w:szCs w:val="21"/>
        </w:rPr>
      </w:pPr>
      <w:r>
        <w:rPr>
          <w:rFonts w:hint="eastAsia" w:ascii="宋体" w:hAnsi="宋体" w:cs="宋体"/>
          <w:szCs w:val="21"/>
        </w:rPr>
        <w:t>4.3、质保期内服务满足合同要求。</w:t>
      </w:r>
    </w:p>
    <w:p w14:paraId="75E1CA0B">
      <w:pPr>
        <w:spacing w:line="360" w:lineRule="auto"/>
        <w:ind w:firstLine="420" w:firstLineChars="200"/>
        <w:rPr>
          <w:rFonts w:ascii="宋体" w:hAnsi="宋体" w:cs="宋体"/>
          <w:szCs w:val="21"/>
        </w:rPr>
      </w:pPr>
      <w:r>
        <w:rPr>
          <w:rFonts w:hint="eastAsia" w:ascii="宋体" w:hAnsi="宋体" w:cs="宋体"/>
          <w:szCs w:val="21"/>
        </w:rPr>
        <w:t>5.验收时间：</w:t>
      </w:r>
    </w:p>
    <w:p w14:paraId="3262AA4F">
      <w:pPr>
        <w:spacing w:line="360" w:lineRule="auto"/>
        <w:ind w:firstLine="420" w:firstLineChars="200"/>
        <w:rPr>
          <w:rFonts w:hint="eastAsia" w:ascii="宋体" w:hAnsi="宋体" w:cs="宋体"/>
          <w:szCs w:val="21"/>
        </w:rPr>
      </w:pPr>
      <w:r>
        <w:rPr>
          <w:rFonts w:hint="eastAsia" w:ascii="宋体" w:hAnsi="宋体" w:cs="宋体"/>
          <w:szCs w:val="21"/>
        </w:rPr>
        <w:t>5.1、第一次验收：货到并安装集成完成后15个工作日内；</w:t>
      </w:r>
    </w:p>
    <w:p w14:paraId="46693998">
      <w:pPr>
        <w:spacing w:line="360" w:lineRule="auto"/>
        <w:ind w:firstLine="420" w:firstLineChars="200"/>
        <w:rPr>
          <w:rFonts w:hint="eastAsia" w:ascii="宋体" w:hAnsi="宋体" w:cs="宋体"/>
          <w:szCs w:val="21"/>
        </w:rPr>
      </w:pPr>
      <w:r>
        <w:rPr>
          <w:rFonts w:hint="eastAsia" w:ascii="宋体" w:hAnsi="宋体" w:cs="宋体"/>
          <w:szCs w:val="21"/>
        </w:rPr>
        <w:t>5.2、第二次验收：自验收合格之日起1年质保期满后15个工作日内。</w:t>
      </w:r>
    </w:p>
    <w:p w14:paraId="3B60DA09">
      <w:pPr>
        <w:spacing w:line="360" w:lineRule="auto"/>
        <w:rPr>
          <w:rFonts w:ascii="宋体" w:hAnsi="宋体" w:cs="仿宋_GB2312"/>
          <w:sz w:val="22"/>
          <w:szCs w:val="22"/>
        </w:rPr>
      </w:pPr>
      <w:r>
        <w:rPr>
          <w:rFonts w:hint="eastAsia" w:ascii="宋体" w:hAnsi="宋体" w:cs="仿宋_GB2312"/>
          <w:sz w:val="22"/>
          <w:szCs w:val="22"/>
        </w:rPr>
        <w:t>七、售后服务</w:t>
      </w:r>
    </w:p>
    <w:p w14:paraId="5AD0A2A6">
      <w:pPr>
        <w:adjustRightInd w:val="0"/>
        <w:snapToGrid w:val="0"/>
        <w:spacing w:line="360" w:lineRule="auto"/>
        <w:ind w:firstLine="420" w:firstLineChars="200"/>
        <w:rPr>
          <w:rFonts w:hint="eastAsia" w:ascii="宋体" w:hAnsi="宋体" w:cs="宋体"/>
          <w:szCs w:val="21"/>
        </w:rPr>
      </w:pPr>
      <w:bookmarkStart w:id="4" w:name="_Hlk207896899"/>
      <w:r>
        <w:rPr>
          <w:rFonts w:hint="eastAsia" w:ascii="宋体" w:hAnsi="宋体" w:cs="宋体"/>
          <w:szCs w:val="21"/>
        </w:rPr>
        <w:t>1、</w:t>
      </w:r>
      <w:bookmarkStart w:id="5" w:name="_Hlk211332617"/>
      <w:r>
        <w:rPr>
          <w:rFonts w:hint="eastAsia" w:ascii="宋体" w:hAnsi="宋体" w:cs="宋体"/>
          <w:szCs w:val="21"/>
        </w:rPr>
        <w:t>本项目售后服务期：自项目验收合格之日起</w:t>
      </w:r>
      <w:r>
        <w:rPr>
          <w:rFonts w:hint="eastAsia" w:ascii="宋体" w:hAnsi="宋体" w:cs="宋体"/>
          <w:szCs w:val="21"/>
          <w:lang w:val="en-US" w:eastAsia="zh-CN"/>
        </w:rPr>
        <w:t>1</w:t>
      </w:r>
      <w:r>
        <w:rPr>
          <w:rFonts w:hint="eastAsia" w:ascii="宋体" w:hAnsi="宋体" w:cs="宋体"/>
          <w:szCs w:val="21"/>
        </w:rPr>
        <w:t>年</w:t>
      </w:r>
      <w:bookmarkEnd w:id="5"/>
      <w:r>
        <w:rPr>
          <w:rFonts w:hint="eastAsia" w:ascii="宋体" w:hAnsi="宋体" w:cs="宋体"/>
          <w:szCs w:val="21"/>
        </w:rPr>
        <w:t>。</w:t>
      </w:r>
    </w:p>
    <w:p w14:paraId="766C97FC">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售后服务期内，乙方应提供7*24小时的技术支持服务。如果合同设备出现紧急技术问题且甲方通过电话或传真方式通知乙方的情况下，要求乙方在30分钟内予以响应，对于一般故障，提供在线电话支持直至问题解决；对于严重故障（系统无法正常运行或者宕机），在4小时内指派驻场人员抵达问题现场进行解决。对于现场6小时内无法解决的设备故障，将先由乙方安排备机以迅速恢复系统运转，待故障设备修复后再将备机替换下来。</w:t>
      </w:r>
    </w:p>
    <w:p w14:paraId="26F74E3D">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3、在售后服务期内，如果由于乙方的责任，合同设备功能不能达到或者合同设备不能进行正常运行，质保期将按照上述问题持续的时间作相应延长。</w:t>
      </w:r>
    </w:p>
    <w:p w14:paraId="46964F95">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4、在售后服务期内，为了提供合同设备的维护，在收到甲方的书面或电话通知后，乙方应迅速免费（包括免收但不限于免收运费、保险费、包装费用）补充或更换设备中有故障的部件。</w:t>
      </w:r>
    </w:p>
    <w:p w14:paraId="6BD75578">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5、在售后服务期内，乙方将指定1名技术人员作为项目固定支持人员，如果该类人员出现交替乙方须提前一周告知甲方。</w:t>
      </w:r>
    </w:p>
    <w:p w14:paraId="417EF9D9">
      <w:pPr>
        <w:adjustRightInd w:val="0"/>
        <w:snapToGrid w:val="0"/>
        <w:spacing w:line="360" w:lineRule="auto"/>
        <w:ind w:firstLine="420" w:firstLineChars="200"/>
        <w:rPr>
          <w:rFonts w:ascii="宋体" w:hAnsi="宋体" w:cs="宋体"/>
          <w:szCs w:val="21"/>
        </w:rPr>
      </w:pPr>
      <w:r>
        <w:rPr>
          <w:rFonts w:hint="eastAsia" w:ascii="宋体" w:hAnsi="宋体" w:cs="宋体"/>
          <w:szCs w:val="21"/>
        </w:rPr>
        <w:t>6、合同售后服务期满后，如甲方有要求，乙方有义务继续以优惠价格向甲方提供与本合同设备相兼容的性能不低于原部件并能使合同设备正常运行的零部件</w:t>
      </w:r>
      <w:bookmarkEnd w:id="4"/>
      <w:r>
        <w:rPr>
          <w:rFonts w:hint="eastAsia" w:ascii="宋体" w:hAnsi="宋体" w:cs="宋体"/>
          <w:szCs w:val="21"/>
        </w:rPr>
        <w:t>。</w:t>
      </w:r>
    </w:p>
    <w:p w14:paraId="0A6BBCE8">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0030101010101"/>
    <w:charset w:val="86"/>
    <w:family w:val="modern"/>
    <w:pitch w:val="default"/>
    <w:sig w:usb0="00000000" w:usb1="0000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2965DC"/>
    <w:rsid w:val="31296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szCs w:val="20"/>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2025-11-10T00:48:00Z</dcterms:created>
  <dc:creator>顾梦</dc:creator>
  <cp:lastModifiedBy>顾梦</cp:lastModifiedBy>
  <dcterms:modified xsi:type="dcterms:W3CDTF">2025-11-10T00:48:53Z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B2CA161EF7D745BB918265B29F459BC8_11</vt:lpwstr>
  </property>
  <property fmtid="{D5CDD505-2E9C-101B-9397-08002B2CF9AE}" pid="4" name="KSOTemplateDocerSaveRecord">
    <vt:lpwstr>eyJoZGlkIjoiYzY5N2EwYWQ1Yzc3OGE4MmU5ZDI3MWU3OTkyZDM3NGMiLCJ1c2VySWQiOiI0MDQwNzE2MzYifQ==</vt:lpwstr>
  </property>
</Properties>
</file>