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8927">
      <w:pPr>
        <w:pStyle w:val="2"/>
        <w:jc w:val="center"/>
        <w:rPr>
          <w:rFonts w:hint="eastAsia" w:ascii="宋体" w:hAnsi="宋体" w:cs="仿宋_GB2312"/>
          <w:sz w:val="48"/>
          <w:szCs w:val="28"/>
        </w:rPr>
      </w:pPr>
      <w:r>
        <w:rPr>
          <w:rFonts w:hint="eastAsia" w:ascii="宋体" w:hAnsi="宋体" w:cs="仿宋_GB2312"/>
          <w:sz w:val="48"/>
          <w:szCs w:val="28"/>
        </w:rPr>
        <w:t xml:space="preserve"> 技术、服务及其他商务要求</w:t>
      </w:r>
    </w:p>
    <w:p w14:paraId="41E67754">
      <w:pPr>
        <w:rPr>
          <w:rFonts w:hint="eastAsia"/>
        </w:rPr>
      </w:pPr>
      <w:r>
        <w:rPr>
          <w:rFonts w:hint="eastAsia"/>
        </w:rPr>
        <w:t>一、采购内容明细</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5"/>
        <w:gridCol w:w="808"/>
        <w:gridCol w:w="1265"/>
        <w:gridCol w:w="3396"/>
        <w:gridCol w:w="769"/>
        <w:gridCol w:w="769"/>
        <w:gridCol w:w="820"/>
      </w:tblGrid>
      <w:tr w14:paraId="6A64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08" w:type="pct"/>
            <w:noWrap/>
            <w:vAlign w:val="center"/>
          </w:tcPr>
          <w:p w14:paraId="6DA49DD1">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序号</w:t>
            </w:r>
          </w:p>
        </w:tc>
        <w:tc>
          <w:tcPr>
            <w:tcW w:w="474" w:type="pct"/>
            <w:noWrap w:val="0"/>
            <w:vAlign w:val="center"/>
          </w:tcPr>
          <w:p w14:paraId="33605A54">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类别</w:t>
            </w:r>
          </w:p>
        </w:tc>
        <w:tc>
          <w:tcPr>
            <w:tcW w:w="742" w:type="pct"/>
            <w:noWrap w:val="0"/>
            <w:vAlign w:val="center"/>
          </w:tcPr>
          <w:p w14:paraId="61508B63">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型号</w:t>
            </w:r>
          </w:p>
        </w:tc>
        <w:tc>
          <w:tcPr>
            <w:tcW w:w="1992" w:type="pct"/>
            <w:noWrap w:val="0"/>
            <w:vAlign w:val="center"/>
          </w:tcPr>
          <w:p w14:paraId="7322B413">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主要参数</w:t>
            </w:r>
          </w:p>
        </w:tc>
        <w:tc>
          <w:tcPr>
            <w:tcW w:w="451" w:type="pct"/>
            <w:noWrap w:val="0"/>
            <w:vAlign w:val="center"/>
          </w:tcPr>
          <w:p w14:paraId="2DB62D85">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数量</w:t>
            </w:r>
          </w:p>
        </w:tc>
        <w:tc>
          <w:tcPr>
            <w:tcW w:w="451" w:type="pct"/>
            <w:noWrap w:val="0"/>
            <w:vAlign w:val="center"/>
          </w:tcPr>
          <w:p w14:paraId="556913DC">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单位</w:t>
            </w:r>
          </w:p>
        </w:tc>
        <w:tc>
          <w:tcPr>
            <w:tcW w:w="481" w:type="pct"/>
            <w:noWrap w:val="0"/>
            <w:vAlign w:val="top"/>
          </w:tcPr>
          <w:p w14:paraId="6CCBBFF4">
            <w:pPr>
              <w:widowControl/>
              <w:jc w:val="center"/>
              <w:textAlignment w:val="center"/>
              <w:rPr>
                <w:rFonts w:hint="eastAsia" w:ascii="宋体" w:hAnsi="宋体" w:cs="仿宋"/>
                <w:color w:val="000000"/>
                <w:kern w:val="0"/>
                <w:sz w:val="22"/>
                <w:szCs w:val="22"/>
                <w:lang w:bidi="ar"/>
              </w:rPr>
            </w:pPr>
            <w:r>
              <w:rPr>
                <w:rFonts w:hint="eastAsia" w:ascii="宋体" w:hAnsi="宋体" w:cs="仿宋"/>
                <w:color w:val="000000"/>
                <w:kern w:val="0"/>
                <w:sz w:val="22"/>
                <w:szCs w:val="22"/>
                <w:lang w:bidi="ar"/>
              </w:rPr>
              <w:t>备注</w:t>
            </w:r>
          </w:p>
        </w:tc>
      </w:tr>
      <w:tr w14:paraId="5A2D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trPr>
        <w:tc>
          <w:tcPr>
            <w:tcW w:w="408" w:type="pct"/>
            <w:noWrap/>
            <w:vAlign w:val="center"/>
          </w:tcPr>
          <w:p w14:paraId="01D9AC3C">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1</w:t>
            </w:r>
          </w:p>
        </w:tc>
        <w:tc>
          <w:tcPr>
            <w:tcW w:w="474" w:type="pct"/>
            <w:noWrap w:val="0"/>
            <w:vAlign w:val="center"/>
          </w:tcPr>
          <w:p w14:paraId="66E44AC2">
            <w:pPr>
              <w:widowControl/>
              <w:jc w:val="left"/>
              <w:textAlignment w:val="center"/>
              <w:rPr>
                <w:rFonts w:hint="eastAsia" w:ascii="宋体" w:hAnsi="宋体" w:cs="仿宋"/>
                <w:color w:val="000000"/>
                <w:sz w:val="22"/>
                <w:szCs w:val="22"/>
              </w:rPr>
            </w:pPr>
            <w:r>
              <w:rPr>
                <w:rFonts w:hint="eastAsia" w:ascii="宋体" w:hAnsi="宋体" w:cs="仿宋"/>
                <w:color w:val="000000"/>
                <w:sz w:val="22"/>
                <w:szCs w:val="22"/>
              </w:rPr>
              <w:t>电脑工作站</w:t>
            </w:r>
          </w:p>
        </w:tc>
        <w:tc>
          <w:tcPr>
            <w:tcW w:w="742" w:type="pct"/>
            <w:noWrap w:val="0"/>
            <w:vAlign w:val="center"/>
          </w:tcPr>
          <w:p w14:paraId="6C9E9D29">
            <w:pPr>
              <w:widowControl/>
              <w:jc w:val="left"/>
              <w:textAlignment w:val="center"/>
              <w:rPr>
                <w:rFonts w:hint="eastAsia" w:ascii="宋体" w:hAnsi="宋体" w:cs="仿宋"/>
                <w:color w:val="000000"/>
                <w:sz w:val="22"/>
                <w:szCs w:val="22"/>
              </w:rPr>
            </w:pPr>
            <w:r>
              <w:rPr>
                <w:rFonts w:hint="eastAsia" w:ascii="宋体" w:hAnsi="宋体" w:cs="仿宋"/>
                <w:color w:val="000000"/>
                <w:sz w:val="22"/>
                <w:szCs w:val="22"/>
              </w:rPr>
              <w:t>联想P3</w:t>
            </w:r>
          </w:p>
        </w:tc>
        <w:tc>
          <w:tcPr>
            <w:tcW w:w="1992" w:type="pct"/>
            <w:noWrap w:val="0"/>
            <w:vAlign w:val="center"/>
          </w:tcPr>
          <w:p w14:paraId="2189483A">
            <w:pPr>
              <w:widowControl/>
              <w:jc w:val="left"/>
              <w:textAlignment w:val="center"/>
              <w:rPr>
                <w:rFonts w:hint="eastAsia" w:ascii="宋体" w:hAnsi="宋体" w:cs="仿宋"/>
                <w:color w:val="000000"/>
                <w:sz w:val="22"/>
                <w:szCs w:val="22"/>
              </w:rPr>
            </w:pPr>
            <w:r>
              <w:rPr>
                <w:rFonts w:hint="eastAsia" w:ascii="宋体" w:hAnsi="宋体" w:cs="仿宋"/>
                <w:color w:val="000000"/>
                <w:sz w:val="22"/>
                <w:szCs w:val="22"/>
              </w:rPr>
              <w:t>CPU处理器i9-14900K;内存32G*2;显卡GeForce RTX 4080SUPER;硬盘:硬盘容量5TB(固态硬盘 NVMe协议 M.2 1TB、机械硬盘HDD4T)</w:t>
            </w:r>
          </w:p>
        </w:tc>
        <w:tc>
          <w:tcPr>
            <w:tcW w:w="451" w:type="pct"/>
            <w:noWrap w:val="0"/>
            <w:vAlign w:val="center"/>
          </w:tcPr>
          <w:p w14:paraId="49718F7B">
            <w:pPr>
              <w:widowControl/>
              <w:ind w:firstLine="220" w:firstLineChars="100"/>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5</w:t>
            </w:r>
          </w:p>
        </w:tc>
        <w:tc>
          <w:tcPr>
            <w:tcW w:w="451" w:type="pct"/>
            <w:noWrap w:val="0"/>
            <w:vAlign w:val="center"/>
          </w:tcPr>
          <w:p w14:paraId="638E05CF">
            <w:pPr>
              <w:jc w:val="center"/>
              <w:rPr>
                <w:rFonts w:hint="eastAsia" w:ascii="宋体" w:hAnsi="宋体" w:cs="仿宋"/>
                <w:color w:val="000000"/>
                <w:sz w:val="22"/>
                <w:szCs w:val="22"/>
              </w:rPr>
            </w:pPr>
            <w:r>
              <w:rPr>
                <w:rFonts w:hint="eastAsia" w:ascii="宋体" w:hAnsi="宋体" w:cs="仿宋"/>
                <w:color w:val="000000"/>
                <w:sz w:val="22"/>
                <w:szCs w:val="22"/>
              </w:rPr>
              <w:t>台</w:t>
            </w:r>
          </w:p>
        </w:tc>
        <w:tc>
          <w:tcPr>
            <w:tcW w:w="481" w:type="pct"/>
            <w:vMerge w:val="restart"/>
            <w:noWrap w:val="0"/>
            <w:vAlign w:val="center"/>
          </w:tcPr>
          <w:p w14:paraId="1EDF484F">
            <w:pPr>
              <w:jc w:val="center"/>
              <w:rPr>
                <w:rFonts w:hint="eastAsia" w:ascii="宋体" w:hAnsi="宋体" w:cs="仿宋"/>
                <w:color w:val="000000"/>
                <w:sz w:val="22"/>
                <w:szCs w:val="22"/>
              </w:rPr>
            </w:pPr>
            <w:r>
              <w:rPr>
                <w:rFonts w:hint="eastAsia" w:ascii="宋体" w:hAnsi="宋体" w:cs="仿宋"/>
                <w:color w:val="000000"/>
                <w:sz w:val="22"/>
                <w:szCs w:val="22"/>
              </w:rPr>
              <w:t>3年质保及售后服务</w:t>
            </w:r>
          </w:p>
        </w:tc>
      </w:tr>
      <w:tr w14:paraId="73C7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408" w:type="pct"/>
            <w:noWrap/>
            <w:vAlign w:val="center"/>
          </w:tcPr>
          <w:p w14:paraId="3A19D2B0">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2</w:t>
            </w:r>
          </w:p>
        </w:tc>
        <w:tc>
          <w:tcPr>
            <w:tcW w:w="474" w:type="pct"/>
            <w:noWrap w:val="0"/>
            <w:vAlign w:val="center"/>
          </w:tcPr>
          <w:p w14:paraId="03A3DA34">
            <w:pPr>
              <w:widowControl/>
              <w:jc w:val="left"/>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电脑显示器</w:t>
            </w:r>
          </w:p>
        </w:tc>
        <w:tc>
          <w:tcPr>
            <w:tcW w:w="742" w:type="pct"/>
            <w:noWrap w:val="0"/>
            <w:vAlign w:val="center"/>
          </w:tcPr>
          <w:p w14:paraId="5ADEF9C9">
            <w:pPr>
              <w:widowControl/>
              <w:jc w:val="left"/>
              <w:textAlignment w:val="center"/>
              <w:rPr>
                <w:rFonts w:hint="eastAsia" w:ascii="宋体" w:hAnsi="宋体" w:cs="仿宋"/>
                <w:color w:val="000000"/>
                <w:sz w:val="22"/>
                <w:szCs w:val="22"/>
              </w:rPr>
            </w:pPr>
            <w:r>
              <w:rPr>
                <w:rFonts w:hint="eastAsia" w:ascii="宋体" w:hAnsi="宋体" w:cs="仿宋"/>
                <w:color w:val="000000"/>
                <w:sz w:val="22"/>
                <w:szCs w:val="22"/>
              </w:rPr>
              <w:t>飞利浦34m2c5500</w:t>
            </w:r>
          </w:p>
        </w:tc>
        <w:tc>
          <w:tcPr>
            <w:tcW w:w="1992" w:type="pct"/>
            <w:noWrap w:val="0"/>
            <w:vAlign w:val="center"/>
          </w:tcPr>
          <w:p w14:paraId="21AA3A61">
            <w:pPr>
              <w:widowControl/>
              <w:jc w:val="left"/>
              <w:textAlignment w:val="center"/>
              <w:rPr>
                <w:rFonts w:hint="eastAsia" w:ascii="宋体" w:hAnsi="宋体" w:cs="仿宋"/>
                <w:color w:val="000000"/>
                <w:sz w:val="22"/>
                <w:szCs w:val="22"/>
              </w:rPr>
            </w:pPr>
            <w:r>
              <w:rPr>
                <w:rFonts w:hint="eastAsia" w:ascii="宋体" w:hAnsi="宋体" w:cs="仿宋"/>
                <w:color w:val="000000"/>
                <w:sz w:val="22"/>
                <w:szCs w:val="22"/>
              </w:rPr>
              <w:t>显示器34英寸曲面屏WQHD分屏HDR400，曲率1500R，刷新率180Hz，内置音箱，自带USB扩展、HDMI等接口;</w:t>
            </w:r>
          </w:p>
        </w:tc>
        <w:tc>
          <w:tcPr>
            <w:tcW w:w="451" w:type="pct"/>
            <w:noWrap w:val="0"/>
            <w:vAlign w:val="center"/>
          </w:tcPr>
          <w:p w14:paraId="15F1E2A6">
            <w:pPr>
              <w:widowControl/>
              <w:ind w:firstLine="220" w:firstLineChars="100"/>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5</w:t>
            </w:r>
          </w:p>
        </w:tc>
        <w:tc>
          <w:tcPr>
            <w:tcW w:w="451" w:type="pct"/>
            <w:noWrap w:val="0"/>
            <w:vAlign w:val="center"/>
          </w:tcPr>
          <w:p w14:paraId="33DD0956">
            <w:pPr>
              <w:jc w:val="center"/>
              <w:rPr>
                <w:rFonts w:hint="eastAsia" w:ascii="宋体" w:hAnsi="宋体" w:cs="仿宋"/>
                <w:color w:val="000000"/>
                <w:sz w:val="22"/>
                <w:szCs w:val="22"/>
              </w:rPr>
            </w:pPr>
            <w:r>
              <w:rPr>
                <w:rFonts w:hint="eastAsia" w:ascii="宋体" w:hAnsi="宋体" w:cs="仿宋"/>
                <w:color w:val="000000"/>
                <w:sz w:val="22"/>
                <w:szCs w:val="22"/>
              </w:rPr>
              <w:t>台</w:t>
            </w:r>
          </w:p>
        </w:tc>
        <w:tc>
          <w:tcPr>
            <w:tcW w:w="481" w:type="pct"/>
            <w:vMerge w:val="continue"/>
            <w:noWrap w:val="0"/>
            <w:vAlign w:val="center"/>
          </w:tcPr>
          <w:p w14:paraId="57501295">
            <w:pPr>
              <w:jc w:val="center"/>
              <w:rPr>
                <w:rFonts w:hint="eastAsia" w:ascii="宋体" w:hAnsi="宋体" w:cs="仿宋"/>
                <w:color w:val="000000"/>
                <w:sz w:val="22"/>
                <w:szCs w:val="22"/>
              </w:rPr>
            </w:pPr>
          </w:p>
        </w:tc>
      </w:tr>
    </w:tbl>
    <w:p w14:paraId="03201C71">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03B92374">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33A358AE">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63485DA6">
      <w:pPr>
        <w:adjustRightInd w:val="0"/>
        <w:snapToGrid w:val="0"/>
        <w:spacing w:line="360" w:lineRule="auto"/>
        <w:ind w:firstLine="440" w:firstLineChars="200"/>
        <w:rPr>
          <w:rFonts w:hint="eastAsia" w:ascii="宋体" w:hAnsi="宋体" w:cs="仿宋_GB2312"/>
          <w:sz w:val="22"/>
          <w:szCs w:val="22"/>
        </w:rPr>
      </w:pPr>
      <w:bookmarkStart w:id="0" w:name="_Hlk213058808"/>
      <w:bookmarkStart w:id="1" w:name="_Hlk195607267"/>
      <w:r>
        <w:rPr>
          <w:rFonts w:hint="eastAsia" w:ascii="宋体" w:hAnsi="宋体" w:cs="仿宋_GB2312"/>
          <w:sz w:val="22"/>
          <w:szCs w:val="22"/>
        </w:rPr>
        <w:t>设备到货且安装完成后，经双方验收合格后30个工作日内，甲方向乙方支付合同总价款的97%；剩余3%尾款自验收之日起一年后进行支付。乙方根据甲方要求向甲方开具合同全额与税法要求对应税率的增值税一般纳税人专用发票</w:t>
      </w:r>
      <w:bookmarkEnd w:id="0"/>
      <w:r>
        <w:rPr>
          <w:rFonts w:hint="eastAsia" w:ascii="宋体" w:hAnsi="宋体" w:cs="仿宋_GB2312"/>
          <w:sz w:val="22"/>
          <w:szCs w:val="22"/>
        </w:rPr>
        <w:t>。</w:t>
      </w:r>
    </w:p>
    <w:bookmarkEnd w:id="1"/>
    <w:p w14:paraId="55246721">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0AD1F8FF">
      <w:pPr>
        <w:spacing w:line="360" w:lineRule="auto"/>
        <w:ind w:firstLine="420" w:firstLineChars="200"/>
        <w:rPr>
          <w:rFonts w:hint="eastAsia" w:ascii="宋体" w:hAnsi="宋体" w:cs="宋体"/>
          <w:szCs w:val="21"/>
        </w:rPr>
      </w:pPr>
      <w:bookmarkStart w:id="2" w:name="_Hlk195607323"/>
      <w:r>
        <w:rPr>
          <w:rFonts w:hint="eastAsia" w:ascii="宋体" w:hAnsi="宋体" w:cs="宋体"/>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3DEB8D03">
      <w:pPr>
        <w:spacing w:line="360" w:lineRule="auto"/>
        <w:ind w:firstLine="420" w:firstLineChars="200"/>
        <w:rPr>
          <w:rFonts w:hint="eastAsia" w:ascii="宋体" w:hAnsi="宋体" w:cs="宋体"/>
          <w:szCs w:val="21"/>
        </w:rPr>
      </w:pPr>
      <w:r>
        <w:rPr>
          <w:rFonts w:hint="eastAsia" w:ascii="宋体" w:hAnsi="宋体" w:cs="宋体"/>
          <w:szCs w:val="21"/>
        </w:rPr>
        <w:t>2.供应商提供给我方的本项目下的所有设备均应通过工厂严格测试和检验，设备必须是全新的，不存在质量问题或二次销售情形。</w:t>
      </w:r>
    </w:p>
    <w:p w14:paraId="3B270EA8">
      <w:pPr>
        <w:spacing w:line="360" w:lineRule="auto"/>
        <w:ind w:firstLine="420" w:firstLineChars="200"/>
        <w:rPr>
          <w:rFonts w:hint="eastAsia" w:ascii="宋体" w:hAnsi="宋体" w:cs="宋体"/>
          <w:szCs w:val="21"/>
        </w:rPr>
      </w:pPr>
      <w:r>
        <w:rPr>
          <w:rFonts w:hint="eastAsia" w:ascii="宋体" w:hAnsi="宋体" w:cs="宋体"/>
          <w:szCs w:val="21"/>
        </w:rPr>
        <w:t>3.供应商需在服务期内配合我方完成操作系统升级，软件兼容性适配工作，保证项目顺利进行。</w:t>
      </w:r>
    </w:p>
    <w:bookmarkEnd w:id="2"/>
    <w:p w14:paraId="57730882">
      <w:pPr>
        <w:spacing w:line="360" w:lineRule="auto"/>
        <w:rPr>
          <w:rFonts w:ascii="宋体" w:hAnsi="宋体" w:cs="仿宋_GB2312"/>
          <w:sz w:val="22"/>
          <w:szCs w:val="22"/>
        </w:rPr>
      </w:pPr>
      <w:r>
        <w:rPr>
          <w:rFonts w:hint="eastAsia" w:ascii="宋体" w:hAnsi="宋体" w:cs="仿宋_GB2312"/>
          <w:sz w:val="22"/>
          <w:szCs w:val="22"/>
        </w:rPr>
        <w:t>六、</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7C48E8B4">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13B7FC29">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7053F027">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573B4FB5">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4" w:name="_Hlk207965450"/>
      <w:r>
        <w:rPr>
          <w:rFonts w:hint="eastAsia" w:ascii="宋体" w:hAnsi="宋体" w:cs="宋体"/>
          <w:szCs w:val="21"/>
        </w:rPr>
        <w:t>自验收合格之日起1年质保期满</w:t>
      </w:r>
      <w:bookmarkEnd w:id="4"/>
      <w:r>
        <w:rPr>
          <w:rFonts w:hint="eastAsia" w:ascii="宋体" w:hAnsi="宋体" w:cs="宋体"/>
          <w:szCs w:val="21"/>
        </w:rPr>
        <w:t>；</w:t>
      </w:r>
    </w:p>
    <w:p w14:paraId="328D2456">
      <w:pPr>
        <w:spacing w:line="360" w:lineRule="auto"/>
        <w:ind w:firstLine="420" w:firstLineChars="200"/>
        <w:rPr>
          <w:rFonts w:ascii="宋体" w:hAnsi="宋体" w:cs="宋体"/>
          <w:szCs w:val="21"/>
        </w:rPr>
      </w:pPr>
      <w:r>
        <w:rPr>
          <w:rFonts w:hint="eastAsia" w:ascii="宋体" w:hAnsi="宋体" w:cs="宋体"/>
          <w:szCs w:val="21"/>
        </w:rPr>
        <w:t>3.验收内容：</w:t>
      </w:r>
    </w:p>
    <w:p w14:paraId="6F18891C">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404FD29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1DEFE826">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EA3285D">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117D9DB3">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434488B9">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45E3BDB2">
      <w:pPr>
        <w:spacing w:line="360" w:lineRule="auto"/>
        <w:ind w:firstLine="420" w:firstLineChars="200"/>
        <w:rPr>
          <w:rFonts w:ascii="宋体" w:hAnsi="宋体" w:cs="宋体"/>
          <w:szCs w:val="21"/>
        </w:rPr>
      </w:pPr>
      <w:r>
        <w:rPr>
          <w:rFonts w:hint="eastAsia" w:ascii="宋体" w:hAnsi="宋体" w:cs="宋体"/>
          <w:szCs w:val="21"/>
        </w:rPr>
        <w:t>5.验收时间：</w:t>
      </w:r>
    </w:p>
    <w:p w14:paraId="75FBFA7C">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0E4B7B3">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06E1BDD8">
      <w:pPr>
        <w:spacing w:line="360" w:lineRule="auto"/>
        <w:rPr>
          <w:rFonts w:ascii="宋体" w:hAnsi="宋体" w:cs="仿宋_GB2312"/>
          <w:sz w:val="22"/>
          <w:szCs w:val="22"/>
        </w:rPr>
      </w:pPr>
      <w:r>
        <w:rPr>
          <w:rFonts w:hint="eastAsia" w:ascii="宋体" w:hAnsi="宋体" w:cs="仿宋_GB2312"/>
          <w:sz w:val="22"/>
          <w:szCs w:val="22"/>
        </w:rPr>
        <w:t>七、售后服务</w:t>
      </w:r>
    </w:p>
    <w:p w14:paraId="0932FBBA">
      <w:pPr>
        <w:adjustRightInd w:val="0"/>
        <w:snapToGrid w:val="0"/>
        <w:spacing w:line="360" w:lineRule="auto"/>
        <w:ind w:firstLine="420" w:firstLineChars="200"/>
        <w:rPr>
          <w:rFonts w:hint="eastAsia" w:ascii="宋体" w:hAnsi="宋体" w:cs="宋体"/>
          <w:szCs w:val="21"/>
        </w:rPr>
      </w:pPr>
      <w:bookmarkStart w:id="5" w:name="_Hlk207896899"/>
      <w:r>
        <w:rPr>
          <w:rFonts w:hint="eastAsia" w:ascii="宋体" w:hAnsi="宋体" w:cs="宋体"/>
          <w:szCs w:val="21"/>
        </w:rPr>
        <w:t>1、</w:t>
      </w:r>
      <w:bookmarkStart w:id="6" w:name="_Hlk211332617"/>
      <w:r>
        <w:rPr>
          <w:rFonts w:hint="eastAsia" w:ascii="宋体" w:hAnsi="宋体" w:cs="宋体"/>
          <w:szCs w:val="21"/>
        </w:rPr>
        <w:t>本项目售后服务期：自项目验收合格之日起3年</w:t>
      </w:r>
      <w:bookmarkEnd w:id="6"/>
      <w:r>
        <w:rPr>
          <w:rFonts w:hint="eastAsia" w:ascii="宋体" w:hAnsi="宋体" w:cs="宋体"/>
          <w:szCs w:val="21"/>
        </w:rPr>
        <w:t>。</w:t>
      </w:r>
    </w:p>
    <w:p w14:paraId="5E3E3E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0D9BA3E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3CF965B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74FE05F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2B0F2DBC">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5"/>
      <w:r>
        <w:rPr>
          <w:rFonts w:hint="eastAsia" w:ascii="宋体" w:hAnsi="宋体" w:cs="宋体"/>
          <w:szCs w:val="21"/>
        </w:rPr>
        <w:t>。</w:t>
      </w:r>
    </w:p>
    <w:p w14:paraId="0893A2DE">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C1CE1"/>
    <w:rsid w:val="46EC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2025-11-04T09:06:00Z</dcterms:created>
  <dc:creator>顾梦</dc:creator>
  <cp:lastModifiedBy>顾梦</cp:lastModifiedBy>
  <dcterms:modified xsi:type="dcterms:W3CDTF">2025-11-04T09:07:13Z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59AB74CFD22E4C50915B9A1FCF50D431_11</vt:lpwstr>
  </property>
  <property fmtid="{D5CDD505-2E9C-101B-9397-08002B2CF9AE}" pid="4" name="KSOTemplateDocerSaveRecord">
    <vt:lpwstr>eyJoZGlkIjoiYzY5N2EwYWQ1Yzc3OGE4MmU5ZDI3MWU3OTkyZDM3NGMiLCJ1c2VySWQiOiI0MDQwNzE2MzYifQ==</vt:lpwstr>
  </property>
</Properties>
</file>