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D51AD">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7620C3CF">
      <w:r>
        <w:rPr>
          <w:rFonts w:hint="eastAsia"/>
        </w:rPr>
        <w:t>一、采购内容明细</w:t>
      </w:r>
    </w:p>
    <w:tbl>
      <w:tblPr>
        <w:tblStyle w:val="3"/>
        <w:tblW w:w="5000" w:type="pct"/>
        <w:tblInd w:w="0" w:type="dxa"/>
        <w:tblLayout w:type="autofit"/>
        <w:tblCellMar>
          <w:top w:w="0" w:type="dxa"/>
          <w:left w:w="108" w:type="dxa"/>
          <w:bottom w:w="0" w:type="dxa"/>
          <w:right w:w="108" w:type="dxa"/>
        </w:tblCellMar>
      </w:tblPr>
      <w:tblGrid>
        <w:gridCol w:w="1263"/>
        <w:gridCol w:w="2434"/>
        <w:gridCol w:w="1685"/>
        <w:gridCol w:w="2668"/>
        <w:gridCol w:w="1406"/>
      </w:tblGrid>
      <w:tr w14:paraId="0E609978">
        <w:tblPrEx>
          <w:tblCellMar>
            <w:top w:w="0" w:type="dxa"/>
            <w:left w:w="108" w:type="dxa"/>
            <w:bottom w:w="0" w:type="dxa"/>
            <w:right w:w="108" w:type="dxa"/>
          </w:tblCellMar>
        </w:tblPrEx>
        <w:trPr>
          <w:trHeight w:val="570" w:hRule="atLeast"/>
        </w:trPr>
        <w:tc>
          <w:tcPr>
            <w:tcW w:w="668" w:type="pct"/>
            <w:tcBorders>
              <w:top w:val="single" w:color="auto" w:sz="4" w:space="0"/>
              <w:left w:val="single" w:color="auto" w:sz="4" w:space="0"/>
              <w:bottom w:val="single" w:color="auto" w:sz="4" w:space="0"/>
              <w:right w:val="single" w:color="auto" w:sz="4" w:space="0"/>
            </w:tcBorders>
            <w:noWrap/>
            <w:vAlign w:val="center"/>
          </w:tcPr>
          <w:p w14:paraId="6F6E4E6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地市</w:t>
            </w:r>
          </w:p>
        </w:tc>
        <w:tc>
          <w:tcPr>
            <w:tcW w:w="1287" w:type="pct"/>
            <w:tcBorders>
              <w:top w:val="single" w:color="auto" w:sz="4" w:space="0"/>
              <w:left w:val="nil"/>
              <w:bottom w:val="single" w:color="auto" w:sz="4" w:space="0"/>
              <w:right w:val="single" w:color="auto" w:sz="4" w:space="0"/>
            </w:tcBorders>
            <w:noWrap/>
            <w:vAlign w:val="center"/>
          </w:tcPr>
          <w:p w14:paraId="3EB6EC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维保内容</w:t>
            </w:r>
          </w:p>
        </w:tc>
        <w:tc>
          <w:tcPr>
            <w:tcW w:w="891" w:type="pct"/>
            <w:tcBorders>
              <w:top w:val="single" w:color="auto" w:sz="4" w:space="0"/>
              <w:left w:val="nil"/>
              <w:bottom w:val="single" w:color="auto" w:sz="4" w:space="0"/>
              <w:right w:val="single" w:color="auto" w:sz="4" w:space="0"/>
            </w:tcBorders>
            <w:noWrap/>
            <w:vAlign w:val="center"/>
          </w:tcPr>
          <w:p w14:paraId="154C371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品牌</w:t>
            </w:r>
          </w:p>
        </w:tc>
        <w:tc>
          <w:tcPr>
            <w:tcW w:w="1411" w:type="pct"/>
            <w:tcBorders>
              <w:top w:val="single" w:color="auto" w:sz="4" w:space="0"/>
              <w:left w:val="nil"/>
              <w:bottom w:val="single" w:color="auto" w:sz="4" w:space="0"/>
              <w:right w:val="single" w:color="auto" w:sz="4" w:space="0"/>
            </w:tcBorders>
            <w:noWrap/>
            <w:vAlign w:val="center"/>
          </w:tcPr>
          <w:p w14:paraId="5D0BC1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型号</w:t>
            </w:r>
          </w:p>
        </w:tc>
        <w:tc>
          <w:tcPr>
            <w:tcW w:w="743" w:type="pct"/>
            <w:tcBorders>
              <w:top w:val="single" w:color="auto" w:sz="4" w:space="0"/>
              <w:left w:val="nil"/>
              <w:bottom w:val="single" w:color="auto" w:sz="4" w:space="0"/>
              <w:right w:val="single" w:color="auto" w:sz="4" w:space="0"/>
            </w:tcBorders>
            <w:noWrap/>
            <w:vAlign w:val="center"/>
          </w:tcPr>
          <w:p w14:paraId="78F723F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r>
      <w:tr w14:paraId="18920A0F">
        <w:tblPrEx>
          <w:tblCellMar>
            <w:top w:w="0" w:type="dxa"/>
            <w:left w:w="108" w:type="dxa"/>
            <w:bottom w:w="0" w:type="dxa"/>
            <w:right w:w="108" w:type="dxa"/>
          </w:tblCellMar>
        </w:tblPrEx>
        <w:trPr>
          <w:trHeight w:val="285" w:hRule="atLeast"/>
        </w:trPr>
        <w:tc>
          <w:tcPr>
            <w:tcW w:w="668" w:type="pct"/>
            <w:tcBorders>
              <w:top w:val="nil"/>
              <w:left w:val="single" w:color="auto" w:sz="4" w:space="0"/>
              <w:bottom w:val="single" w:color="auto" w:sz="4" w:space="0"/>
              <w:right w:val="single" w:color="auto" w:sz="4" w:space="0"/>
            </w:tcBorders>
            <w:noWrap/>
            <w:vAlign w:val="center"/>
          </w:tcPr>
          <w:p w14:paraId="5C24FA5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省局</w:t>
            </w:r>
          </w:p>
        </w:tc>
        <w:tc>
          <w:tcPr>
            <w:tcW w:w="1287" w:type="pct"/>
            <w:tcBorders>
              <w:top w:val="nil"/>
              <w:left w:val="nil"/>
              <w:bottom w:val="single" w:color="auto" w:sz="4" w:space="0"/>
              <w:right w:val="single" w:color="auto" w:sz="4" w:space="0"/>
            </w:tcBorders>
            <w:noWrap/>
            <w:vAlign w:val="center"/>
          </w:tcPr>
          <w:p w14:paraId="4E8B1D3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UPS电源</w:t>
            </w:r>
          </w:p>
        </w:tc>
        <w:tc>
          <w:tcPr>
            <w:tcW w:w="891" w:type="pct"/>
            <w:tcBorders>
              <w:top w:val="nil"/>
              <w:left w:val="nil"/>
              <w:bottom w:val="single" w:color="auto" w:sz="4" w:space="0"/>
              <w:right w:val="single" w:color="auto" w:sz="4" w:space="0"/>
            </w:tcBorders>
            <w:noWrap/>
            <w:vAlign w:val="center"/>
          </w:tcPr>
          <w:p w14:paraId="257BBBB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维谛</w:t>
            </w:r>
          </w:p>
        </w:tc>
        <w:tc>
          <w:tcPr>
            <w:tcW w:w="1411" w:type="pct"/>
            <w:tcBorders>
              <w:top w:val="nil"/>
              <w:left w:val="nil"/>
              <w:bottom w:val="single" w:color="auto" w:sz="4" w:space="0"/>
              <w:right w:val="single" w:color="auto" w:sz="4" w:space="0"/>
            </w:tcBorders>
            <w:noWrap/>
            <w:vAlign w:val="center"/>
          </w:tcPr>
          <w:p w14:paraId="3F94988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EXM100</w:t>
            </w:r>
          </w:p>
        </w:tc>
        <w:tc>
          <w:tcPr>
            <w:tcW w:w="743" w:type="pct"/>
            <w:tcBorders>
              <w:top w:val="nil"/>
              <w:left w:val="nil"/>
              <w:bottom w:val="single" w:color="auto" w:sz="4" w:space="0"/>
              <w:right w:val="single" w:color="auto" w:sz="4" w:space="0"/>
            </w:tcBorders>
            <w:noWrap/>
            <w:vAlign w:val="center"/>
          </w:tcPr>
          <w:p w14:paraId="7FE2DC5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01A3F1A7">
        <w:tblPrEx>
          <w:tblCellMar>
            <w:top w:w="0" w:type="dxa"/>
            <w:left w:w="108" w:type="dxa"/>
            <w:bottom w:w="0" w:type="dxa"/>
            <w:right w:w="108" w:type="dxa"/>
          </w:tblCellMar>
        </w:tblPrEx>
        <w:trPr>
          <w:trHeight w:val="570" w:hRule="atLeast"/>
        </w:trPr>
        <w:tc>
          <w:tcPr>
            <w:tcW w:w="668" w:type="pct"/>
            <w:tcBorders>
              <w:top w:val="nil"/>
              <w:left w:val="single" w:color="auto" w:sz="4" w:space="0"/>
              <w:bottom w:val="single" w:color="auto" w:sz="4" w:space="0"/>
              <w:right w:val="single" w:color="auto" w:sz="4" w:space="0"/>
            </w:tcBorders>
            <w:noWrap/>
            <w:vAlign w:val="center"/>
          </w:tcPr>
          <w:p w14:paraId="1D3B81E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武汉</w:t>
            </w:r>
          </w:p>
        </w:tc>
        <w:tc>
          <w:tcPr>
            <w:tcW w:w="1287" w:type="pct"/>
            <w:tcBorders>
              <w:top w:val="nil"/>
              <w:left w:val="nil"/>
              <w:bottom w:val="single" w:color="auto" w:sz="4" w:space="0"/>
              <w:right w:val="single" w:color="auto" w:sz="4" w:space="0"/>
            </w:tcBorders>
            <w:noWrap w:val="0"/>
            <w:vAlign w:val="center"/>
          </w:tcPr>
          <w:p w14:paraId="679B55A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UPS电源（频率为一月一次）</w:t>
            </w:r>
          </w:p>
        </w:tc>
        <w:tc>
          <w:tcPr>
            <w:tcW w:w="891" w:type="pct"/>
            <w:tcBorders>
              <w:top w:val="nil"/>
              <w:left w:val="nil"/>
              <w:bottom w:val="single" w:color="auto" w:sz="4" w:space="0"/>
              <w:right w:val="single" w:color="auto" w:sz="4" w:space="0"/>
            </w:tcBorders>
            <w:noWrap/>
            <w:vAlign w:val="center"/>
          </w:tcPr>
          <w:p w14:paraId="716CB42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EATON</w:t>
            </w:r>
          </w:p>
        </w:tc>
        <w:tc>
          <w:tcPr>
            <w:tcW w:w="1411" w:type="pct"/>
            <w:tcBorders>
              <w:top w:val="nil"/>
              <w:left w:val="nil"/>
              <w:bottom w:val="single" w:color="auto" w:sz="4" w:space="0"/>
              <w:right w:val="single" w:color="auto" w:sz="4" w:space="0"/>
            </w:tcBorders>
            <w:noWrap/>
            <w:vAlign w:val="center"/>
          </w:tcPr>
          <w:p w14:paraId="57CE44B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160KW</w:t>
            </w:r>
          </w:p>
        </w:tc>
        <w:tc>
          <w:tcPr>
            <w:tcW w:w="743" w:type="pct"/>
            <w:tcBorders>
              <w:top w:val="nil"/>
              <w:left w:val="nil"/>
              <w:bottom w:val="single" w:color="auto" w:sz="4" w:space="0"/>
              <w:right w:val="single" w:color="auto" w:sz="4" w:space="0"/>
            </w:tcBorders>
            <w:noWrap/>
            <w:vAlign w:val="center"/>
          </w:tcPr>
          <w:p w14:paraId="5C63716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r>
      <w:tr w14:paraId="3DE1E80A">
        <w:tblPrEx>
          <w:tblCellMar>
            <w:top w:w="0" w:type="dxa"/>
            <w:left w:w="108" w:type="dxa"/>
            <w:bottom w:w="0" w:type="dxa"/>
            <w:right w:w="108" w:type="dxa"/>
          </w:tblCellMar>
        </w:tblPrEx>
        <w:trPr>
          <w:trHeight w:val="285" w:hRule="atLeast"/>
        </w:trPr>
        <w:tc>
          <w:tcPr>
            <w:tcW w:w="668" w:type="pct"/>
            <w:vMerge w:val="restart"/>
            <w:tcBorders>
              <w:top w:val="nil"/>
              <w:left w:val="single" w:color="auto" w:sz="4" w:space="0"/>
              <w:bottom w:val="single" w:color="auto" w:sz="4" w:space="0"/>
              <w:right w:val="single" w:color="auto" w:sz="4" w:space="0"/>
            </w:tcBorders>
            <w:noWrap/>
            <w:vAlign w:val="center"/>
          </w:tcPr>
          <w:p w14:paraId="1938DFB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恩施</w:t>
            </w:r>
          </w:p>
        </w:tc>
        <w:tc>
          <w:tcPr>
            <w:tcW w:w="1287" w:type="pct"/>
            <w:tcBorders>
              <w:top w:val="nil"/>
              <w:left w:val="nil"/>
              <w:bottom w:val="single" w:color="auto" w:sz="4" w:space="0"/>
              <w:right w:val="single" w:color="auto" w:sz="4" w:space="0"/>
            </w:tcBorders>
            <w:noWrap/>
            <w:vAlign w:val="center"/>
          </w:tcPr>
          <w:p w14:paraId="62996E2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UPS电源</w:t>
            </w:r>
          </w:p>
        </w:tc>
        <w:tc>
          <w:tcPr>
            <w:tcW w:w="891" w:type="pct"/>
            <w:tcBorders>
              <w:top w:val="nil"/>
              <w:left w:val="nil"/>
              <w:bottom w:val="single" w:color="auto" w:sz="4" w:space="0"/>
              <w:right w:val="single" w:color="auto" w:sz="4" w:space="0"/>
            </w:tcBorders>
            <w:noWrap/>
            <w:vAlign w:val="center"/>
          </w:tcPr>
          <w:p w14:paraId="4A1EDF2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艾默生</w:t>
            </w:r>
          </w:p>
        </w:tc>
        <w:tc>
          <w:tcPr>
            <w:tcW w:w="1411" w:type="pct"/>
            <w:tcBorders>
              <w:top w:val="nil"/>
              <w:left w:val="nil"/>
              <w:bottom w:val="single" w:color="auto" w:sz="4" w:space="0"/>
              <w:right w:val="single" w:color="auto" w:sz="4" w:space="0"/>
            </w:tcBorders>
            <w:noWrap/>
            <w:vAlign w:val="center"/>
          </w:tcPr>
          <w:p w14:paraId="70004C3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40KVA</w:t>
            </w:r>
          </w:p>
        </w:tc>
        <w:tc>
          <w:tcPr>
            <w:tcW w:w="743" w:type="pct"/>
            <w:tcBorders>
              <w:top w:val="nil"/>
              <w:left w:val="nil"/>
              <w:bottom w:val="single" w:color="auto" w:sz="4" w:space="0"/>
              <w:right w:val="single" w:color="auto" w:sz="4" w:space="0"/>
            </w:tcBorders>
            <w:noWrap/>
            <w:vAlign w:val="center"/>
          </w:tcPr>
          <w:p w14:paraId="7D77835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r>
      <w:tr w14:paraId="302266C0">
        <w:tblPrEx>
          <w:tblCellMar>
            <w:top w:w="0" w:type="dxa"/>
            <w:left w:w="108" w:type="dxa"/>
            <w:bottom w:w="0" w:type="dxa"/>
            <w:right w:w="108" w:type="dxa"/>
          </w:tblCellMar>
        </w:tblPrEx>
        <w:trPr>
          <w:trHeight w:val="285" w:hRule="atLeast"/>
        </w:trPr>
        <w:tc>
          <w:tcPr>
            <w:tcW w:w="668" w:type="pct"/>
            <w:vMerge w:val="continue"/>
            <w:tcBorders>
              <w:top w:val="nil"/>
              <w:left w:val="single" w:color="auto" w:sz="4" w:space="0"/>
              <w:bottom w:val="single" w:color="auto" w:sz="4" w:space="0"/>
              <w:right w:val="single" w:color="auto" w:sz="4" w:space="0"/>
            </w:tcBorders>
            <w:noWrap w:val="0"/>
            <w:vAlign w:val="center"/>
          </w:tcPr>
          <w:p w14:paraId="382927BE">
            <w:pPr>
              <w:widowControl/>
              <w:jc w:val="left"/>
              <w:rPr>
                <w:rFonts w:ascii="等线" w:hAnsi="等线" w:eastAsia="等线" w:cs="宋体"/>
                <w:color w:val="000000"/>
                <w:kern w:val="0"/>
                <w:sz w:val="22"/>
                <w:szCs w:val="22"/>
              </w:rPr>
            </w:pPr>
          </w:p>
        </w:tc>
        <w:tc>
          <w:tcPr>
            <w:tcW w:w="1287" w:type="pct"/>
            <w:tcBorders>
              <w:top w:val="nil"/>
              <w:left w:val="nil"/>
              <w:bottom w:val="single" w:color="auto" w:sz="4" w:space="0"/>
              <w:right w:val="single" w:color="auto" w:sz="4" w:space="0"/>
            </w:tcBorders>
            <w:noWrap/>
            <w:vAlign w:val="center"/>
          </w:tcPr>
          <w:p w14:paraId="5892C7F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发电机</w:t>
            </w:r>
          </w:p>
        </w:tc>
        <w:tc>
          <w:tcPr>
            <w:tcW w:w="891" w:type="pct"/>
            <w:tcBorders>
              <w:top w:val="nil"/>
              <w:left w:val="nil"/>
              <w:bottom w:val="single" w:color="auto" w:sz="4" w:space="0"/>
              <w:right w:val="single" w:color="auto" w:sz="4" w:space="0"/>
            </w:tcBorders>
            <w:noWrap/>
            <w:vAlign w:val="center"/>
          </w:tcPr>
          <w:p w14:paraId="6DCDDD7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萨瓦尼</w:t>
            </w:r>
          </w:p>
        </w:tc>
        <w:tc>
          <w:tcPr>
            <w:tcW w:w="1411" w:type="pct"/>
            <w:tcBorders>
              <w:top w:val="nil"/>
              <w:left w:val="nil"/>
              <w:bottom w:val="single" w:color="auto" w:sz="4" w:space="0"/>
              <w:right w:val="single" w:color="auto" w:sz="4" w:space="0"/>
            </w:tcBorders>
            <w:noWrap/>
            <w:vAlign w:val="center"/>
          </w:tcPr>
          <w:p w14:paraId="782D3E3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SC2200</w:t>
            </w:r>
          </w:p>
        </w:tc>
        <w:tc>
          <w:tcPr>
            <w:tcW w:w="743" w:type="pct"/>
            <w:tcBorders>
              <w:top w:val="nil"/>
              <w:left w:val="nil"/>
              <w:bottom w:val="single" w:color="auto" w:sz="4" w:space="0"/>
              <w:right w:val="single" w:color="auto" w:sz="4" w:space="0"/>
            </w:tcBorders>
            <w:noWrap/>
            <w:vAlign w:val="center"/>
          </w:tcPr>
          <w:p w14:paraId="09DCAE3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r>
      <w:tr w14:paraId="7C7EAD29">
        <w:tblPrEx>
          <w:tblCellMar>
            <w:top w:w="0" w:type="dxa"/>
            <w:left w:w="108" w:type="dxa"/>
            <w:bottom w:w="0" w:type="dxa"/>
            <w:right w:w="108" w:type="dxa"/>
          </w:tblCellMar>
        </w:tblPrEx>
        <w:trPr>
          <w:trHeight w:val="285" w:hRule="atLeast"/>
        </w:trPr>
        <w:tc>
          <w:tcPr>
            <w:tcW w:w="668" w:type="pct"/>
            <w:tcBorders>
              <w:top w:val="nil"/>
              <w:left w:val="single" w:color="auto" w:sz="4" w:space="0"/>
              <w:bottom w:val="single" w:color="auto" w:sz="4" w:space="0"/>
              <w:right w:val="single" w:color="auto" w:sz="4" w:space="0"/>
            </w:tcBorders>
            <w:noWrap/>
            <w:vAlign w:val="center"/>
          </w:tcPr>
          <w:p w14:paraId="7BE9059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黄冈</w:t>
            </w:r>
          </w:p>
        </w:tc>
        <w:tc>
          <w:tcPr>
            <w:tcW w:w="1287" w:type="pct"/>
            <w:tcBorders>
              <w:top w:val="nil"/>
              <w:left w:val="nil"/>
              <w:bottom w:val="single" w:color="auto" w:sz="4" w:space="0"/>
              <w:right w:val="single" w:color="auto" w:sz="4" w:space="0"/>
            </w:tcBorders>
            <w:noWrap/>
            <w:vAlign w:val="center"/>
          </w:tcPr>
          <w:p w14:paraId="478F4B5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UPS电源</w:t>
            </w:r>
          </w:p>
        </w:tc>
        <w:tc>
          <w:tcPr>
            <w:tcW w:w="891" w:type="pct"/>
            <w:tcBorders>
              <w:top w:val="nil"/>
              <w:left w:val="nil"/>
              <w:bottom w:val="single" w:color="auto" w:sz="4" w:space="0"/>
              <w:right w:val="single" w:color="auto" w:sz="4" w:space="0"/>
            </w:tcBorders>
            <w:noWrap/>
            <w:vAlign w:val="center"/>
          </w:tcPr>
          <w:p w14:paraId="4D45781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艾默生</w:t>
            </w:r>
          </w:p>
        </w:tc>
        <w:tc>
          <w:tcPr>
            <w:tcW w:w="1411" w:type="pct"/>
            <w:tcBorders>
              <w:top w:val="nil"/>
              <w:left w:val="nil"/>
              <w:bottom w:val="single" w:color="auto" w:sz="4" w:space="0"/>
              <w:right w:val="single" w:color="auto" w:sz="4" w:space="0"/>
            </w:tcBorders>
            <w:noWrap/>
            <w:vAlign w:val="center"/>
          </w:tcPr>
          <w:p w14:paraId="5BB9984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40KVA</w:t>
            </w:r>
          </w:p>
        </w:tc>
        <w:tc>
          <w:tcPr>
            <w:tcW w:w="743" w:type="pct"/>
            <w:tcBorders>
              <w:top w:val="nil"/>
              <w:left w:val="nil"/>
              <w:bottom w:val="single" w:color="auto" w:sz="4" w:space="0"/>
              <w:right w:val="single" w:color="auto" w:sz="4" w:space="0"/>
            </w:tcBorders>
            <w:noWrap/>
            <w:vAlign w:val="center"/>
          </w:tcPr>
          <w:p w14:paraId="06D8EEE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5C0247FA">
        <w:tblPrEx>
          <w:tblCellMar>
            <w:top w:w="0" w:type="dxa"/>
            <w:left w:w="108" w:type="dxa"/>
            <w:bottom w:w="0" w:type="dxa"/>
            <w:right w:w="108" w:type="dxa"/>
          </w:tblCellMar>
        </w:tblPrEx>
        <w:trPr>
          <w:trHeight w:val="285" w:hRule="atLeast"/>
        </w:trPr>
        <w:tc>
          <w:tcPr>
            <w:tcW w:w="668" w:type="pct"/>
            <w:tcBorders>
              <w:top w:val="nil"/>
              <w:left w:val="single" w:color="auto" w:sz="4" w:space="0"/>
              <w:bottom w:val="single" w:color="auto" w:sz="4" w:space="0"/>
              <w:right w:val="single" w:color="auto" w:sz="4" w:space="0"/>
            </w:tcBorders>
            <w:noWrap/>
            <w:vAlign w:val="center"/>
          </w:tcPr>
          <w:p w14:paraId="351B86A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仙桃</w:t>
            </w:r>
          </w:p>
        </w:tc>
        <w:tc>
          <w:tcPr>
            <w:tcW w:w="1287" w:type="pct"/>
            <w:tcBorders>
              <w:top w:val="nil"/>
              <w:left w:val="nil"/>
              <w:bottom w:val="single" w:color="auto" w:sz="4" w:space="0"/>
              <w:right w:val="single" w:color="auto" w:sz="4" w:space="0"/>
            </w:tcBorders>
            <w:noWrap/>
            <w:vAlign w:val="center"/>
          </w:tcPr>
          <w:p w14:paraId="47F170A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UPS电源</w:t>
            </w:r>
          </w:p>
        </w:tc>
        <w:tc>
          <w:tcPr>
            <w:tcW w:w="891" w:type="pct"/>
            <w:tcBorders>
              <w:top w:val="nil"/>
              <w:left w:val="nil"/>
              <w:bottom w:val="single" w:color="auto" w:sz="4" w:space="0"/>
              <w:right w:val="single" w:color="auto" w:sz="4" w:space="0"/>
            </w:tcBorders>
            <w:noWrap/>
            <w:vAlign w:val="center"/>
          </w:tcPr>
          <w:p w14:paraId="56B4CEF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APC</w:t>
            </w:r>
          </w:p>
        </w:tc>
        <w:tc>
          <w:tcPr>
            <w:tcW w:w="1411" w:type="pct"/>
            <w:tcBorders>
              <w:top w:val="nil"/>
              <w:left w:val="nil"/>
              <w:bottom w:val="single" w:color="auto" w:sz="4" w:space="0"/>
              <w:right w:val="single" w:color="auto" w:sz="4" w:space="0"/>
            </w:tcBorders>
            <w:noWrap/>
            <w:vAlign w:val="center"/>
          </w:tcPr>
          <w:p w14:paraId="6AE79F2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APC galaxy3000</w:t>
            </w:r>
          </w:p>
        </w:tc>
        <w:tc>
          <w:tcPr>
            <w:tcW w:w="743" w:type="pct"/>
            <w:tcBorders>
              <w:top w:val="nil"/>
              <w:left w:val="nil"/>
              <w:bottom w:val="single" w:color="auto" w:sz="4" w:space="0"/>
              <w:right w:val="single" w:color="auto" w:sz="4" w:space="0"/>
            </w:tcBorders>
            <w:noWrap/>
            <w:vAlign w:val="center"/>
          </w:tcPr>
          <w:p w14:paraId="275B75D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05011095">
        <w:tblPrEx>
          <w:tblCellMar>
            <w:top w:w="0" w:type="dxa"/>
            <w:left w:w="108" w:type="dxa"/>
            <w:bottom w:w="0" w:type="dxa"/>
            <w:right w:w="108" w:type="dxa"/>
          </w:tblCellMar>
        </w:tblPrEx>
        <w:trPr>
          <w:trHeight w:val="285" w:hRule="atLeast"/>
        </w:trPr>
        <w:tc>
          <w:tcPr>
            <w:tcW w:w="668" w:type="pct"/>
            <w:tcBorders>
              <w:top w:val="nil"/>
              <w:left w:val="single" w:color="auto" w:sz="4" w:space="0"/>
              <w:bottom w:val="single" w:color="auto" w:sz="4" w:space="0"/>
              <w:right w:val="single" w:color="auto" w:sz="4" w:space="0"/>
            </w:tcBorders>
            <w:noWrap/>
            <w:vAlign w:val="center"/>
          </w:tcPr>
          <w:p w14:paraId="167A013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黄石</w:t>
            </w:r>
          </w:p>
        </w:tc>
        <w:tc>
          <w:tcPr>
            <w:tcW w:w="1287" w:type="pct"/>
            <w:tcBorders>
              <w:top w:val="nil"/>
              <w:left w:val="nil"/>
              <w:bottom w:val="single" w:color="auto" w:sz="4" w:space="0"/>
              <w:right w:val="single" w:color="auto" w:sz="4" w:space="0"/>
            </w:tcBorders>
            <w:noWrap/>
            <w:vAlign w:val="center"/>
          </w:tcPr>
          <w:p w14:paraId="16B655A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UPS电源</w:t>
            </w:r>
          </w:p>
        </w:tc>
        <w:tc>
          <w:tcPr>
            <w:tcW w:w="891" w:type="pct"/>
            <w:tcBorders>
              <w:top w:val="nil"/>
              <w:left w:val="nil"/>
              <w:bottom w:val="single" w:color="auto" w:sz="4" w:space="0"/>
              <w:right w:val="single" w:color="auto" w:sz="4" w:space="0"/>
            </w:tcBorders>
            <w:noWrap/>
            <w:vAlign w:val="center"/>
          </w:tcPr>
          <w:p w14:paraId="401E4D4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梅兰日兰</w:t>
            </w:r>
          </w:p>
        </w:tc>
        <w:tc>
          <w:tcPr>
            <w:tcW w:w="1411" w:type="pct"/>
            <w:tcBorders>
              <w:top w:val="nil"/>
              <w:left w:val="nil"/>
              <w:bottom w:val="single" w:color="auto" w:sz="4" w:space="0"/>
              <w:right w:val="single" w:color="auto" w:sz="4" w:space="0"/>
            </w:tcBorders>
            <w:noWrap/>
            <w:vAlign w:val="center"/>
          </w:tcPr>
          <w:p w14:paraId="649BC05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GALAXY5000 60KVA</w:t>
            </w:r>
          </w:p>
        </w:tc>
        <w:tc>
          <w:tcPr>
            <w:tcW w:w="743" w:type="pct"/>
            <w:tcBorders>
              <w:top w:val="nil"/>
              <w:left w:val="nil"/>
              <w:bottom w:val="single" w:color="auto" w:sz="4" w:space="0"/>
              <w:right w:val="single" w:color="auto" w:sz="4" w:space="0"/>
            </w:tcBorders>
            <w:noWrap/>
            <w:vAlign w:val="center"/>
          </w:tcPr>
          <w:p w14:paraId="23AF996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191495D9">
        <w:tblPrEx>
          <w:tblCellMar>
            <w:top w:w="0" w:type="dxa"/>
            <w:left w:w="108" w:type="dxa"/>
            <w:bottom w:w="0" w:type="dxa"/>
            <w:right w:w="108" w:type="dxa"/>
          </w:tblCellMar>
        </w:tblPrEx>
        <w:trPr>
          <w:trHeight w:val="570" w:hRule="atLeast"/>
        </w:trPr>
        <w:tc>
          <w:tcPr>
            <w:tcW w:w="668" w:type="pct"/>
            <w:tcBorders>
              <w:top w:val="nil"/>
              <w:left w:val="single" w:color="auto" w:sz="4" w:space="0"/>
              <w:bottom w:val="single" w:color="auto" w:sz="4" w:space="0"/>
              <w:right w:val="single" w:color="auto" w:sz="4" w:space="0"/>
            </w:tcBorders>
            <w:noWrap/>
            <w:vAlign w:val="center"/>
          </w:tcPr>
          <w:p w14:paraId="334BFEE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十堰</w:t>
            </w:r>
          </w:p>
        </w:tc>
        <w:tc>
          <w:tcPr>
            <w:tcW w:w="1287" w:type="pct"/>
            <w:tcBorders>
              <w:top w:val="nil"/>
              <w:left w:val="nil"/>
              <w:bottom w:val="single" w:color="auto" w:sz="4" w:space="0"/>
              <w:right w:val="single" w:color="auto" w:sz="4" w:space="0"/>
            </w:tcBorders>
            <w:noWrap w:val="0"/>
            <w:vAlign w:val="center"/>
          </w:tcPr>
          <w:p w14:paraId="01CC7FA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UPS电源（频率为一年六次）</w:t>
            </w:r>
          </w:p>
        </w:tc>
        <w:tc>
          <w:tcPr>
            <w:tcW w:w="891" w:type="pct"/>
            <w:tcBorders>
              <w:top w:val="nil"/>
              <w:left w:val="nil"/>
              <w:bottom w:val="single" w:color="auto" w:sz="4" w:space="0"/>
              <w:right w:val="single" w:color="auto" w:sz="4" w:space="0"/>
            </w:tcBorders>
            <w:noWrap/>
            <w:vAlign w:val="center"/>
          </w:tcPr>
          <w:p w14:paraId="21DE8E5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艾默生</w:t>
            </w:r>
          </w:p>
        </w:tc>
        <w:tc>
          <w:tcPr>
            <w:tcW w:w="1411" w:type="pct"/>
            <w:tcBorders>
              <w:top w:val="nil"/>
              <w:left w:val="nil"/>
              <w:bottom w:val="single" w:color="auto" w:sz="4" w:space="0"/>
              <w:right w:val="single" w:color="auto" w:sz="4" w:space="0"/>
            </w:tcBorders>
            <w:noWrap/>
            <w:vAlign w:val="center"/>
          </w:tcPr>
          <w:p w14:paraId="32195B0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NXR40KVA</w:t>
            </w:r>
          </w:p>
        </w:tc>
        <w:tc>
          <w:tcPr>
            <w:tcW w:w="743" w:type="pct"/>
            <w:tcBorders>
              <w:top w:val="nil"/>
              <w:left w:val="nil"/>
              <w:bottom w:val="single" w:color="auto" w:sz="4" w:space="0"/>
              <w:right w:val="single" w:color="auto" w:sz="4" w:space="0"/>
            </w:tcBorders>
            <w:noWrap/>
            <w:vAlign w:val="center"/>
          </w:tcPr>
          <w:p w14:paraId="56B758C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r>
      <w:tr w14:paraId="3F897550">
        <w:tblPrEx>
          <w:tblCellMar>
            <w:top w:w="0" w:type="dxa"/>
            <w:left w:w="108" w:type="dxa"/>
            <w:bottom w:w="0" w:type="dxa"/>
            <w:right w:w="108" w:type="dxa"/>
          </w:tblCellMar>
        </w:tblPrEx>
        <w:trPr>
          <w:trHeight w:val="285" w:hRule="atLeast"/>
        </w:trPr>
        <w:tc>
          <w:tcPr>
            <w:tcW w:w="668" w:type="pct"/>
            <w:tcBorders>
              <w:top w:val="nil"/>
              <w:left w:val="single" w:color="auto" w:sz="4" w:space="0"/>
              <w:bottom w:val="single" w:color="auto" w:sz="4" w:space="0"/>
              <w:right w:val="single" w:color="auto" w:sz="4" w:space="0"/>
            </w:tcBorders>
            <w:noWrap/>
            <w:vAlign w:val="center"/>
          </w:tcPr>
          <w:p w14:paraId="316B367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鄂州</w:t>
            </w:r>
          </w:p>
        </w:tc>
        <w:tc>
          <w:tcPr>
            <w:tcW w:w="1287" w:type="pct"/>
            <w:tcBorders>
              <w:top w:val="nil"/>
              <w:left w:val="nil"/>
              <w:bottom w:val="single" w:color="auto" w:sz="4" w:space="0"/>
              <w:right w:val="single" w:color="auto" w:sz="4" w:space="0"/>
            </w:tcBorders>
            <w:noWrap/>
            <w:vAlign w:val="center"/>
          </w:tcPr>
          <w:p w14:paraId="710D95C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UPS电源</w:t>
            </w:r>
          </w:p>
        </w:tc>
        <w:tc>
          <w:tcPr>
            <w:tcW w:w="891" w:type="pct"/>
            <w:tcBorders>
              <w:top w:val="nil"/>
              <w:left w:val="nil"/>
              <w:bottom w:val="single" w:color="auto" w:sz="4" w:space="0"/>
              <w:right w:val="single" w:color="auto" w:sz="4" w:space="0"/>
            </w:tcBorders>
            <w:noWrap/>
            <w:vAlign w:val="center"/>
          </w:tcPr>
          <w:p w14:paraId="3208033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科华</w:t>
            </w:r>
          </w:p>
        </w:tc>
        <w:tc>
          <w:tcPr>
            <w:tcW w:w="1411" w:type="pct"/>
            <w:tcBorders>
              <w:top w:val="nil"/>
              <w:left w:val="nil"/>
              <w:bottom w:val="single" w:color="auto" w:sz="4" w:space="0"/>
              <w:right w:val="single" w:color="auto" w:sz="4" w:space="0"/>
            </w:tcBorders>
            <w:noWrap/>
            <w:vAlign w:val="center"/>
          </w:tcPr>
          <w:p w14:paraId="58D5991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FR-UK3140</w:t>
            </w:r>
          </w:p>
        </w:tc>
        <w:tc>
          <w:tcPr>
            <w:tcW w:w="743" w:type="pct"/>
            <w:tcBorders>
              <w:top w:val="nil"/>
              <w:left w:val="nil"/>
              <w:bottom w:val="single" w:color="auto" w:sz="4" w:space="0"/>
              <w:right w:val="single" w:color="auto" w:sz="4" w:space="0"/>
            </w:tcBorders>
            <w:noWrap/>
            <w:vAlign w:val="center"/>
          </w:tcPr>
          <w:p w14:paraId="1EE0DA48">
            <w:pPr>
              <w:widowControl/>
              <w:jc w:val="center"/>
              <w:rPr>
                <w:rFonts w:hint="eastAsia" w:eastAsia="等线"/>
                <w:color w:val="000000"/>
                <w:kern w:val="0"/>
                <w:sz w:val="20"/>
                <w:szCs w:val="20"/>
              </w:rPr>
            </w:pPr>
            <w:r>
              <w:rPr>
                <w:rFonts w:eastAsia="等线"/>
                <w:color w:val="000000"/>
                <w:kern w:val="0"/>
                <w:sz w:val="20"/>
                <w:szCs w:val="20"/>
              </w:rPr>
              <w:t>1</w:t>
            </w:r>
          </w:p>
        </w:tc>
      </w:tr>
      <w:tr w14:paraId="54F97D17">
        <w:tblPrEx>
          <w:tblCellMar>
            <w:top w:w="0" w:type="dxa"/>
            <w:left w:w="108" w:type="dxa"/>
            <w:bottom w:w="0" w:type="dxa"/>
            <w:right w:w="108" w:type="dxa"/>
          </w:tblCellMar>
        </w:tblPrEx>
        <w:trPr>
          <w:trHeight w:val="285" w:hRule="atLeast"/>
        </w:trPr>
        <w:tc>
          <w:tcPr>
            <w:tcW w:w="668" w:type="pct"/>
            <w:tcBorders>
              <w:top w:val="nil"/>
              <w:left w:val="single" w:color="auto" w:sz="4" w:space="0"/>
              <w:bottom w:val="single" w:color="auto" w:sz="4" w:space="0"/>
              <w:right w:val="single" w:color="auto" w:sz="4" w:space="0"/>
            </w:tcBorders>
            <w:shd w:val="clear" w:color="000000" w:fill="FFFFFF"/>
            <w:noWrap/>
            <w:vAlign w:val="center"/>
          </w:tcPr>
          <w:p w14:paraId="581D2E8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孝感</w:t>
            </w:r>
          </w:p>
        </w:tc>
        <w:tc>
          <w:tcPr>
            <w:tcW w:w="1287" w:type="pct"/>
            <w:tcBorders>
              <w:top w:val="nil"/>
              <w:left w:val="nil"/>
              <w:bottom w:val="single" w:color="auto" w:sz="4" w:space="0"/>
              <w:right w:val="single" w:color="auto" w:sz="4" w:space="0"/>
            </w:tcBorders>
            <w:noWrap/>
            <w:vAlign w:val="center"/>
          </w:tcPr>
          <w:p w14:paraId="50A4A30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UPS电源</w:t>
            </w:r>
          </w:p>
        </w:tc>
        <w:tc>
          <w:tcPr>
            <w:tcW w:w="891" w:type="pct"/>
            <w:tcBorders>
              <w:top w:val="nil"/>
              <w:left w:val="nil"/>
              <w:bottom w:val="single" w:color="auto" w:sz="4" w:space="0"/>
              <w:right w:val="single" w:color="auto" w:sz="4" w:space="0"/>
            </w:tcBorders>
            <w:noWrap/>
            <w:vAlign w:val="bottom"/>
          </w:tcPr>
          <w:p w14:paraId="404A025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英威腾</w:t>
            </w:r>
          </w:p>
        </w:tc>
        <w:tc>
          <w:tcPr>
            <w:tcW w:w="1411" w:type="pct"/>
            <w:tcBorders>
              <w:top w:val="nil"/>
              <w:left w:val="nil"/>
              <w:bottom w:val="single" w:color="auto" w:sz="4" w:space="0"/>
              <w:right w:val="single" w:color="auto" w:sz="4" w:space="0"/>
            </w:tcBorders>
            <w:noWrap/>
            <w:vAlign w:val="bottom"/>
          </w:tcPr>
          <w:p w14:paraId="53D4B5B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RM045/15X</w:t>
            </w:r>
          </w:p>
        </w:tc>
        <w:tc>
          <w:tcPr>
            <w:tcW w:w="743" w:type="pct"/>
            <w:tcBorders>
              <w:top w:val="nil"/>
              <w:left w:val="nil"/>
              <w:bottom w:val="single" w:color="auto" w:sz="4" w:space="0"/>
              <w:right w:val="single" w:color="auto" w:sz="4" w:space="0"/>
            </w:tcBorders>
            <w:noWrap w:val="0"/>
            <w:vAlign w:val="center"/>
          </w:tcPr>
          <w:p w14:paraId="3E09D221">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2</w:t>
            </w:r>
          </w:p>
        </w:tc>
      </w:tr>
      <w:tr w14:paraId="055BF080">
        <w:tblPrEx>
          <w:tblCellMar>
            <w:top w:w="0" w:type="dxa"/>
            <w:left w:w="108" w:type="dxa"/>
            <w:bottom w:w="0" w:type="dxa"/>
            <w:right w:w="108" w:type="dxa"/>
          </w:tblCellMar>
        </w:tblPrEx>
        <w:trPr>
          <w:trHeight w:val="285" w:hRule="atLeast"/>
        </w:trPr>
        <w:tc>
          <w:tcPr>
            <w:tcW w:w="668" w:type="pct"/>
            <w:tcBorders>
              <w:top w:val="nil"/>
              <w:left w:val="single" w:color="auto" w:sz="4" w:space="0"/>
              <w:bottom w:val="single" w:color="auto" w:sz="4" w:space="0"/>
              <w:right w:val="single" w:color="auto" w:sz="4" w:space="0"/>
            </w:tcBorders>
            <w:shd w:val="clear" w:color="000000" w:fill="FFFFFF"/>
            <w:noWrap/>
            <w:vAlign w:val="center"/>
          </w:tcPr>
          <w:p w14:paraId="3A7E398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潜江</w:t>
            </w:r>
          </w:p>
        </w:tc>
        <w:tc>
          <w:tcPr>
            <w:tcW w:w="1287" w:type="pct"/>
            <w:tcBorders>
              <w:top w:val="nil"/>
              <w:left w:val="nil"/>
              <w:bottom w:val="single" w:color="auto" w:sz="4" w:space="0"/>
              <w:right w:val="single" w:color="auto" w:sz="4" w:space="0"/>
            </w:tcBorders>
            <w:noWrap/>
            <w:vAlign w:val="center"/>
          </w:tcPr>
          <w:p w14:paraId="22EBD44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UPS电源</w:t>
            </w:r>
          </w:p>
        </w:tc>
        <w:tc>
          <w:tcPr>
            <w:tcW w:w="891" w:type="pct"/>
            <w:tcBorders>
              <w:top w:val="nil"/>
              <w:left w:val="nil"/>
              <w:bottom w:val="single" w:color="auto" w:sz="4" w:space="0"/>
              <w:right w:val="single" w:color="auto" w:sz="4" w:space="0"/>
            </w:tcBorders>
            <w:noWrap/>
            <w:vAlign w:val="bottom"/>
          </w:tcPr>
          <w:p w14:paraId="1F98580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英威腾</w:t>
            </w:r>
          </w:p>
        </w:tc>
        <w:tc>
          <w:tcPr>
            <w:tcW w:w="1411" w:type="pct"/>
            <w:tcBorders>
              <w:top w:val="nil"/>
              <w:left w:val="nil"/>
              <w:bottom w:val="single" w:color="auto" w:sz="4" w:space="0"/>
              <w:right w:val="single" w:color="auto" w:sz="4" w:space="0"/>
            </w:tcBorders>
            <w:noWrap/>
            <w:vAlign w:val="bottom"/>
          </w:tcPr>
          <w:p w14:paraId="1DF1EB6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RM045/15X</w:t>
            </w:r>
          </w:p>
        </w:tc>
        <w:tc>
          <w:tcPr>
            <w:tcW w:w="743" w:type="pct"/>
            <w:tcBorders>
              <w:top w:val="nil"/>
              <w:left w:val="nil"/>
              <w:bottom w:val="single" w:color="auto" w:sz="4" w:space="0"/>
              <w:right w:val="single" w:color="auto" w:sz="4" w:space="0"/>
            </w:tcBorders>
            <w:noWrap w:val="0"/>
            <w:vAlign w:val="center"/>
          </w:tcPr>
          <w:p w14:paraId="3B1E9096">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2</w:t>
            </w:r>
          </w:p>
        </w:tc>
      </w:tr>
    </w:tbl>
    <w:p w14:paraId="54ABE230">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二、服务地点：湖北省。</w:t>
      </w:r>
    </w:p>
    <w:p w14:paraId="2B38D97B">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三、服务期限：自合同签订之日起1年。</w:t>
      </w:r>
    </w:p>
    <w:p w14:paraId="56B04F34">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6AA140B3">
      <w:pPr>
        <w:adjustRightInd w:val="0"/>
        <w:snapToGrid w:val="0"/>
        <w:spacing w:line="360" w:lineRule="auto"/>
        <w:ind w:firstLine="440" w:firstLineChars="200"/>
        <w:rPr>
          <w:rFonts w:ascii="宋体" w:hAnsi="宋体" w:cs="仿宋_GB2312"/>
          <w:sz w:val="22"/>
          <w:szCs w:val="22"/>
        </w:rPr>
      </w:pPr>
      <w:bookmarkStart w:id="0" w:name="_Hlk195607267"/>
      <w:r>
        <w:rPr>
          <w:rFonts w:hint="eastAsia" w:ascii="宋体" w:hAnsi="宋体" w:cs="仿宋_GB2312"/>
          <w:sz w:val="22"/>
          <w:szCs w:val="22"/>
        </w:rPr>
        <w:t>合同签订生效后，前三个季度每季度根据当季服务完毕后提交服务报告，且满足服务要求无违约及罚款后15个工作日内支付合同总金额的25%，最后一个季度根据乙方提交的全年整体维保服务报告进行结算。乙方根据甲方要求向甲方开具合同全额6%增值税一般纳税人专用发票。</w:t>
      </w:r>
    </w:p>
    <w:p w14:paraId="4F462C3D">
      <w:pPr>
        <w:spacing w:line="360" w:lineRule="auto"/>
        <w:rPr>
          <w:rFonts w:ascii="宋体" w:hAnsi="宋体" w:cs="仿宋_GB2312"/>
          <w:sz w:val="22"/>
          <w:szCs w:val="22"/>
        </w:rPr>
      </w:pPr>
      <w:r>
        <w:rPr>
          <w:rFonts w:hint="eastAsia" w:ascii="宋体" w:hAnsi="宋体" w:cs="仿宋_GB2312"/>
          <w:sz w:val="22"/>
          <w:szCs w:val="22"/>
        </w:rPr>
        <w:t>五、服务内容；</w:t>
      </w:r>
    </w:p>
    <w:p w14:paraId="040D3BF7">
      <w:pPr>
        <w:adjustRightInd w:val="0"/>
        <w:snapToGrid w:val="0"/>
        <w:spacing w:line="360" w:lineRule="auto"/>
        <w:ind w:firstLine="440" w:firstLineChars="200"/>
        <w:rPr>
          <w:rFonts w:hint="eastAsia" w:ascii="宋体" w:hAnsi="宋体" w:cs="仿宋_GB2312"/>
          <w:sz w:val="22"/>
          <w:szCs w:val="22"/>
        </w:rPr>
      </w:pPr>
      <w:bookmarkStart w:id="1" w:name="_Hlk212471296"/>
      <w:bookmarkStart w:id="2" w:name="_Hlk212216469"/>
      <w:r>
        <w:rPr>
          <w:rFonts w:hint="eastAsia" w:ascii="宋体" w:hAnsi="宋体" w:cs="仿宋_GB2312"/>
          <w:sz w:val="22"/>
          <w:szCs w:val="22"/>
        </w:rPr>
        <w:t>（1）UPS机头运维：</w:t>
      </w:r>
    </w:p>
    <w:p w14:paraId="7BE537DB">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1、服务开始时乙方应提供详细的服务方案及巡检计划，每次服务及巡检完毕后，填写服务报告，双方签字后各保存一份，每季度向甲方提供一份运维服务评审报告。</w:t>
      </w:r>
    </w:p>
    <w:p w14:paraId="2A0F7B0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2、不在甲方备件库的其他备品备件应在24小时内到达现场。</w:t>
      </w:r>
    </w:p>
    <w:p w14:paraId="526AB80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3、服务人员到达故障现场时间：省公司１小时内，地市公司4－６小时。</w:t>
      </w:r>
    </w:p>
    <w:p w14:paraId="6D387FD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4、高温季节需按甲方要求对指定客户机房每月巡检一次，不与季度巡检重复。</w:t>
      </w:r>
    </w:p>
    <w:p w14:paraId="56DE21A6">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5、重大事件保证现场保障服务。</w:t>
      </w:r>
    </w:p>
    <w:p w14:paraId="0B97740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6、在维护保养作业期间，UPS机头如有故障或需要更换零部件，由乙方负责维修，所更换零部件成本费用由乙方全部承担，乙方免收维修费，所更换零部件为UPS机头原装同型号。</w:t>
      </w:r>
    </w:p>
    <w:p w14:paraId="62EB438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7、原则上乙方每次巡检将由甲方统一安排，乙方安排有国家及厂家认证、技术能力强、素质高的工程师参与。现场巡检完成后，填写经甲方审核过的巡检报告，并现场根据报告内容向用户进行口头汇报，并提交报告由用户签字及评价，巡检报告每季度提交给甲方一次，双方签字后各保存一份。</w:t>
      </w:r>
    </w:p>
    <w:p w14:paraId="338F30D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8、乙方维护人员必须严格遵守甲方维护管理制度及工作现场的安全，保密和各项技术安全规定，因违反要求造成的损失或人身安全事件等由乙方负责。</w:t>
      </w:r>
    </w:p>
    <w:p w14:paraId="636E82A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9、除定期作业外，乙方将不定期地电话询问或来人巡检。</w:t>
      </w:r>
    </w:p>
    <w:p w14:paraId="2C63A87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10、如果出现非常规的操作现象，乙方应书面报告甲方。</w:t>
      </w:r>
    </w:p>
    <w:p w14:paraId="5F41C52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11、每次维护保养结束后，乙方将向甲方呈交一份维护保养报告，甲方应立即进行验收。如验收合格，即在报告书上签字，如验收不满意，乙方有责任重新对设备进行检查及调整，直到甲方满意为止。</w:t>
      </w:r>
    </w:p>
    <w:p w14:paraId="5AD6631F">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12、如果因为乙方工作失误或者出错，造成甲方设备的损坏，乙方应负责修复设备，并尽快恢复UPS机头的正常运行。</w:t>
      </w:r>
    </w:p>
    <w:p w14:paraId="5E72691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13、如果甲方在技术上有改进要求时，乙方免费提供技术的咨询和建议，并协助其完成，乙方对甲方技术人员提供现场技术培训。</w:t>
      </w:r>
    </w:p>
    <w:p w14:paraId="7C1759C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14、按甲方要求提供应急演练方案及人员、设备，定期开展应急演练工作。</w:t>
      </w:r>
    </w:p>
    <w:p w14:paraId="10DED7F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（2）UPS运维：</w:t>
      </w:r>
    </w:p>
    <w:p w14:paraId="16E54FC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1、乙方按甲方巡检安排，提供详细的维保方案及巡检方案，对每个最终用户的每个机房每季度提供一次机房配电环境、设备隐患排查等内容，并提交相当报告。</w:t>
      </w:r>
    </w:p>
    <w:p w14:paraId="25117BF3">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原则上乙方每次巡检将有甲方统一安排，维护方安排有国家及厂家认证、技术能力强、素质高的工程师参与，现场巡检完成后，填写经甲方审核过的巡检报告，并现场向用户根据报告内容进行口头汇报，并提交报告经用户签字及评价，每季度提交给甲方一次，双方签字后各保存一份。</w:t>
      </w:r>
    </w:p>
    <w:p w14:paraId="050E058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3、在维护保养作业期间，乙方所维保的设备如有故障或需要更换零部件，由乙方负责维修，所更换零部件成本费用由乙方全部承担，乙方免收维修费，所更换零部件为设备原装同型号。</w:t>
      </w:r>
    </w:p>
    <w:p w14:paraId="36CBEFC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4、乙方维护人员必须严格遵守甲方维护管理制度及工作现场的安全，保密和各项技术安全规定，因违反要求造成的损失或人身安全事件等由乙方负责。</w:t>
      </w:r>
    </w:p>
    <w:p w14:paraId="01A1035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5、应提供针对此次服务项目的详细服务方案、设备维护操作手册、巡检模板、设备维修表单、服务流程、风险应对措施、应急解决办法等。</w:t>
      </w:r>
    </w:p>
    <w:p w14:paraId="3341269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6、完成甲方交办的其他任务。</w:t>
      </w:r>
    </w:p>
    <w:p w14:paraId="57A771A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7、乙方为甲方UPS设备提供全面的检测，维护保养，内容包括：</w:t>
      </w:r>
    </w:p>
    <w:p w14:paraId="0E9CE8A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（1）主机部分：</w:t>
      </w:r>
    </w:p>
    <w:p w14:paraId="6276E9E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①检查UPS各部分连接线是否连好；</w:t>
      </w:r>
    </w:p>
    <w:p w14:paraId="59379D6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②检查设备的输入、输出连接端子是否牢固；</w:t>
      </w:r>
    </w:p>
    <w:p w14:paraId="0C3B0A44">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③检查配电柜对UPS电源的连接端子是否牢固；</w:t>
      </w:r>
    </w:p>
    <w:p w14:paraId="2EAD562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④检查各模块之间螺钉是否上紧；</w:t>
      </w:r>
    </w:p>
    <w:p w14:paraId="206E928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⑤检查各工作点指标是否符合技术要求；</w:t>
      </w:r>
    </w:p>
    <w:p w14:paraId="299E5FE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⑥总体测试UPS指标是否符合出场时要求；</w:t>
      </w:r>
    </w:p>
    <w:p w14:paraId="625EECE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⑦对UPS主机进行除尘清扫(每月进行)；</w:t>
      </w:r>
    </w:p>
    <w:p w14:paraId="012C2DE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⑧查看历史报警记录并对报警记录进行分析,消除隐患；</w:t>
      </w:r>
    </w:p>
    <w:p w14:paraId="099493F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⑨检查UPS主机内关键单元(电源主板、逆变器、整流器、静态开关等)；</w:t>
      </w:r>
    </w:p>
    <w:p w14:paraId="354E918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⑩对UPS电源各个端子连接进行防氧化处理。</w:t>
      </w:r>
    </w:p>
    <w:p w14:paraId="2DFAB3AF">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（2）蓄电池部分:</w:t>
      </w:r>
    </w:p>
    <w:p w14:paraId="1754CCA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①蓄电池保养:A、端子防氧化处理  B、防气泡渗漏  C、连接电缆防氧化处理</w:t>
      </w:r>
    </w:p>
    <w:p w14:paraId="5A5BD14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②测试每个蓄电池电压,针对存在问题提供合理解决方案，避免漏检、虚检等。</w:t>
      </w:r>
    </w:p>
    <w:p w14:paraId="2AA909A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③蓄电池在UPS设备上带实际负载进行放电测试(每季度)</w:t>
      </w:r>
    </w:p>
    <w:p w14:paraId="6E6C99CB">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④电池电阻测试并记录到报告。</w:t>
      </w:r>
    </w:p>
    <w:p w14:paraId="35DA3B8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（3）对于由于特殊原因和非正常因素引起的UPS电源故障，对UPS电源进行调试、检修工作需由乙方专业的工程技术人员进行操作。</w:t>
      </w:r>
    </w:p>
    <w:p w14:paraId="18D6929B">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1、UPS电源故障报警，当UPS电源出现报警故障时，当由乙方专业的工程技术人员分析报警内容，排除故障；</w:t>
      </w:r>
    </w:p>
    <w:p w14:paraId="0EC503D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2、电源无输出；</w:t>
      </w:r>
    </w:p>
    <w:p w14:paraId="7801BD9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3、电源响动异常。</w:t>
      </w:r>
    </w:p>
    <w:p w14:paraId="0FADE4B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在维修保修期内，UPS电源所有零部件在正常使用下发生损坏，由乙方负责免费更换，配件费用由乙方承担。维修后乙方向甲方汇报问题情况和处理结果，提交维修报告并由双方签字各保存一份备案。在设备使用过程中存在使用上的问题，乙方应解释清楚指导正确使用，并提出合理化建议。同时为甲方技术人员提供以下现场UPS电源技术培训：</w:t>
      </w:r>
    </w:p>
    <w:p w14:paraId="0FAAF21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①UPS电源基本原理；</w:t>
      </w:r>
    </w:p>
    <w:p w14:paraId="06BA4B8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②UPS电源的具体操作及相关设备；</w:t>
      </w:r>
    </w:p>
    <w:p w14:paraId="7169E0D3">
      <w:pPr>
        <w:adjustRightInd w:val="0"/>
        <w:snapToGrid w:val="0"/>
        <w:spacing w:line="360" w:lineRule="auto"/>
        <w:ind w:firstLine="440" w:firstLineChars="200"/>
        <w:rPr>
          <w:rFonts w:hint="eastAsia" w:ascii="宋体" w:hAnsi="宋体" w:cs="宋体"/>
          <w:szCs w:val="21"/>
        </w:rPr>
      </w:pPr>
      <w:r>
        <w:rPr>
          <w:rFonts w:hint="eastAsia" w:ascii="宋体" w:hAnsi="宋体" w:cs="仿宋_GB2312"/>
          <w:sz w:val="22"/>
          <w:szCs w:val="22"/>
        </w:rPr>
        <w:t>③UPS电源的基本维护常识</w:t>
      </w:r>
      <w:bookmarkEnd w:id="1"/>
      <w:r>
        <w:rPr>
          <w:rFonts w:hint="eastAsia" w:ascii="宋体" w:hAnsi="宋体" w:cs="宋体"/>
          <w:szCs w:val="21"/>
        </w:rPr>
        <w:t>。</w:t>
      </w:r>
    </w:p>
    <w:bookmarkEnd w:id="0"/>
    <w:bookmarkEnd w:id="2"/>
    <w:p w14:paraId="4FCC3E38">
      <w:pPr>
        <w:spacing w:line="360" w:lineRule="auto"/>
        <w:rPr>
          <w:rFonts w:hint="eastAsia" w:ascii="宋体" w:hAnsi="宋体" w:cs="仿宋_GB2312"/>
          <w:sz w:val="22"/>
          <w:szCs w:val="22"/>
        </w:rPr>
      </w:pPr>
      <w:r>
        <w:rPr>
          <w:rFonts w:hint="eastAsia" w:ascii="宋体" w:hAnsi="宋体" w:cs="仿宋_GB2312"/>
          <w:sz w:val="22"/>
          <w:szCs w:val="22"/>
        </w:rPr>
        <w:t>六、维保服务要求：</w:t>
      </w:r>
    </w:p>
    <w:p w14:paraId="04270FB2">
      <w:pPr>
        <w:adjustRightInd w:val="0"/>
        <w:snapToGrid w:val="0"/>
        <w:spacing w:line="360" w:lineRule="auto"/>
        <w:ind w:firstLine="440" w:firstLineChars="200"/>
        <w:rPr>
          <w:rFonts w:hint="eastAsia" w:ascii="宋体" w:hAnsi="宋体" w:cs="仿宋_GB2312"/>
          <w:sz w:val="22"/>
          <w:szCs w:val="22"/>
        </w:rPr>
      </w:pPr>
      <w:bookmarkStart w:id="3" w:name="_Hlk195607323"/>
      <w:r>
        <w:rPr>
          <w:rFonts w:hint="eastAsia" w:ascii="宋体" w:hAnsi="宋体" w:cs="仿宋_GB2312"/>
          <w:sz w:val="22"/>
          <w:szCs w:val="22"/>
        </w:rPr>
        <w:t>1、根据甲方要求每个地市每年按季度开展至少4次现场维护保养服务（其中武汉市每年不少于12次，特殊情况需按甲方要求对指定客户机房进行现场维护保养服务，不与季度维护保养服务重复）。</w:t>
      </w:r>
    </w:p>
    <w:p w14:paraId="2EDD80D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在维护保养作业期间，设备如有故障或需要更换零部件，由乙方负责维修，所更换零部件成本费用由乙方全部承担，所更换零部件为设备原装同型号,若设备故障，因设备使用年限长，原厂无原备件维修，可由乙方负责提供用同等规格的设备替代，能正常使用。</w:t>
      </w:r>
    </w:p>
    <w:p w14:paraId="3749F35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根据甲方统一安排开展维护保养服务，如遇紧急情况需与甲方报备申请确认后方可开展维保服务，乙方需安排有国家及厂家认证、技术能力强、素质高的工程师参与。现场服务完成后，编写服务报告并提交给甲方签字确认，并按甲方要求上传服务报告电子版资料归档，甲方确认无误后方可离开现场。</w:t>
      </w:r>
    </w:p>
    <w:p w14:paraId="1471F6D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4、遇到突发事故，乙方需根据甲方要求在规定时间内安排服务人员及备件（或设备）到达故障现场：省公司、武汉市公司１小时内，其他地市公司4－６小时。</w:t>
      </w:r>
    </w:p>
    <w:p w14:paraId="3A09954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5、乙方维护人员必须严格遵守甲方相关制度，因违反要求造成的损失或人身安全事件等由乙方负责。</w:t>
      </w:r>
    </w:p>
    <w:p w14:paraId="4EA8643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6、除定期现场维护保养服务外，乙方需提供7*24小时远程支持服务。</w:t>
      </w:r>
    </w:p>
    <w:p w14:paraId="1EE8864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7、如果因乙方工作失误，造成维护设备损坏，由乙方负全责。</w:t>
      </w:r>
    </w:p>
    <w:p w14:paraId="549DBE0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8、乙方免费提供技术相关服务。必要时，需按甲方要求提供技术人员及设备到指定地点开展技术培训、技术支持或者应急演练等工作。</w:t>
      </w:r>
    </w:p>
    <w:bookmarkEnd w:id="3"/>
    <w:p w14:paraId="245EC5B4">
      <w:pPr>
        <w:spacing w:line="360" w:lineRule="auto"/>
        <w:rPr>
          <w:rFonts w:ascii="宋体" w:hAnsi="宋体" w:cs="仿宋_GB2312"/>
          <w:sz w:val="22"/>
          <w:szCs w:val="22"/>
        </w:rPr>
      </w:pPr>
      <w:r>
        <w:rPr>
          <w:rFonts w:hint="eastAsia" w:ascii="宋体" w:hAnsi="宋体" w:cs="仿宋_GB2312"/>
          <w:sz w:val="22"/>
          <w:szCs w:val="22"/>
        </w:rPr>
        <w:t>七、</w:t>
      </w:r>
      <w:bookmarkStart w:id="4" w:name="_Hlk195606140"/>
      <w:r>
        <w:rPr>
          <w:rFonts w:hint="eastAsia" w:ascii="宋体" w:hAnsi="宋体" w:cs="仿宋_GB2312"/>
          <w:sz w:val="22"/>
          <w:szCs w:val="22"/>
        </w:rPr>
        <w:t>验收标准及方法</w:t>
      </w:r>
      <w:bookmarkEnd w:id="4"/>
      <w:r>
        <w:rPr>
          <w:rFonts w:hint="eastAsia" w:ascii="宋体" w:hAnsi="宋体" w:cs="仿宋_GB2312"/>
          <w:sz w:val="22"/>
          <w:szCs w:val="22"/>
        </w:rPr>
        <w:t>：</w:t>
      </w:r>
    </w:p>
    <w:p w14:paraId="27D3E420">
      <w:pPr>
        <w:adjustRightInd w:val="0"/>
        <w:snapToGrid w:val="0"/>
        <w:spacing w:line="360" w:lineRule="auto"/>
        <w:ind w:firstLine="440" w:firstLineChars="200"/>
        <w:rPr>
          <w:rFonts w:hint="eastAsia" w:ascii="宋体" w:hAnsi="宋体" w:cs="仿宋_GB2312"/>
          <w:sz w:val="22"/>
          <w:szCs w:val="22"/>
        </w:rPr>
      </w:pPr>
      <w:bookmarkStart w:id="5" w:name="_Hlk212217548"/>
      <w:r>
        <w:rPr>
          <w:rFonts w:hint="eastAsia" w:ascii="宋体" w:hAnsi="宋体" w:cs="仿宋_GB2312"/>
          <w:sz w:val="22"/>
          <w:szCs w:val="22"/>
        </w:rPr>
        <w:t>1、验收方法: 按季度分四次验收。</w:t>
      </w:r>
    </w:p>
    <w:p w14:paraId="3E98F69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 xml:space="preserve">2、验收条件: </w:t>
      </w:r>
    </w:p>
    <w:p w14:paraId="585E4CB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2.1乙方按照要求完成合同约定的相关服务内容。</w:t>
      </w:r>
    </w:p>
    <w:p w14:paraId="613BAB2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2.2资料齐全：提供完整的维保服务报告、季度服务评审报告等合同规定需提交的相关文件。</w:t>
      </w:r>
    </w:p>
    <w:p w14:paraId="7EFE257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3、验收内容: 合同约定的服务事项。</w:t>
      </w:r>
    </w:p>
    <w:p w14:paraId="7A47C89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4、验收标准: 服务期限内，维保设备正常运转，且全年无重大事故。</w:t>
      </w:r>
    </w:p>
    <w:p w14:paraId="3919001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5、验收时间: 前三个季度每季度完成服务内容后一月内完成验收；最后一个季度根据乙方提交的全年整体维保服务报告后一月内完成验收。</w:t>
      </w:r>
    </w:p>
    <w:bookmarkEnd w:id="5"/>
    <w:p w14:paraId="76BBC439">
      <w:pPr>
        <w:spacing w:line="360" w:lineRule="auto"/>
        <w:rPr>
          <w:rFonts w:ascii="宋体" w:hAnsi="宋体" w:cs="仿宋_GB2312"/>
          <w:sz w:val="22"/>
          <w:szCs w:val="22"/>
        </w:rPr>
      </w:pPr>
      <w:r>
        <w:rPr>
          <w:rFonts w:hint="eastAsia" w:ascii="宋体" w:hAnsi="宋体" w:cs="仿宋_GB2312"/>
          <w:sz w:val="22"/>
          <w:szCs w:val="22"/>
        </w:rPr>
        <w:t>七、售后服务</w:t>
      </w:r>
    </w:p>
    <w:p w14:paraId="1106B252">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维保期间，设备发生任何故障或意外，甲方应即时通知乙方，乙方在接到通知后判断故障原因，提出相应的处理意见并指导甲方维护人员排除故障。对甲方没有能力处理的影响机房安全的故障，应立即响应并立即着手解决，一般不得超过1小时；对导致信息设备停止运行的重大故障，应在2小时内解决恢复运行；最长不超过6小时。</w:t>
      </w:r>
    </w:p>
    <w:p w14:paraId="076F21B3">
      <w:bookmarkStart w:id="6" w:name="_GoBack"/>
      <w:bookmarkEnd w:id="6"/>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36ADC"/>
    <w:rsid w:val="02E3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2025-10-29T01:07:00Z</dcterms:created>
  <dc:creator>顾梦</dc:creator>
  <cp:lastModifiedBy>顾梦</cp:lastModifiedBy>
  <dcterms:modified xsi:type="dcterms:W3CDTF">2025-10-29T01:07:39Z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C16684F2F171445F8984BF0DCB39A0C7_11</vt:lpwstr>
  </property>
  <property fmtid="{D5CDD505-2E9C-101B-9397-08002B2CF9AE}" pid="4" name="KSOTemplateDocerSaveRecord">
    <vt:lpwstr>eyJoZGlkIjoiYzY5N2EwYWQ1Yzc3OGE4MmU5ZDI3MWU3OTkyZDM3NGMiLCJ1c2VySWQiOiI0MDQwNzE2MzYifQ==</vt:lpwstr>
  </property>
</Properties>
</file>