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3E252">
      <w:pPr>
        <w:spacing w:line="360" w:lineRule="auto"/>
        <w:ind w:firstLine="440" w:firstLineChars="200"/>
        <w:rPr>
          <w:rFonts w:hint="default" w:ascii="宋体" w:hAnsi="宋体" w:eastAsia="宋体" w:cs="仿宋_GB2312"/>
          <w:sz w:val="22"/>
          <w:szCs w:val="22"/>
          <w:lang w:val="en-US" w:eastAsia="zh-CN"/>
        </w:rPr>
      </w:pPr>
      <w:r>
        <w:rPr>
          <w:rFonts w:hint="eastAsia" w:ascii="宋体" w:hAnsi="宋体" w:cs="仿宋_GB2312"/>
          <w:sz w:val="22"/>
          <w:szCs w:val="22"/>
          <w:lang w:val="en-US" w:eastAsia="zh-CN"/>
        </w:rPr>
        <w:t>一、采购内容明细</w:t>
      </w:r>
    </w:p>
    <w:tbl>
      <w:tblPr>
        <w:tblStyle w:val="8"/>
        <w:tblpPr w:leftFromText="180" w:rightFromText="180" w:vertAnchor="text" w:horzAnchor="page" w:tblpX="1971" w:tblpY="315"/>
        <w:tblOverlap w:val="never"/>
        <w:tblW w:w="4998" w:type="pct"/>
        <w:tblInd w:w="0" w:type="dxa"/>
        <w:tblLayout w:type="fixed"/>
        <w:tblCellMar>
          <w:top w:w="0" w:type="dxa"/>
          <w:left w:w="108" w:type="dxa"/>
          <w:bottom w:w="0" w:type="dxa"/>
          <w:right w:w="108" w:type="dxa"/>
        </w:tblCellMar>
      </w:tblPr>
      <w:tblGrid>
        <w:gridCol w:w="747"/>
        <w:gridCol w:w="2120"/>
        <w:gridCol w:w="622"/>
        <w:gridCol w:w="3963"/>
        <w:gridCol w:w="1067"/>
      </w:tblGrid>
      <w:tr w14:paraId="07A64C3A">
        <w:tblPrEx>
          <w:tblCellMar>
            <w:top w:w="0" w:type="dxa"/>
            <w:left w:w="108" w:type="dxa"/>
            <w:bottom w:w="0" w:type="dxa"/>
            <w:right w:w="108" w:type="dxa"/>
          </w:tblCellMar>
        </w:tblPrEx>
        <w:trPr>
          <w:trHeight w:val="360"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94040">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244" w:type="pct"/>
            <w:tcBorders>
              <w:top w:val="single" w:color="auto" w:sz="4" w:space="0"/>
              <w:left w:val="nil"/>
              <w:bottom w:val="single" w:color="auto" w:sz="4" w:space="0"/>
              <w:right w:val="single" w:color="auto" w:sz="4" w:space="0"/>
            </w:tcBorders>
            <w:shd w:val="clear" w:color="auto" w:fill="auto"/>
            <w:noWrap/>
            <w:vAlign w:val="center"/>
          </w:tcPr>
          <w:p w14:paraId="4365782D">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产品</w:t>
            </w:r>
          </w:p>
        </w:tc>
        <w:tc>
          <w:tcPr>
            <w:tcW w:w="365" w:type="pct"/>
            <w:tcBorders>
              <w:top w:val="single" w:color="auto" w:sz="4" w:space="0"/>
              <w:left w:val="nil"/>
              <w:bottom w:val="single" w:color="auto" w:sz="4" w:space="0"/>
              <w:right w:val="single" w:color="auto" w:sz="4" w:space="0"/>
            </w:tcBorders>
            <w:shd w:val="clear" w:color="auto" w:fill="auto"/>
            <w:noWrap w:val="0"/>
            <w:vAlign w:val="center"/>
          </w:tcPr>
          <w:p w14:paraId="649F0044">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品牌</w:t>
            </w:r>
          </w:p>
        </w:tc>
        <w:tc>
          <w:tcPr>
            <w:tcW w:w="2325" w:type="pct"/>
            <w:tcBorders>
              <w:top w:val="single" w:color="auto" w:sz="4" w:space="0"/>
              <w:left w:val="nil"/>
              <w:bottom w:val="single" w:color="auto" w:sz="4" w:space="0"/>
              <w:right w:val="single" w:color="auto" w:sz="4" w:space="0"/>
            </w:tcBorders>
            <w:shd w:val="clear" w:color="auto" w:fill="auto"/>
            <w:noWrap w:val="0"/>
            <w:vAlign w:val="center"/>
          </w:tcPr>
          <w:p w14:paraId="318463A1">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配置</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01CA247E">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r>
      <w:tr w14:paraId="0F9C2053">
        <w:tblPrEx>
          <w:tblCellMar>
            <w:top w:w="0" w:type="dxa"/>
            <w:left w:w="108" w:type="dxa"/>
            <w:bottom w:w="0" w:type="dxa"/>
            <w:right w:w="108" w:type="dxa"/>
          </w:tblCellMar>
        </w:tblPrEx>
        <w:trPr>
          <w:trHeight w:val="2614"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4BC35">
            <w:pPr>
              <w:autoSpaceDE w:val="0"/>
              <w:autoSpaceDN w:val="0"/>
              <w:adjustRightInd w:val="0"/>
              <w:ind w:firstLine="440" w:firstLineChars="200"/>
              <w:jc w:val="center"/>
              <w:rPr>
                <w:rFonts w:hint="eastAsia" w:ascii="宋体" w:hAnsi="宋体" w:eastAsia="宋体" w:cs="仿宋_GB2312"/>
                <w:sz w:val="22"/>
                <w:szCs w:val="22"/>
              </w:rPr>
            </w:pPr>
            <w:r>
              <w:rPr>
                <w:rFonts w:hint="eastAsia" w:ascii="宋体" w:hAnsi="宋体" w:eastAsia="宋体" w:cs="仿宋_GB2312"/>
                <w:sz w:val="22"/>
                <w:szCs w:val="22"/>
              </w:rPr>
              <w:t>1</w:t>
            </w:r>
          </w:p>
        </w:tc>
        <w:tc>
          <w:tcPr>
            <w:tcW w:w="12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E1432">
            <w:pPr>
              <w:autoSpaceDE w:val="0"/>
              <w:autoSpaceDN w:val="0"/>
              <w:adjustRightInd w:val="0"/>
              <w:jc w:val="center"/>
              <w:rPr>
                <w:rFonts w:hint="default" w:ascii="宋体" w:hAnsi="宋体" w:eastAsia="宋体" w:cs="仿宋_GB2312"/>
                <w:sz w:val="22"/>
                <w:szCs w:val="22"/>
                <w:lang w:val="en-US" w:eastAsia="zh-CN"/>
              </w:rPr>
            </w:pPr>
            <w:r>
              <w:rPr>
                <w:rFonts w:hint="eastAsia" w:ascii="宋体" w:hAnsi="宋体" w:eastAsia="宋体" w:cs="仿宋_GB2312"/>
                <w:sz w:val="22"/>
                <w:szCs w:val="22"/>
                <w:lang w:val="en-US" w:eastAsia="zh-CN"/>
              </w:rPr>
              <w:t>AI服务器（一体机）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702F1B">
            <w:pPr>
              <w:autoSpaceDE w:val="0"/>
              <w:autoSpaceDN w:val="0"/>
              <w:adjustRightInd w:val="0"/>
              <w:jc w:val="center"/>
              <w:rPr>
                <w:rFonts w:hint="default" w:ascii="宋体" w:hAnsi="宋体" w:eastAsia="宋体" w:cs="仿宋_GB2312"/>
                <w:sz w:val="22"/>
                <w:szCs w:val="22"/>
                <w:lang w:val="en-US" w:eastAsia="zh-CN"/>
              </w:rPr>
            </w:pPr>
            <w:r>
              <w:rPr>
                <w:rFonts w:hint="eastAsia" w:ascii="宋体" w:hAnsi="宋体" w:eastAsia="宋体" w:cs="仿宋_GB2312"/>
                <w:sz w:val="22"/>
                <w:szCs w:val="22"/>
                <w:lang w:val="en-US" w:eastAsia="zh-CN"/>
              </w:rPr>
              <w:t>H3C</w:t>
            </w:r>
          </w:p>
        </w:tc>
        <w:tc>
          <w:tcPr>
            <w:tcW w:w="23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83F3BA">
            <w:pPr>
              <w:autoSpaceDE w:val="0"/>
              <w:autoSpaceDN w:val="0"/>
              <w:adjustRightInd w:val="0"/>
              <w:ind w:firstLine="440" w:firstLineChars="200"/>
              <w:jc w:val="left"/>
              <w:rPr>
                <w:rFonts w:hint="eastAsia" w:ascii="宋体" w:hAnsi="宋体" w:eastAsia="宋体" w:cs="仿宋_GB2312"/>
                <w:sz w:val="22"/>
                <w:szCs w:val="22"/>
              </w:rPr>
            </w:pPr>
            <w:r>
              <w:rPr>
                <w:rFonts w:hint="eastAsia" w:ascii="宋体" w:hAnsi="宋体" w:eastAsia="宋体" w:cs="仿宋_GB2312"/>
                <w:sz w:val="22"/>
                <w:szCs w:val="22"/>
              </w:rPr>
              <w:t>处理器:2*Intel8558</w:t>
            </w:r>
          </w:p>
          <w:p w14:paraId="56979D57">
            <w:pPr>
              <w:autoSpaceDE w:val="0"/>
              <w:autoSpaceDN w:val="0"/>
              <w:adjustRightInd w:val="0"/>
              <w:ind w:firstLine="440" w:firstLineChars="200"/>
              <w:jc w:val="left"/>
              <w:rPr>
                <w:rFonts w:hint="eastAsia" w:ascii="宋体" w:hAnsi="宋体" w:eastAsia="宋体" w:cs="仿宋_GB2312"/>
                <w:sz w:val="22"/>
                <w:szCs w:val="22"/>
              </w:rPr>
            </w:pPr>
            <w:r>
              <w:rPr>
                <w:rFonts w:hint="eastAsia" w:ascii="宋体" w:hAnsi="宋体" w:eastAsia="宋体" w:cs="仿宋_GB2312"/>
                <w:sz w:val="22"/>
                <w:szCs w:val="22"/>
              </w:rPr>
              <w:t>GPU模组:8*HGX-H20 141G</w:t>
            </w:r>
          </w:p>
          <w:p w14:paraId="5B7B7073">
            <w:pPr>
              <w:autoSpaceDE w:val="0"/>
              <w:autoSpaceDN w:val="0"/>
              <w:adjustRightInd w:val="0"/>
              <w:ind w:firstLine="440" w:firstLineChars="200"/>
              <w:jc w:val="left"/>
              <w:rPr>
                <w:rFonts w:hint="eastAsia" w:ascii="宋体" w:hAnsi="宋体" w:eastAsia="宋体" w:cs="仿宋_GB2312"/>
                <w:sz w:val="22"/>
                <w:szCs w:val="22"/>
              </w:rPr>
            </w:pPr>
            <w:r>
              <w:rPr>
                <w:rFonts w:hint="eastAsia" w:ascii="宋体" w:hAnsi="宋体" w:eastAsia="宋体" w:cs="仿宋_GB2312"/>
                <w:sz w:val="22"/>
                <w:szCs w:val="22"/>
              </w:rPr>
              <w:t>内存:24*64GB</w:t>
            </w:r>
          </w:p>
          <w:p w14:paraId="2A1C7CD7">
            <w:pPr>
              <w:autoSpaceDE w:val="0"/>
              <w:autoSpaceDN w:val="0"/>
              <w:adjustRightInd w:val="0"/>
              <w:ind w:firstLine="440" w:firstLineChars="200"/>
              <w:jc w:val="left"/>
              <w:rPr>
                <w:rFonts w:hint="eastAsia" w:ascii="宋体" w:hAnsi="宋体" w:eastAsia="宋体" w:cs="仿宋_GB2312"/>
                <w:sz w:val="22"/>
                <w:szCs w:val="22"/>
              </w:rPr>
            </w:pPr>
            <w:r>
              <w:rPr>
                <w:rFonts w:hint="eastAsia" w:ascii="宋体" w:hAnsi="宋体" w:eastAsia="宋体" w:cs="仿宋_GB2312"/>
                <w:sz w:val="22"/>
                <w:szCs w:val="22"/>
              </w:rPr>
              <w:t>系统盘:2*960GB SATA SSD</w:t>
            </w:r>
          </w:p>
          <w:p w14:paraId="3B28BFE0">
            <w:pPr>
              <w:autoSpaceDE w:val="0"/>
              <w:autoSpaceDN w:val="0"/>
              <w:adjustRightInd w:val="0"/>
              <w:ind w:firstLine="440" w:firstLineChars="200"/>
              <w:jc w:val="left"/>
              <w:rPr>
                <w:rFonts w:hint="eastAsia" w:ascii="宋体" w:hAnsi="宋体" w:eastAsia="宋体" w:cs="仿宋_GB2312"/>
                <w:sz w:val="22"/>
                <w:szCs w:val="22"/>
              </w:rPr>
            </w:pPr>
            <w:r>
              <w:rPr>
                <w:rFonts w:hint="eastAsia" w:ascii="宋体" w:hAnsi="宋体" w:eastAsia="宋体" w:cs="仿宋_GB2312"/>
                <w:sz w:val="22"/>
                <w:szCs w:val="22"/>
              </w:rPr>
              <w:t>数据盘:4*3.84TB SATA SSD</w:t>
            </w:r>
          </w:p>
          <w:p w14:paraId="0B868149">
            <w:pPr>
              <w:autoSpaceDE w:val="0"/>
              <w:autoSpaceDN w:val="0"/>
              <w:adjustRightInd w:val="0"/>
              <w:ind w:firstLine="440" w:firstLineChars="200"/>
              <w:jc w:val="left"/>
              <w:rPr>
                <w:rFonts w:hint="eastAsia" w:ascii="宋体" w:hAnsi="宋体" w:eastAsia="宋体" w:cs="仿宋_GB2312"/>
                <w:sz w:val="22"/>
                <w:szCs w:val="22"/>
              </w:rPr>
            </w:pPr>
            <w:r>
              <w:rPr>
                <w:rFonts w:hint="eastAsia" w:ascii="宋体" w:hAnsi="宋体" w:eastAsia="宋体" w:cs="仿宋_GB2312"/>
                <w:sz w:val="22"/>
                <w:szCs w:val="22"/>
              </w:rPr>
              <w:t>业务网卡:1*双口25GE</w:t>
            </w:r>
          </w:p>
          <w:p w14:paraId="1746B5C6">
            <w:pPr>
              <w:autoSpaceDE w:val="0"/>
              <w:autoSpaceDN w:val="0"/>
              <w:adjustRightInd w:val="0"/>
              <w:ind w:firstLine="440" w:firstLineChars="200"/>
              <w:jc w:val="left"/>
              <w:rPr>
                <w:rFonts w:hint="eastAsia" w:ascii="宋体" w:hAnsi="宋体" w:eastAsia="宋体" w:cs="仿宋_GB2312"/>
                <w:sz w:val="22"/>
                <w:szCs w:val="22"/>
              </w:rPr>
            </w:pPr>
            <w:r>
              <w:rPr>
                <w:rFonts w:hint="eastAsia" w:ascii="宋体" w:hAnsi="宋体" w:eastAsia="宋体" w:cs="仿宋_GB2312"/>
                <w:sz w:val="22"/>
                <w:szCs w:val="22"/>
              </w:rPr>
              <w:t>电源:6*3000W+2*2000W</w:t>
            </w:r>
          </w:p>
          <w:p w14:paraId="753AB1C4">
            <w:pPr>
              <w:autoSpaceDE w:val="0"/>
              <w:autoSpaceDN w:val="0"/>
              <w:adjustRightInd w:val="0"/>
              <w:ind w:firstLine="440" w:firstLineChars="200"/>
              <w:jc w:val="center"/>
              <w:rPr>
                <w:rFonts w:hint="eastAsia" w:ascii="宋体" w:hAnsi="宋体" w:eastAsia="宋体" w:cs="仿宋_GB2312"/>
                <w:sz w:val="22"/>
                <w:szCs w:val="22"/>
              </w:rPr>
            </w:pP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C3170B">
            <w:pPr>
              <w:autoSpaceDE w:val="0"/>
              <w:autoSpaceDN w:val="0"/>
              <w:adjustRightInd w:val="0"/>
              <w:ind w:firstLine="440" w:firstLineChars="200"/>
              <w:jc w:val="both"/>
              <w:rPr>
                <w:rFonts w:hint="eastAsia" w:ascii="宋体" w:hAnsi="宋体" w:eastAsia="宋体" w:cs="仿宋_GB2312"/>
                <w:sz w:val="22"/>
                <w:szCs w:val="22"/>
                <w:lang w:eastAsia="zh-CN"/>
              </w:rPr>
            </w:pPr>
            <w:r>
              <w:rPr>
                <w:rFonts w:hint="eastAsia" w:ascii="宋体" w:hAnsi="宋体" w:eastAsia="宋体" w:cs="仿宋_GB2312"/>
                <w:sz w:val="22"/>
                <w:szCs w:val="22"/>
                <w:lang w:val="en-US" w:eastAsia="zh-CN"/>
              </w:rPr>
              <w:t>1</w:t>
            </w:r>
          </w:p>
        </w:tc>
      </w:tr>
      <w:tr w14:paraId="429B87B7">
        <w:tblPrEx>
          <w:tblCellMar>
            <w:top w:w="0" w:type="dxa"/>
            <w:left w:w="108" w:type="dxa"/>
            <w:bottom w:w="0" w:type="dxa"/>
            <w:right w:w="108" w:type="dxa"/>
          </w:tblCellMar>
        </w:tblPrEx>
        <w:trPr>
          <w:trHeight w:val="2614"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CA70D2">
            <w:pPr>
              <w:autoSpaceDE w:val="0"/>
              <w:autoSpaceDN w:val="0"/>
              <w:adjustRightInd w:val="0"/>
              <w:jc w:val="center"/>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2</w:t>
            </w:r>
          </w:p>
        </w:tc>
        <w:tc>
          <w:tcPr>
            <w:tcW w:w="12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A12A3">
            <w:pPr>
              <w:autoSpaceDE w:val="0"/>
              <w:autoSpaceDN w:val="0"/>
              <w:adjustRightInd w:val="0"/>
              <w:jc w:val="center"/>
              <w:rPr>
                <w:rFonts w:hint="default" w:ascii="宋体" w:hAnsi="宋体" w:eastAsia="宋体" w:cs="仿宋_GB2312"/>
                <w:sz w:val="22"/>
                <w:szCs w:val="22"/>
                <w:lang w:val="en-US" w:eastAsia="zh-CN"/>
              </w:rPr>
            </w:pPr>
            <w:r>
              <w:rPr>
                <w:rFonts w:hint="eastAsia" w:ascii="宋体" w:hAnsi="宋体" w:eastAsia="宋体" w:cs="仿宋_GB2312"/>
                <w:sz w:val="22"/>
                <w:szCs w:val="22"/>
                <w:lang w:val="en-US" w:eastAsia="zh-CN"/>
              </w:rPr>
              <w:t>GPU显卡</w:t>
            </w:r>
          </w:p>
        </w:tc>
        <w:tc>
          <w:tcPr>
            <w:tcW w:w="3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FC0796">
            <w:pPr>
              <w:autoSpaceDE w:val="0"/>
              <w:autoSpaceDN w:val="0"/>
              <w:adjustRightInd w:val="0"/>
              <w:jc w:val="center"/>
              <w:rPr>
                <w:rFonts w:hint="default" w:ascii="宋体" w:hAnsi="宋体" w:eastAsia="宋体" w:cs="仿宋_GB2312"/>
                <w:sz w:val="22"/>
                <w:szCs w:val="22"/>
                <w:lang w:val="en-US" w:eastAsia="zh-CN"/>
              </w:rPr>
            </w:pPr>
            <w:r>
              <w:rPr>
                <w:rFonts w:hint="eastAsia" w:ascii="宋体" w:hAnsi="宋体" w:eastAsia="宋体" w:cs="仿宋_GB2312"/>
                <w:sz w:val="22"/>
                <w:szCs w:val="22"/>
                <w:lang w:val="en-US" w:eastAsia="zh-CN"/>
              </w:rPr>
              <w:t>英伟达</w:t>
            </w:r>
          </w:p>
        </w:tc>
        <w:tc>
          <w:tcPr>
            <w:tcW w:w="23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EC3C10">
            <w:pPr>
              <w:autoSpaceDE w:val="0"/>
              <w:autoSpaceDN w:val="0"/>
              <w:adjustRightInd w:val="0"/>
              <w:jc w:val="left"/>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型号：RTX4090 24GB 384BIT GDDR6X</w:t>
            </w:r>
          </w:p>
          <w:p w14:paraId="34623755">
            <w:pPr>
              <w:autoSpaceDE w:val="0"/>
              <w:autoSpaceDN w:val="0"/>
              <w:adjustRightInd w:val="0"/>
              <w:jc w:val="left"/>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显存频率：1313MHZ 21Gbps</w:t>
            </w:r>
          </w:p>
          <w:p w14:paraId="2B31E5E2">
            <w:pPr>
              <w:autoSpaceDE w:val="0"/>
              <w:autoSpaceDN w:val="0"/>
              <w:adjustRightInd w:val="0"/>
              <w:jc w:val="left"/>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输出接口：1xHDMI 2.1+3x DisplayPort 1.4a</w:t>
            </w:r>
          </w:p>
          <w:p w14:paraId="64FA6030">
            <w:pPr>
              <w:autoSpaceDE w:val="0"/>
              <w:autoSpaceDN w:val="0"/>
              <w:adjustRightInd w:val="0"/>
              <w:jc w:val="left"/>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Pcie接口：PCIe 4.0 x16、</w:t>
            </w:r>
          </w:p>
          <w:p w14:paraId="0A1B8943">
            <w:pPr>
              <w:autoSpaceDE w:val="0"/>
              <w:autoSpaceDN w:val="0"/>
              <w:adjustRightInd w:val="0"/>
              <w:jc w:val="left"/>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散热方式：4-PIN 涡轮风扇</w:t>
            </w:r>
          </w:p>
          <w:p w14:paraId="78B6C5F3">
            <w:pPr>
              <w:autoSpaceDE w:val="0"/>
              <w:autoSpaceDN w:val="0"/>
              <w:adjustRightInd w:val="0"/>
              <w:jc w:val="center"/>
              <w:rPr>
                <w:rFonts w:hint="eastAsia" w:ascii="宋体" w:hAnsi="宋体" w:eastAsia="宋体" w:cs="仿宋_GB2312"/>
                <w:sz w:val="22"/>
                <w:szCs w:val="22"/>
                <w:lang w:val="en-US" w:eastAsia="zh-CN"/>
              </w:rPr>
            </w:pP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15805">
            <w:pPr>
              <w:autoSpaceDE w:val="0"/>
              <w:autoSpaceDN w:val="0"/>
              <w:adjustRightInd w:val="0"/>
              <w:jc w:val="center"/>
              <w:rPr>
                <w:rFonts w:hint="default" w:ascii="宋体" w:hAnsi="宋体" w:eastAsia="宋体" w:cs="仿宋_GB2312"/>
                <w:sz w:val="22"/>
                <w:szCs w:val="22"/>
                <w:lang w:val="en-US" w:eastAsia="zh-CN"/>
              </w:rPr>
            </w:pPr>
            <w:r>
              <w:rPr>
                <w:rFonts w:hint="eastAsia" w:ascii="宋体" w:hAnsi="宋体" w:eastAsia="宋体" w:cs="仿宋_GB2312"/>
                <w:sz w:val="22"/>
                <w:szCs w:val="22"/>
                <w:lang w:val="en-US" w:eastAsia="zh-CN"/>
              </w:rPr>
              <w:t>4</w:t>
            </w:r>
          </w:p>
        </w:tc>
      </w:tr>
    </w:tbl>
    <w:p w14:paraId="5335EC53">
      <w:pPr>
        <w:rPr>
          <w:rFonts w:hint="default"/>
          <w:lang w:val="en-US" w:eastAsia="zh-CN"/>
        </w:rPr>
      </w:pPr>
    </w:p>
    <w:p w14:paraId="2B54B389">
      <w:pPr>
        <w:autoSpaceDE w:val="0"/>
        <w:autoSpaceDN w:val="0"/>
        <w:adjustRightInd w:val="0"/>
        <w:ind w:firstLine="420" w:firstLineChars="200"/>
        <w:jc w:val="left"/>
        <w:rPr>
          <w:rFonts w:hint="default" w:eastAsia="宋体"/>
          <w:lang w:val="en-US" w:eastAsia="zh-CN"/>
        </w:rPr>
      </w:pPr>
      <w:r>
        <w:t>交货地点：中国烟草总公司河南省公司</w:t>
      </w:r>
      <w:r>
        <w:rPr>
          <w:rFonts w:hint="eastAsia"/>
        </w:rPr>
        <w:t>（地址：</w:t>
      </w:r>
      <w:r>
        <w:rPr>
          <w:rFonts w:ascii="宋体" w:hAnsi="宋体" w:eastAsia="宋体" w:cs="宋体"/>
          <w:sz w:val="24"/>
          <w:szCs w:val="24"/>
        </w:rPr>
        <w:t>河南省郑州市金水区商务外环路15号</w:t>
      </w:r>
      <w:r>
        <w:rPr>
          <w:rFonts w:hint="eastAsia"/>
        </w:rPr>
        <w:t>）</w:t>
      </w:r>
    </w:p>
    <w:p w14:paraId="191C6DA2">
      <w:pPr>
        <w:pStyle w:val="5"/>
      </w:pPr>
      <w:r>
        <w:t>交货期限：合同生效后30日内需完成供货及安装工作。</w:t>
      </w:r>
    </w:p>
    <w:p w14:paraId="5E33C38F">
      <w:pPr>
        <w:pStyle w:val="5"/>
        <w:rPr>
          <w:highlight w:val="yellow"/>
        </w:rPr>
      </w:pPr>
      <w:r>
        <w:rPr>
          <w:highlight w:val="yellow"/>
        </w:rPr>
        <w:t>付款方式：</w:t>
      </w:r>
    </w:p>
    <w:p w14:paraId="7AFDCC2F">
      <w:pPr>
        <w:spacing w:line="360" w:lineRule="auto"/>
        <w:ind w:firstLine="480" w:firstLineChars="200"/>
        <w:jc w:val="left"/>
        <w:rPr>
          <w:rFonts w:hint="eastAsia" w:ascii="宋体" w:hAnsi="宋体" w:cs="宋体"/>
          <w:sz w:val="24"/>
          <w:highlight w:val="yellow"/>
        </w:rPr>
      </w:pPr>
      <w:r>
        <w:rPr>
          <w:rFonts w:hint="eastAsia" w:ascii="宋体" w:hAnsi="宋体" w:cs="宋体"/>
          <w:sz w:val="24"/>
          <w:highlight w:val="yellow"/>
          <w:lang w:eastAsia="zh-CN"/>
        </w:rPr>
        <w:t>（</w:t>
      </w:r>
      <w:r>
        <w:rPr>
          <w:rFonts w:hint="eastAsia" w:ascii="宋体" w:hAnsi="宋体" w:cs="宋体"/>
          <w:sz w:val="24"/>
          <w:highlight w:val="yellow"/>
          <w:lang w:val="en-US" w:eastAsia="zh-CN"/>
        </w:rPr>
        <w:t>1</w:t>
      </w:r>
      <w:r>
        <w:rPr>
          <w:rFonts w:hint="eastAsia" w:ascii="宋体" w:hAnsi="宋体" w:cs="宋体"/>
          <w:sz w:val="24"/>
          <w:highlight w:val="yellow"/>
          <w:lang w:eastAsia="zh-CN"/>
        </w:rPr>
        <w:t>）</w:t>
      </w:r>
      <w:r>
        <w:rPr>
          <w:rFonts w:hint="eastAsia" w:ascii="宋体" w:hAnsi="宋体" w:cs="宋体"/>
          <w:sz w:val="24"/>
          <w:highlight w:val="yellow"/>
        </w:rPr>
        <w:t>产品经</w:t>
      </w:r>
      <w:r>
        <w:rPr>
          <w:rFonts w:hint="eastAsia" w:ascii="宋体" w:hAnsi="宋体" w:cs="宋体"/>
          <w:sz w:val="24"/>
          <w:highlight w:val="yellow"/>
          <w:lang w:eastAsia="zh-CN"/>
        </w:rPr>
        <w:t>招标人</w:t>
      </w:r>
      <w:r>
        <w:rPr>
          <w:rFonts w:hint="eastAsia" w:ascii="宋体" w:hAnsi="宋体" w:cs="宋体"/>
          <w:sz w:val="24"/>
          <w:highlight w:val="yellow"/>
        </w:rPr>
        <w:t>到货验收合格并签署《到货</w:t>
      </w:r>
      <w:r>
        <w:rPr>
          <w:rFonts w:hint="eastAsia" w:ascii="宋体" w:hAnsi="宋体" w:cs="宋体"/>
          <w:sz w:val="24"/>
          <w:highlight w:val="yellow"/>
          <w:lang w:val="en-US" w:eastAsia="zh-CN"/>
        </w:rPr>
        <w:t>签</w:t>
      </w:r>
      <w:r>
        <w:rPr>
          <w:rFonts w:hint="eastAsia" w:ascii="宋体" w:hAnsi="宋体" w:cs="宋体"/>
          <w:sz w:val="24"/>
          <w:highlight w:val="yellow"/>
        </w:rPr>
        <w:t>收单》之日起【30】个工作日内，</w:t>
      </w:r>
      <w:r>
        <w:rPr>
          <w:rFonts w:hint="eastAsia" w:ascii="宋体" w:hAnsi="宋体" w:cs="宋体"/>
          <w:sz w:val="24"/>
          <w:highlight w:val="yellow"/>
          <w:lang w:eastAsia="zh-CN"/>
        </w:rPr>
        <w:t>招标人</w:t>
      </w:r>
      <w:r>
        <w:rPr>
          <w:rFonts w:hint="eastAsia" w:ascii="宋体" w:hAnsi="宋体" w:cs="宋体"/>
          <w:sz w:val="24"/>
          <w:highlight w:val="yellow"/>
        </w:rPr>
        <w:t>向</w:t>
      </w:r>
      <w:r>
        <w:rPr>
          <w:rFonts w:hint="eastAsia" w:ascii="宋体" w:hAnsi="宋体" w:cs="宋体"/>
          <w:sz w:val="24"/>
          <w:highlight w:val="yellow"/>
          <w:lang w:eastAsia="zh-CN"/>
        </w:rPr>
        <w:t>供应商</w:t>
      </w:r>
      <w:r>
        <w:rPr>
          <w:rFonts w:hint="eastAsia" w:ascii="宋体" w:hAnsi="宋体" w:cs="宋体"/>
          <w:sz w:val="24"/>
          <w:highlight w:val="yellow"/>
        </w:rPr>
        <w:t>支付合同总金额【60】%的款项。</w:t>
      </w:r>
    </w:p>
    <w:p w14:paraId="06AFD411">
      <w:pPr>
        <w:spacing w:line="360" w:lineRule="auto"/>
        <w:ind w:firstLine="480" w:firstLineChars="200"/>
        <w:jc w:val="left"/>
        <w:rPr>
          <w:rFonts w:hint="eastAsia" w:ascii="宋体" w:hAnsi="宋体" w:cs="宋体"/>
          <w:sz w:val="24"/>
          <w:highlight w:val="yellow"/>
        </w:rPr>
      </w:pPr>
      <w:r>
        <w:rPr>
          <w:rFonts w:hint="eastAsia" w:ascii="宋体" w:hAnsi="宋体" w:cs="宋体"/>
          <w:sz w:val="24"/>
          <w:highlight w:val="yellow"/>
          <w:lang w:eastAsia="zh-CN"/>
        </w:rPr>
        <w:t>（</w:t>
      </w:r>
      <w:r>
        <w:rPr>
          <w:rFonts w:hint="eastAsia" w:ascii="宋体" w:hAnsi="宋体" w:cs="宋体"/>
          <w:sz w:val="24"/>
          <w:highlight w:val="yellow"/>
          <w:lang w:val="en-US" w:eastAsia="zh-CN"/>
        </w:rPr>
        <w:t>2</w:t>
      </w:r>
      <w:r>
        <w:rPr>
          <w:rFonts w:hint="eastAsia" w:ascii="宋体" w:hAnsi="宋体" w:cs="宋体"/>
          <w:sz w:val="24"/>
          <w:highlight w:val="yellow"/>
          <w:lang w:eastAsia="zh-CN"/>
        </w:rPr>
        <w:t>）</w:t>
      </w:r>
      <w:r>
        <w:rPr>
          <w:rFonts w:hint="eastAsia" w:ascii="宋体" w:hAnsi="宋体" w:cs="宋体"/>
          <w:sz w:val="24"/>
          <w:highlight w:val="yellow"/>
        </w:rPr>
        <w:t>产品经</w:t>
      </w:r>
      <w:r>
        <w:rPr>
          <w:rFonts w:hint="eastAsia" w:ascii="宋体" w:hAnsi="宋体" w:cs="宋体"/>
          <w:sz w:val="24"/>
          <w:highlight w:val="yellow"/>
          <w:lang w:eastAsia="zh-CN"/>
        </w:rPr>
        <w:t>招标人</w:t>
      </w:r>
      <w:r>
        <w:rPr>
          <w:rFonts w:hint="eastAsia" w:ascii="宋体" w:hAnsi="宋体" w:cs="宋体"/>
          <w:sz w:val="24"/>
          <w:highlight w:val="yellow"/>
        </w:rPr>
        <w:t>安装调试验收合格并签署《</w:t>
      </w:r>
      <w:r>
        <w:rPr>
          <w:rFonts w:hint="eastAsia" w:ascii="宋体" w:hAnsi="宋体" w:cs="宋体"/>
          <w:sz w:val="24"/>
          <w:highlight w:val="yellow"/>
          <w:lang w:val="en-US" w:eastAsia="zh-CN"/>
        </w:rPr>
        <w:t>验收报告</w:t>
      </w:r>
      <w:r>
        <w:rPr>
          <w:rFonts w:hint="eastAsia" w:ascii="宋体" w:hAnsi="宋体" w:cs="宋体"/>
          <w:sz w:val="24"/>
          <w:highlight w:val="yellow"/>
        </w:rPr>
        <w:t>》之日起【30】个工作日内，</w:t>
      </w:r>
      <w:r>
        <w:rPr>
          <w:rFonts w:hint="eastAsia" w:ascii="宋体" w:hAnsi="宋体" w:cs="宋体"/>
          <w:sz w:val="24"/>
          <w:highlight w:val="yellow"/>
          <w:lang w:eastAsia="zh-CN"/>
        </w:rPr>
        <w:t>招标人</w:t>
      </w:r>
      <w:r>
        <w:rPr>
          <w:rFonts w:hint="eastAsia" w:ascii="宋体" w:hAnsi="宋体" w:cs="宋体"/>
          <w:sz w:val="24"/>
          <w:highlight w:val="yellow"/>
        </w:rPr>
        <w:t>向</w:t>
      </w:r>
      <w:r>
        <w:rPr>
          <w:rFonts w:hint="eastAsia" w:ascii="宋体" w:hAnsi="宋体" w:cs="宋体"/>
          <w:sz w:val="24"/>
          <w:highlight w:val="yellow"/>
          <w:lang w:eastAsia="zh-CN"/>
        </w:rPr>
        <w:t>供应商</w:t>
      </w:r>
      <w:r>
        <w:rPr>
          <w:rFonts w:hint="eastAsia" w:ascii="宋体" w:hAnsi="宋体" w:cs="宋体"/>
          <w:sz w:val="24"/>
          <w:highlight w:val="yellow"/>
        </w:rPr>
        <w:t>支付合同总金额【35】%的款项。</w:t>
      </w:r>
    </w:p>
    <w:p w14:paraId="443F150C">
      <w:pPr>
        <w:spacing w:line="360" w:lineRule="auto"/>
        <w:ind w:firstLine="480" w:firstLineChars="200"/>
        <w:jc w:val="left"/>
        <w:rPr>
          <w:rFonts w:hint="eastAsia" w:ascii="宋体" w:hAnsi="宋体" w:cs="宋体"/>
          <w:sz w:val="24"/>
          <w:highlight w:val="yellow"/>
        </w:rPr>
      </w:pPr>
      <w:r>
        <w:rPr>
          <w:rFonts w:hint="eastAsia" w:ascii="宋体" w:hAnsi="宋体" w:cs="宋体"/>
          <w:sz w:val="24"/>
          <w:highlight w:val="yellow"/>
          <w:lang w:eastAsia="zh-CN"/>
        </w:rPr>
        <w:t>（</w:t>
      </w:r>
      <w:r>
        <w:rPr>
          <w:rFonts w:hint="eastAsia" w:ascii="宋体" w:hAnsi="宋体" w:cs="宋体"/>
          <w:sz w:val="24"/>
          <w:highlight w:val="yellow"/>
          <w:lang w:val="en-US" w:eastAsia="zh-CN"/>
        </w:rPr>
        <w:t>3</w:t>
      </w:r>
      <w:r>
        <w:rPr>
          <w:rFonts w:hint="eastAsia" w:ascii="宋体" w:hAnsi="宋体" w:cs="宋体"/>
          <w:sz w:val="24"/>
          <w:highlight w:val="yellow"/>
          <w:lang w:eastAsia="zh-CN"/>
        </w:rPr>
        <w:t>）</w:t>
      </w:r>
      <w:r>
        <w:rPr>
          <w:rFonts w:hint="eastAsia" w:ascii="宋体" w:hAnsi="宋体" w:cs="宋体"/>
          <w:sz w:val="24"/>
          <w:highlight w:val="yellow"/>
        </w:rPr>
        <w:t>自质保期满</w:t>
      </w:r>
      <w:r>
        <w:rPr>
          <w:rFonts w:hint="eastAsia" w:ascii="宋体" w:hAnsi="宋体" w:cs="宋体"/>
          <w:sz w:val="24"/>
          <w:highlight w:val="yellow"/>
          <w:lang w:val="en-US" w:eastAsia="zh-CN"/>
        </w:rPr>
        <w:t>3</w:t>
      </w:r>
      <w:r>
        <w:rPr>
          <w:rFonts w:hint="eastAsia" w:ascii="宋体" w:hAnsi="宋体" w:cs="宋体"/>
          <w:sz w:val="24"/>
          <w:highlight w:val="yellow"/>
        </w:rPr>
        <w:t>年之日起【30】个工作日内，</w:t>
      </w:r>
      <w:r>
        <w:rPr>
          <w:rFonts w:hint="eastAsia" w:ascii="宋体" w:hAnsi="宋体" w:cs="宋体"/>
          <w:sz w:val="24"/>
          <w:highlight w:val="yellow"/>
          <w:lang w:eastAsia="zh-CN"/>
        </w:rPr>
        <w:t>招标人</w:t>
      </w:r>
      <w:r>
        <w:rPr>
          <w:rFonts w:hint="eastAsia" w:ascii="宋体" w:hAnsi="宋体" w:cs="宋体"/>
          <w:sz w:val="24"/>
          <w:highlight w:val="yellow"/>
        </w:rPr>
        <w:t>向</w:t>
      </w:r>
      <w:r>
        <w:rPr>
          <w:rFonts w:hint="eastAsia" w:ascii="宋体" w:hAnsi="宋体" w:cs="宋体"/>
          <w:sz w:val="24"/>
          <w:highlight w:val="yellow"/>
          <w:lang w:eastAsia="zh-CN"/>
        </w:rPr>
        <w:t>供应商</w:t>
      </w:r>
      <w:r>
        <w:rPr>
          <w:rFonts w:hint="eastAsia" w:ascii="宋体" w:hAnsi="宋体" w:cs="宋体"/>
          <w:sz w:val="24"/>
          <w:highlight w:val="yellow"/>
        </w:rPr>
        <w:t>支付合同总金额【5】%的款项。</w:t>
      </w:r>
    </w:p>
    <w:p w14:paraId="779EAFA4">
      <w:pPr>
        <w:spacing w:line="360" w:lineRule="auto"/>
        <w:ind w:firstLine="480" w:firstLineChars="200"/>
        <w:jc w:val="left"/>
        <w:rPr>
          <w:rFonts w:hint="eastAsia" w:ascii="宋体" w:hAnsi="宋体" w:cs="宋体"/>
          <w:sz w:val="24"/>
          <w:highlight w:val="yellow"/>
        </w:rPr>
      </w:pPr>
      <w:r>
        <w:rPr>
          <w:rFonts w:hint="eastAsia" w:ascii="宋体" w:hAnsi="宋体" w:cs="宋体"/>
          <w:sz w:val="24"/>
          <w:highlight w:val="yellow"/>
          <w:lang w:eastAsia="zh-CN"/>
        </w:rPr>
        <w:t>（</w:t>
      </w:r>
      <w:r>
        <w:rPr>
          <w:rFonts w:hint="eastAsia" w:ascii="宋体" w:hAnsi="宋体" w:cs="宋体"/>
          <w:sz w:val="24"/>
          <w:highlight w:val="yellow"/>
          <w:lang w:val="en-US" w:eastAsia="zh-CN"/>
        </w:rPr>
        <w:t>4</w:t>
      </w:r>
      <w:r>
        <w:rPr>
          <w:rFonts w:hint="eastAsia" w:ascii="宋体" w:hAnsi="宋体" w:cs="宋体"/>
          <w:sz w:val="24"/>
          <w:highlight w:val="yellow"/>
          <w:lang w:eastAsia="zh-CN"/>
        </w:rPr>
        <w:t>）招标人</w:t>
      </w:r>
      <w:r>
        <w:rPr>
          <w:rFonts w:hint="eastAsia" w:ascii="宋体" w:hAnsi="宋体" w:cs="宋体"/>
          <w:sz w:val="24"/>
          <w:highlight w:val="yellow"/>
        </w:rPr>
        <w:t>第一次付款前，</w:t>
      </w:r>
      <w:r>
        <w:rPr>
          <w:rFonts w:hint="eastAsia" w:ascii="宋体" w:hAnsi="宋体" w:cs="宋体"/>
          <w:sz w:val="24"/>
          <w:highlight w:val="yellow"/>
          <w:lang w:eastAsia="zh-CN"/>
        </w:rPr>
        <w:t>供应商</w:t>
      </w:r>
      <w:r>
        <w:rPr>
          <w:rFonts w:hint="eastAsia" w:ascii="宋体" w:hAnsi="宋体" w:cs="宋体"/>
          <w:sz w:val="24"/>
          <w:highlight w:val="yellow"/>
        </w:rPr>
        <w:t>应当向</w:t>
      </w:r>
      <w:r>
        <w:rPr>
          <w:rFonts w:hint="eastAsia" w:ascii="宋体" w:hAnsi="宋体" w:cs="宋体"/>
          <w:sz w:val="24"/>
          <w:highlight w:val="yellow"/>
          <w:lang w:eastAsia="zh-CN"/>
        </w:rPr>
        <w:t>招标人</w:t>
      </w:r>
      <w:r>
        <w:rPr>
          <w:rFonts w:hint="eastAsia" w:ascii="宋体" w:hAnsi="宋体" w:cs="宋体"/>
          <w:sz w:val="24"/>
          <w:highlight w:val="yellow"/>
        </w:rPr>
        <w:t>交付与本合同总金额等额的发票。发票类别为：【增值税专用发票】，发票税率为：【13%】。</w:t>
      </w:r>
    </w:p>
    <w:p w14:paraId="44E9E2CD">
      <w:pPr>
        <w:pStyle w:val="5"/>
      </w:pPr>
      <w:r>
        <w:t>质量保证及及售后服务要求：</w:t>
      </w:r>
    </w:p>
    <w:p w14:paraId="6DF36816">
      <w:pPr>
        <w:pStyle w:val="5"/>
        <w:numPr>
          <w:ilvl w:val="0"/>
          <w:numId w:val="0"/>
        </w:numPr>
        <w:ind w:left="0" w:leftChars="0" w:firstLine="480" w:firstLineChars="0"/>
        <w:rPr>
          <w:rFonts w:hint="eastAsia" w:ascii="宋体" w:hAnsi="宋体" w:eastAsia="宋体" w:cs="宋体"/>
          <w:b w:val="0"/>
        </w:rPr>
      </w:pPr>
      <w:r>
        <w:rPr>
          <w:rFonts w:hint="default" w:ascii="宋体" w:hAnsi="宋体" w:eastAsia="宋体" w:cs="宋体"/>
          <w:b w:val="0"/>
          <w:kern w:val="2"/>
          <w:sz w:val="24"/>
          <w:szCs w:val="24"/>
          <w:lang w:bidi="ar-SA"/>
        </w:rPr>
        <w:t>1</w:t>
      </w:r>
      <w:r>
        <w:rPr>
          <w:rFonts w:hint="eastAsia" w:ascii="宋体" w:hAnsi="宋体" w:cs="宋体"/>
          <w:b w:val="0"/>
          <w:kern w:val="2"/>
          <w:sz w:val="24"/>
          <w:szCs w:val="24"/>
          <w:lang w:eastAsia="zh-CN" w:bidi="ar-SA"/>
        </w:rPr>
        <w:t>.</w:t>
      </w:r>
      <w:r>
        <w:t>合同内规定采购的产品必须确保为原厂生产，乙方应甲方要求免费指派专业工程技术人员到现场提供产品安装指导及系统调试。安装期间乙方负责提供的技术支持包括：现场安装指导、现场技术培训等工作，同时应确保系统开通及正常使用，协助解决安装中出现的技术问题。</w:t>
      </w:r>
    </w:p>
    <w:p w14:paraId="2DECF51A">
      <w:pPr>
        <w:pStyle w:val="5"/>
        <w:numPr>
          <w:ilvl w:val="0"/>
          <w:numId w:val="0"/>
        </w:numPr>
        <w:ind w:left="0" w:leftChars="0" w:firstLine="480" w:firstLineChars="0"/>
        <w:rPr>
          <w:rFonts w:hint="eastAsia" w:ascii="宋体" w:hAnsi="宋体" w:eastAsia="宋体" w:cs="宋体"/>
          <w:b w:val="0"/>
        </w:rPr>
      </w:pPr>
      <w:r>
        <w:rPr>
          <w:rFonts w:hint="default" w:ascii="宋体" w:hAnsi="宋体" w:eastAsia="宋体" w:cs="宋体"/>
          <w:b w:val="0"/>
          <w:kern w:val="2"/>
          <w:sz w:val="24"/>
          <w:szCs w:val="24"/>
          <w:lang w:bidi="ar-SA"/>
        </w:rPr>
        <w:t>2</w:t>
      </w:r>
      <w:r>
        <w:rPr>
          <w:rFonts w:hint="eastAsia" w:ascii="宋体" w:hAnsi="宋体" w:cs="宋体"/>
          <w:b w:val="0"/>
          <w:kern w:val="2"/>
          <w:sz w:val="24"/>
          <w:szCs w:val="24"/>
          <w:lang w:eastAsia="zh-CN" w:bidi="ar-SA"/>
        </w:rPr>
        <w:t>.</w:t>
      </w:r>
      <w:r>
        <w:t>乙方须向甲方免费提供产品安装调试和日常使用管理方案制度、技术数据、宣传资料和操作手册，便于产品在使用过程中的操作。乙方要免费为甲方产品主要使用人员和平时维护人员提供培训，便于这些人员掌握产品的使用和平时维护。</w:t>
      </w:r>
    </w:p>
    <w:p w14:paraId="7683A981">
      <w:pPr>
        <w:pStyle w:val="5"/>
        <w:numPr>
          <w:ilvl w:val="0"/>
          <w:numId w:val="0"/>
        </w:numPr>
        <w:ind w:left="0" w:leftChars="0" w:firstLine="480" w:firstLineChars="0"/>
        <w:rPr>
          <w:rFonts w:hint="eastAsia" w:ascii="宋体" w:hAnsi="宋体" w:eastAsia="宋体" w:cs="宋体"/>
          <w:b w:val="0"/>
        </w:rPr>
      </w:pPr>
      <w:r>
        <w:rPr>
          <w:rFonts w:hint="default" w:ascii="宋体" w:hAnsi="宋体" w:eastAsia="宋体" w:cs="宋体"/>
          <w:b w:val="0"/>
          <w:kern w:val="2"/>
          <w:sz w:val="24"/>
          <w:szCs w:val="24"/>
          <w:lang w:bidi="ar-SA"/>
        </w:rPr>
        <w:t>3</w:t>
      </w:r>
      <w:r>
        <w:rPr>
          <w:rFonts w:hint="eastAsia" w:ascii="宋体" w:hAnsi="宋体" w:cs="宋体"/>
          <w:b w:val="0"/>
          <w:kern w:val="2"/>
          <w:sz w:val="24"/>
          <w:szCs w:val="24"/>
          <w:lang w:eastAsia="zh-CN" w:bidi="ar-SA"/>
        </w:rPr>
        <w:t>.</w:t>
      </w:r>
      <w:r>
        <w:t>乙方保证向甲方提供的产品不会侵犯任何第三方的知识产权，否则乙方承担一切责任。乙方保证甲方拥有所购产品的合法使用权。</w:t>
      </w:r>
    </w:p>
    <w:p w14:paraId="7F9AB126">
      <w:pPr>
        <w:pStyle w:val="5"/>
        <w:numPr>
          <w:ilvl w:val="0"/>
          <w:numId w:val="0"/>
        </w:numPr>
        <w:ind w:left="0" w:leftChars="0" w:firstLine="480" w:firstLineChars="0"/>
        <w:rPr>
          <w:rFonts w:hint="eastAsia" w:ascii="宋体" w:hAnsi="宋体" w:eastAsia="宋体" w:cs="宋体"/>
          <w:b w:val="0"/>
        </w:rPr>
      </w:pPr>
      <w:r>
        <w:rPr>
          <w:rFonts w:hint="default" w:ascii="宋体" w:hAnsi="宋体" w:eastAsia="宋体" w:cs="宋体"/>
          <w:b w:val="0"/>
          <w:kern w:val="2"/>
          <w:sz w:val="24"/>
          <w:szCs w:val="24"/>
          <w:lang w:bidi="ar-SA"/>
        </w:rPr>
        <w:t>4</w:t>
      </w:r>
      <w:r>
        <w:rPr>
          <w:rFonts w:hint="eastAsia" w:ascii="宋体" w:hAnsi="宋体" w:cs="宋体"/>
          <w:b w:val="0"/>
          <w:kern w:val="2"/>
          <w:sz w:val="24"/>
          <w:szCs w:val="24"/>
          <w:lang w:eastAsia="zh-CN" w:bidi="ar-SA"/>
        </w:rPr>
        <w:t>.</w:t>
      </w:r>
      <w:r>
        <w:t>质量保证期自安装调试验收通过之日起计算，为【36】个月。</w:t>
      </w:r>
    </w:p>
    <w:p w14:paraId="36E68884">
      <w:pPr>
        <w:pStyle w:val="5"/>
        <w:numPr>
          <w:ilvl w:val="0"/>
          <w:numId w:val="0"/>
        </w:numPr>
        <w:ind w:left="0" w:leftChars="0" w:firstLine="480" w:firstLineChars="0"/>
        <w:rPr>
          <w:rFonts w:hint="eastAsia" w:ascii="宋体" w:hAnsi="宋体" w:eastAsia="宋体" w:cs="宋体"/>
          <w:b w:val="0"/>
        </w:rPr>
      </w:pPr>
      <w:r>
        <w:rPr>
          <w:rFonts w:hint="default" w:ascii="宋体" w:hAnsi="宋体" w:eastAsia="宋体" w:cs="宋体"/>
          <w:b w:val="0"/>
          <w:kern w:val="2"/>
          <w:sz w:val="24"/>
          <w:szCs w:val="24"/>
          <w:lang w:bidi="ar-SA"/>
        </w:rPr>
        <w:t>5</w:t>
      </w:r>
      <w:r>
        <w:rPr>
          <w:rFonts w:hint="eastAsia" w:ascii="宋体" w:hAnsi="宋体" w:cs="宋体"/>
          <w:b w:val="0"/>
          <w:kern w:val="2"/>
          <w:sz w:val="24"/>
          <w:szCs w:val="24"/>
          <w:lang w:eastAsia="zh-CN" w:bidi="ar-SA"/>
        </w:rPr>
        <w:t>.</w:t>
      </w:r>
      <w:r>
        <w:t>质量保证标准：乙方保证按照招标文件及投标文件要求的数量、型号、配置供货。乙方保证向甲方所提供的货物为全新的、未曾使用过的正品设备。乙方保证甲方所在省份配备有技术支持人员和备品备件库，以满足快速提供维修保障服务。</w:t>
      </w:r>
    </w:p>
    <w:p w14:paraId="12D6844D">
      <w:pPr>
        <w:pStyle w:val="5"/>
        <w:numPr>
          <w:ilvl w:val="0"/>
          <w:numId w:val="0"/>
        </w:numPr>
        <w:ind w:left="0" w:leftChars="0" w:firstLine="480" w:firstLineChars="0"/>
      </w:pPr>
      <w:r>
        <w:rPr>
          <w:rFonts w:hint="default" w:ascii="宋体" w:hAnsi="宋体" w:eastAsia="宋体" w:cs="宋体"/>
          <w:b w:val="0"/>
          <w:kern w:val="2"/>
          <w:sz w:val="24"/>
          <w:szCs w:val="24"/>
          <w:lang w:bidi="ar-SA"/>
        </w:rPr>
        <w:t>6</w:t>
      </w:r>
      <w:r>
        <w:rPr>
          <w:rFonts w:hint="eastAsia" w:ascii="宋体" w:hAnsi="宋体" w:cs="宋体"/>
          <w:b w:val="0"/>
          <w:kern w:val="2"/>
          <w:sz w:val="24"/>
          <w:szCs w:val="24"/>
          <w:lang w:eastAsia="zh-CN" w:bidi="ar-SA"/>
        </w:rPr>
        <w:t>.</w:t>
      </w:r>
      <w:r>
        <w:t>质量保证期内，设备免费保修，并能在每个日历日提供7*24小时技术支持和上门服务，且服务响应时间应不得高于4小时，故障解决时限不得高于8小时。质量保证期是指自双方代表在设备验收单上签字之日起，乙方对合同设备的正常稳定运行给予的质量保证期限，保证期内乙方负责免费纠正或清除合同设备出现的任何问题。</w:t>
      </w:r>
    </w:p>
    <w:p w14:paraId="3DD51EF4">
      <w:pPr>
        <w:pStyle w:val="5"/>
        <w:numPr>
          <w:ilvl w:val="0"/>
          <w:numId w:val="0"/>
        </w:numPr>
        <w:ind w:left="0" w:leftChars="0" w:firstLine="480" w:firstLineChars="0"/>
        <w:rPr>
          <w:rFonts w:hint="default" w:eastAsia="宋体"/>
          <w:lang w:val="en-US" w:eastAsia="zh-CN"/>
        </w:rPr>
      </w:pPr>
      <w:r>
        <w:rPr>
          <w:rFonts w:hint="eastAsia"/>
          <w:lang w:val="en-US" w:eastAsia="zh-CN"/>
        </w:rPr>
        <w:t>7.</w:t>
      </w:r>
      <w:r>
        <w:rPr>
          <w:rFonts w:ascii="宋体" w:hAnsi="宋体" w:eastAsia="宋体" w:cs="宋体"/>
          <w:sz w:val="24"/>
          <w:szCs w:val="24"/>
        </w:rPr>
        <w:t>提供原厂或交付地代表处授权的售后服务</w:t>
      </w:r>
    </w:p>
    <w:p w14:paraId="4EF826B1">
      <w:pPr>
        <w:pStyle w:val="5"/>
      </w:pPr>
      <w:r>
        <w:t>验收标准及方法：</w:t>
      </w:r>
    </w:p>
    <w:p w14:paraId="295F6F0E">
      <w:pPr>
        <w:pStyle w:val="5"/>
        <w:numPr>
          <w:ilvl w:val="0"/>
          <w:numId w:val="0"/>
        </w:numPr>
        <w:topLinePunct w:val="0"/>
        <w:ind w:left="0" w:leftChars="0" w:firstLine="480" w:firstLineChars="0"/>
        <w:rPr>
          <w:rFonts w:hint="eastAsia" w:ascii="宋体" w:hAnsi="宋体" w:eastAsia="宋体" w:cs="宋体"/>
          <w:b w:val="0"/>
          <w:highlight w:val="yellow"/>
        </w:rPr>
      </w:pPr>
      <w:r>
        <w:rPr>
          <w:rFonts w:hint="default" w:ascii="宋体" w:hAnsi="宋体" w:eastAsia="宋体" w:cs="宋体"/>
          <w:b w:val="0"/>
          <w:color w:val="auto"/>
          <w:kern w:val="2"/>
          <w:sz w:val="24"/>
          <w:szCs w:val="24"/>
          <w:highlight w:val="none"/>
          <w:lang w:bidi="ar-SA"/>
        </w:rPr>
        <w:t>1、</w:t>
      </w:r>
      <w:r>
        <w:rPr>
          <w:rFonts w:hint="eastAsia"/>
          <w:lang w:val="zh-CN"/>
        </w:rPr>
        <w:t>验收时间：乙方完成本次招标采购设备的安装调试，设备运行三个月无故障，乙方向甲方提交验收申请以及测试、验收相关文档，甲方审核通过后，将组织进行验收。验收合格后，由双方代表签署《验收报告》</w:t>
      </w:r>
    </w:p>
    <w:p w14:paraId="686018F1">
      <w:pPr>
        <w:pStyle w:val="5"/>
        <w:numPr>
          <w:ilvl w:val="0"/>
          <w:numId w:val="0"/>
        </w:numPr>
        <w:topLinePunct w:val="0"/>
        <w:ind w:left="0" w:leftChars="0" w:firstLine="480" w:firstLineChars="0"/>
        <w:rPr>
          <w:rFonts w:hint="eastAsia" w:ascii="宋体" w:hAnsi="宋体" w:eastAsia="宋体" w:cs="宋体"/>
          <w:b w:val="0"/>
        </w:rPr>
      </w:pPr>
      <w:r>
        <w:rPr>
          <w:rFonts w:hint="default" w:ascii="宋体" w:hAnsi="宋体" w:eastAsia="宋体" w:cs="宋体"/>
          <w:b w:val="0"/>
          <w:color w:val="auto"/>
          <w:kern w:val="2"/>
          <w:sz w:val="24"/>
          <w:szCs w:val="24"/>
          <w:highlight w:val="none"/>
          <w:lang w:bidi="ar-SA"/>
        </w:rPr>
        <w:t>2、</w:t>
      </w:r>
      <w:r>
        <w:t>验收方法：分节点验收。</w:t>
      </w:r>
    </w:p>
    <w:p w14:paraId="6CE620FD">
      <w:pPr>
        <w:pStyle w:val="5"/>
        <w:numPr>
          <w:ilvl w:val="0"/>
          <w:numId w:val="0"/>
        </w:numPr>
        <w:topLinePunct w:val="0"/>
        <w:ind w:left="0" w:leftChars="0" w:firstLine="480" w:firstLineChars="0"/>
        <w:rPr>
          <w:rFonts w:hint="eastAsia" w:ascii="宋体" w:hAnsi="宋体" w:eastAsia="宋体" w:cs="宋体"/>
          <w:b w:val="0"/>
        </w:rPr>
      </w:pPr>
      <w:r>
        <w:rPr>
          <w:rFonts w:hint="default" w:ascii="宋体" w:hAnsi="宋体" w:eastAsia="宋体" w:cs="宋体"/>
          <w:b w:val="0"/>
          <w:color w:val="auto"/>
          <w:kern w:val="2"/>
          <w:sz w:val="24"/>
          <w:szCs w:val="24"/>
          <w:highlight w:val="none"/>
          <w:lang w:bidi="ar-SA"/>
        </w:rPr>
        <w:t>3、</w:t>
      </w:r>
      <w:r>
        <w:t xml:space="preserve">验收条件： </w:t>
      </w:r>
    </w:p>
    <w:p w14:paraId="698E83EE">
      <w:pPr>
        <w:pStyle w:val="5"/>
        <w:numPr>
          <w:ilvl w:val="0"/>
          <w:numId w:val="0"/>
        </w:numPr>
        <w:ind w:left="0" w:leftChars="0" w:firstLine="480" w:firstLineChars="0"/>
        <w:rPr>
          <w:rFonts w:hint="eastAsia"/>
        </w:rPr>
      </w:pPr>
      <w:r>
        <w:rPr>
          <w:rFonts w:hint="eastAsia"/>
          <w:lang w:val="en-US" w:eastAsia="zh-CN"/>
        </w:rPr>
        <w:t>3.1</w:t>
      </w:r>
      <w:r>
        <w:rPr>
          <w:rFonts w:hint="eastAsia"/>
          <w:lang w:val="zh-CN"/>
        </w:rPr>
        <w:t>验收由甲、乙双方共同组织进行。乙方</w:t>
      </w:r>
      <w:r>
        <w:rPr>
          <w:rFonts w:hint="eastAsia"/>
        </w:rPr>
        <w:t>提供的货物质量标准</w:t>
      </w:r>
      <w:r>
        <w:rPr>
          <w:rFonts w:hint="eastAsia"/>
          <w:lang w:val="zh-CN"/>
        </w:rPr>
        <w:t>需</w:t>
      </w:r>
      <w:r>
        <w:rPr>
          <w:rFonts w:hint="eastAsia"/>
        </w:rPr>
        <w:t>满足</w:t>
      </w:r>
      <w:r>
        <w:rPr>
          <w:rFonts w:hint="eastAsia"/>
          <w:lang w:val="zh-CN"/>
        </w:rPr>
        <w:t>招标文件与投标文件及合同规定的规格、参数要求。</w:t>
      </w:r>
      <w:r>
        <w:rPr>
          <w:rFonts w:hint="eastAsia"/>
        </w:rPr>
        <w:t>若乙方的</w:t>
      </w:r>
      <w:r>
        <w:rPr>
          <w:rFonts w:hint="eastAsia"/>
          <w:lang w:val="zh-CN"/>
        </w:rPr>
        <w:t>设备供货与安装集成</w:t>
      </w:r>
      <w:r>
        <w:rPr>
          <w:rFonts w:hint="eastAsia"/>
        </w:rPr>
        <w:t>无法满足要求</w:t>
      </w:r>
      <w:r>
        <w:rPr>
          <w:rFonts w:hint="eastAsia"/>
          <w:lang w:val="zh-CN"/>
        </w:rPr>
        <w:t>，</w:t>
      </w:r>
      <w:r>
        <w:rPr>
          <w:rFonts w:hint="eastAsia"/>
        </w:rPr>
        <w:t>则需要进行整改，</w:t>
      </w:r>
      <w:r>
        <w:rPr>
          <w:rFonts w:hint="eastAsia"/>
          <w:lang w:val="zh-CN"/>
        </w:rPr>
        <w:t>直至满足招标文件要求</w:t>
      </w:r>
      <w:r>
        <w:rPr>
          <w:rFonts w:hint="eastAsia"/>
        </w:rPr>
        <w:t>为止（由此所产生的一切费用均由乙方承担）</w:t>
      </w:r>
      <w:r>
        <w:rPr>
          <w:rFonts w:hint="eastAsia"/>
          <w:lang w:val="zh-CN"/>
        </w:rPr>
        <w:t>，否则甲方将不予验收，不予支付货款。</w:t>
      </w:r>
    </w:p>
    <w:p w14:paraId="29C7AF13">
      <w:pPr>
        <w:adjustRightInd w:val="0"/>
        <w:spacing w:line="360" w:lineRule="auto"/>
        <w:ind w:firstLine="420" w:firstLineChars="200"/>
        <w:jc w:val="left"/>
        <w:rPr>
          <w:rFonts w:hint="eastAsia"/>
          <w:lang w:val="zh-CN"/>
        </w:rPr>
      </w:pPr>
      <w:r>
        <w:rPr>
          <w:rFonts w:hint="eastAsia"/>
          <w:lang w:val="en-US" w:eastAsia="zh-CN"/>
        </w:rPr>
        <w:t>3.2</w:t>
      </w:r>
      <w:r>
        <w:rPr>
          <w:rFonts w:hint="eastAsia" w:ascii="Times New Roman" w:hAnsi="Times New Roman" w:eastAsia="宋体" w:cs="Times New Roman"/>
          <w:kern w:val="2"/>
          <w:sz w:val="24"/>
          <w:szCs w:val="24"/>
          <w:lang w:val="zh-CN" w:bidi="ar-SA"/>
        </w:rPr>
        <w:t>到货检验：需现场安装、调试后验收的设备，以合同清单为依据，根据采购文件要求,对全部设备、产品、型号、规格、数量、外形、外观、包装及资料、文件（包括装箱单、保修单、随箱介质等）点验，检验合格后甲方签署《到货</w:t>
      </w:r>
      <w:r>
        <w:rPr>
          <w:rFonts w:hint="eastAsia" w:ascii="Times New Roman" w:hAnsi="Times New Roman" w:eastAsia="宋体" w:cs="Times New Roman"/>
          <w:kern w:val="2"/>
          <w:sz w:val="24"/>
          <w:szCs w:val="24"/>
          <w:lang w:val="en-US" w:eastAsia="zh-CN" w:bidi="ar-SA"/>
        </w:rPr>
        <w:t>签</w:t>
      </w:r>
      <w:r>
        <w:rPr>
          <w:rFonts w:hint="eastAsia" w:ascii="Times New Roman" w:hAnsi="Times New Roman" w:eastAsia="宋体" w:cs="Times New Roman"/>
          <w:kern w:val="2"/>
          <w:sz w:val="24"/>
          <w:szCs w:val="24"/>
          <w:lang w:val="zh-CN" w:bidi="ar-SA"/>
        </w:rPr>
        <w:t>收单》。如发现有任何问题，甲方有权在到货验收单上注明，并相应延迟付款期限，直到乙方解决问题完毕。</w:t>
      </w:r>
    </w:p>
    <w:p w14:paraId="5AE1454A">
      <w:pPr>
        <w:pStyle w:val="5"/>
        <w:numPr>
          <w:ilvl w:val="0"/>
          <w:numId w:val="0"/>
        </w:numPr>
        <w:ind w:left="0" w:leftChars="0" w:firstLine="480" w:firstLineChars="0"/>
        <w:rPr>
          <w:rFonts w:hint="eastAsia"/>
          <w:lang w:val="zh-CN"/>
        </w:rPr>
      </w:pPr>
      <w:r>
        <w:rPr>
          <w:rFonts w:hint="eastAsia"/>
          <w:lang w:val="en-US" w:eastAsia="zh-CN"/>
        </w:rPr>
        <w:t>3.3</w:t>
      </w:r>
      <w:r>
        <w:rPr>
          <w:rFonts w:hint="eastAsia"/>
          <w:lang w:val="zh-CN"/>
        </w:rPr>
        <w:t>安装集成验收：乙方完成本次招标采购设备的安装调试，设备运行三个月无故障，乙方向甲方提交验收申请以及测试、验收相关文档，甲方审核通过后，将组织进行验收。验收合格后，由双方代表签署《验收报告》。</w:t>
      </w:r>
    </w:p>
    <w:p w14:paraId="5C22AA46">
      <w:pPr>
        <w:pStyle w:val="5"/>
        <w:numPr>
          <w:ilvl w:val="0"/>
          <w:numId w:val="0"/>
        </w:numPr>
        <w:ind w:left="0" w:leftChars="0" w:firstLine="480" w:firstLineChars="0"/>
        <w:rPr>
          <w:rFonts w:hint="eastAsia"/>
          <w:lang w:val="zh-CN"/>
        </w:rPr>
      </w:pPr>
      <w:r>
        <w:rPr>
          <w:rFonts w:hint="eastAsia"/>
          <w:lang w:val="en-US" w:eastAsia="zh-CN"/>
        </w:rPr>
        <w:t>3.4</w:t>
      </w:r>
      <w:r>
        <w:rPr>
          <w:rFonts w:hint="eastAsia"/>
          <w:lang w:val="zh-CN"/>
        </w:rPr>
        <w:t>签字后的验收报告作为乙方向甲方要求付款时提交的付款依据之一。</w:t>
      </w:r>
    </w:p>
    <w:p w14:paraId="26A03B74">
      <w:pPr>
        <w:pStyle w:val="5"/>
        <w:numPr>
          <w:ilvl w:val="0"/>
          <w:numId w:val="0"/>
        </w:numPr>
        <w:ind w:left="0" w:leftChars="0" w:firstLine="480" w:firstLineChars="0"/>
        <w:rPr>
          <w:rFonts w:hint="eastAsia" w:ascii="宋体" w:hAnsi="宋体" w:cs="仿宋_GB2312"/>
          <w:sz w:val="22"/>
          <w:szCs w:val="28"/>
        </w:rPr>
      </w:pPr>
      <w:r>
        <w:rPr>
          <w:rFonts w:hint="eastAsia"/>
          <w:lang w:val="en-US" w:eastAsia="zh-CN"/>
        </w:rPr>
        <w:t>3.5</w:t>
      </w:r>
      <w:r>
        <w:rPr>
          <w:rFonts w:hint="eastAsia"/>
        </w:rPr>
        <w:t>验收不合格的，甲方向乙方提出书面异议，乙方应在24小时内积极响应，在接到书面异议后进行修理或更换，乙方在接到书面异议后的3个工作日内未进行修理或更换，或修理或更换后仍验收不合格，则甲方有权单方解除合同，乙方须退还甲方已支付款项、支付甲方已付款20%的违约金，并赔偿甲方因此受到的经济损失。</w:t>
      </w:r>
    </w:p>
    <w:p w14:paraId="5FC02AB4">
      <w:pPr>
        <w:pStyle w:val="5"/>
      </w:pPr>
      <w:r>
        <w:t>售后服务：</w:t>
      </w:r>
    </w:p>
    <w:p w14:paraId="78913A33">
      <w:pPr>
        <w:pStyle w:val="4"/>
        <w:numPr>
          <w:ilvl w:val="0"/>
          <w:numId w:val="1"/>
        </w:numPr>
        <w:ind w:left="0" w:leftChars="0" w:firstLine="0" w:firstLineChars="0"/>
        <w:rPr>
          <w:rFonts w:hint="eastAsia" w:ascii="Times New Roman" w:hAnsi="Times New Roman" w:eastAsia="宋体" w:cs="Times New Roman"/>
          <w:bCs w:val="0"/>
          <w:kern w:val="2"/>
          <w:sz w:val="24"/>
          <w:szCs w:val="24"/>
          <w:lang w:bidi="ar-SA"/>
        </w:rPr>
      </w:pPr>
      <w:bookmarkStart w:id="0" w:name="_Hlk192064979"/>
      <w:r>
        <w:rPr>
          <w:rFonts w:hint="eastAsia" w:ascii="Times New Roman" w:hAnsi="Times New Roman" w:eastAsia="宋体" w:cs="Times New Roman"/>
          <w:bCs w:val="0"/>
          <w:kern w:val="2"/>
          <w:sz w:val="24"/>
          <w:szCs w:val="24"/>
          <w:lang w:bidi="ar-SA"/>
        </w:rPr>
        <w:t>售后服务承诺事项为：</w:t>
      </w:r>
    </w:p>
    <w:p w14:paraId="3C9368D5">
      <w:pPr>
        <w:pStyle w:val="5"/>
        <w:numPr>
          <w:ilvl w:val="0"/>
          <w:numId w:val="2"/>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、本项目售后服务期：自项目验收合格后3年。</w:t>
      </w:r>
    </w:p>
    <w:p w14:paraId="58ADF7D7">
      <w:pPr>
        <w:pStyle w:val="5"/>
        <w:numPr>
          <w:ilvl w:val="0"/>
          <w:numId w:val="2"/>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、在验收合格后的售后服务期内，免费提供主动巡检和客户回访服务，其中：现场巡检为每三个月1次，具体时间与甲方协商确定；在每次服务完成后提交服务报告并向甲方汇报。</w:t>
      </w:r>
    </w:p>
    <w:p w14:paraId="642E02CE">
      <w:pPr>
        <w:pStyle w:val="5"/>
        <w:numPr>
          <w:ilvl w:val="0"/>
          <w:numId w:val="2"/>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057D1BD6">
      <w:pPr>
        <w:pStyle w:val="5"/>
        <w:numPr>
          <w:ilvl w:val="0"/>
          <w:numId w:val="2"/>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、在售后服务期内，如果由于乙方的责任，合同设备功能不能达到或者合同设备不能进行正常运行，质保期将按照上述问题持续的时间作相应延长。</w:t>
      </w:r>
    </w:p>
    <w:p w14:paraId="73BB8D6A">
      <w:pPr>
        <w:pStyle w:val="5"/>
        <w:numPr>
          <w:ilvl w:val="0"/>
          <w:numId w:val="2"/>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、在售后服务期内，为了提供合同设备的维护，在收到甲方的书面或电话通知后，乙方应迅速免费（包括免收但不限于免收运费、保险费、包装费用）补充或更换设备中有故障的部件。</w:t>
      </w:r>
    </w:p>
    <w:p w14:paraId="6A776A19">
      <w:pPr>
        <w:pStyle w:val="5"/>
        <w:numPr>
          <w:ilvl w:val="0"/>
          <w:numId w:val="2"/>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、在售后服务期内，乙方将指定1名技术人员作为项目固定支持人员，如果该类人员出现交替乙方须提前一周告知甲方。</w:t>
      </w:r>
    </w:p>
    <w:p w14:paraId="624D8CA1">
      <w:pPr>
        <w:pStyle w:val="5"/>
        <w:numPr>
          <w:ilvl w:val="0"/>
          <w:numId w:val="2"/>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、合同售后服务期满后，如甲方有要求，乙方有义务继续以优惠价格向甲方提供与本合同设备相兼容的性能不低于原部件并能使合同设备正常运行的零部件。</w:t>
      </w:r>
    </w:p>
    <w:p w14:paraId="7BF20499">
      <w:pPr>
        <w:pStyle w:val="5"/>
        <w:numPr>
          <w:ilvl w:val="0"/>
          <w:numId w:val="2"/>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、一方因违约给对方造成损失的，双方没有约定违约金或支付违约金后仍不足以弥补对方损失的部分，违约方仍负有赔偿义务。</w:t>
      </w:r>
    </w:p>
    <w:bookmarkEnd w:id="0"/>
    <w:p w14:paraId="78B8B81F">
      <w:pPr>
        <w:pStyle w:val="4"/>
        <w:numPr>
          <w:ilvl w:val="0"/>
          <w:numId w:val="1"/>
        </w:numPr>
        <w:ind w:left="0" w:leftChars="0" w:firstLine="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安全保障有关事项：</w:t>
      </w:r>
    </w:p>
    <w:p w14:paraId="076BF9D0">
      <w:pPr>
        <w:pStyle w:val="5"/>
        <w:numPr>
          <w:ilvl w:val="0"/>
          <w:numId w:val="3"/>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、乙方须对有关安全和企业秘密事宜负责，否则应承担相应的法律责任。</w:t>
      </w:r>
    </w:p>
    <w:p w14:paraId="5CE99E3C">
      <w:pPr>
        <w:pStyle w:val="5"/>
        <w:numPr>
          <w:ilvl w:val="0"/>
          <w:numId w:val="3"/>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、乙方须加强设备安装和工程施工过程中的安全管理，并确保设备设施的产品安全质量和安装安全性符合国家和行业安全要求，如因设备产品质量和安装安全问题导至安全事故发生，由乙方承担相应的法律责任。</w:t>
      </w:r>
    </w:p>
    <w:p w14:paraId="70313865">
      <w:pPr>
        <w:pStyle w:val="5"/>
        <w:numPr>
          <w:ilvl w:val="0"/>
          <w:numId w:val="3"/>
        </w:numPr>
        <w:ind w:left="0" w:leftChars="0" w:firstLine="480" w:firstLineChars="0"/>
        <w:rPr>
          <w:rFonts w:hint="eastAsia" w:ascii="Times New Roman" w:hAnsi="Times New Roman" w:eastAsia="宋体" w:cs="Times New Roman"/>
          <w:bCs w:val="0"/>
          <w:kern w:val="2"/>
          <w:sz w:val="24"/>
          <w:szCs w:val="24"/>
          <w:lang w:bidi="ar-SA"/>
        </w:rPr>
      </w:pPr>
      <w:r>
        <w:rPr>
          <w:rFonts w:hint="eastAsia" w:ascii="Times New Roman" w:hAnsi="Times New Roman" w:eastAsia="宋体" w:cs="Times New Roman"/>
          <w:bCs w:val="0"/>
          <w:kern w:val="2"/>
          <w:sz w:val="24"/>
          <w:szCs w:val="24"/>
          <w:lang w:bidi="ar-SA"/>
        </w:rPr>
        <w:t>、乙方进入甲方场地，须遵守甲方相关制度、规程，切实避免事故发生。</w:t>
      </w:r>
    </w:p>
    <w:p w14:paraId="055FDF9E">
      <w:pPr>
        <w:adjustRightInd w:val="0"/>
        <w:snapToGrid w:val="0"/>
        <w:spacing w:line="360" w:lineRule="auto"/>
        <w:ind w:firstLine="440" w:firstLineChars="200"/>
        <w:rPr>
          <w:rFonts w:hint="eastAsia" w:ascii="宋体" w:hAnsi="宋体" w:cs="仿宋_GB2312"/>
          <w:sz w:val="22"/>
          <w:szCs w:val="22"/>
        </w:rPr>
      </w:pPr>
    </w:p>
    <w:p w14:paraId="6DEC06A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C693A"/>
    <w:multiLevelType w:val="singleLevel"/>
    <w:tmpl w:val="9E8C693A"/>
    <w:lvl w:ilvl="0" w:tentative="0">
      <w:start w:val="1"/>
      <w:numFmt w:val="decimal"/>
      <w:suff w:val="space"/>
      <w:lvlText w:val="1.%1"/>
      <w:lvlJc w:val="left"/>
      <w:pPr>
        <w:ind w:left="0" w:firstLine="480"/>
      </w:pPr>
      <w:rPr>
        <w:rFonts w:hint="default"/>
      </w:rPr>
    </w:lvl>
  </w:abstractNum>
  <w:abstractNum w:abstractNumId="1">
    <w:nsid w:val="A1615E70"/>
    <w:multiLevelType w:val="singleLevel"/>
    <w:tmpl w:val="A1615E70"/>
    <w:lvl w:ilvl="0" w:tentative="0">
      <w:start w:val="1"/>
      <w:numFmt w:val="decimal"/>
      <w:suff w:val="space"/>
      <w:lvlText w:val="%1."/>
      <w:lvlJc w:val="left"/>
      <w:pPr>
        <w:ind w:left="0" w:firstLine="0"/>
      </w:pPr>
      <w:rPr>
        <w:rFonts w:hint="default"/>
      </w:rPr>
    </w:lvl>
  </w:abstractNum>
  <w:abstractNum w:abstractNumId="2">
    <w:nsid w:val="D580528F"/>
    <w:multiLevelType w:val="singleLevel"/>
    <w:tmpl w:val="D580528F"/>
    <w:lvl w:ilvl="0" w:tentative="0">
      <w:start w:val="1"/>
      <w:numFmt w:val="decimal"/>
      <w:suff w:val="space"/>
      <w:lvlText w:val="2.%1"/>
      <w:lvlJc w:val="left"/>
      <w:pPr>
        <w:ind w:left="0" w:firstLine="4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E4A3C"/>
    <w:rsid w:val="025609C0"/>
    <w:rsid w:val="7D0E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4"/>
    <w:basedOn w:val="1"/>
    <w:next w:val="1"/>
    <w:qFormat/>
    <w:uiPriority w:val="0"/>
    <w:pPr>
      <w:keepNext/>
      <w:keepLines/>
      <w:outlineLvl w:val="3"/>
    </w:pPr>
    <w:rPr>
      <w:rFonts w:ascii="Arial" w:hAnsi="Arial" w:eastAsia="黑体"/>
      <w:bCs/>
      <w:kern w:val="0"/>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5">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6">
    <w:name w:val="Body Text Indent"/>
    <w:basedOn w:val="1"/>
    <w:qFormat/>
    <w:uiPriority w:val="0"/>
    <w:pPr>
      <w:spacing w:line="300" w:lineRule="auto"/>
      <w:ind w:firstLine="225" w:firstLineChars="225"/>
    </w:pPr>
    <w:rPr>
      <w:sz w:val="24"/>
    </w:rPr>
  </w:style>
  <w:style w:type="paragraph" w:styleId="7">
    <w:name w:val="Body Text First Indent 2"/>
    <w:basedOn w:val="6"/>
    <w:qFormat/>
    <w:uiPriority w:val="0"/>
    <w:pPr>
      <w:ind w:firstLine="482" w:firstLineChars="200"/>
    </w:pPr>
    <w:rPr>
      <w:rFonts w:ascii="Calibri" w:hAnsi="Calibri"/>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4358</Words>
  <Characters>4719</Characters>
  <Lines>0</Lines>
  <Paragraphs>0</Paragraphs>
  <TotalTime>0</TotalTime>
  <ScaleCrop>false</ScaleCrop>
  <LinksUpToDate>false</LinksUpToDate>
  <CharactersWithSpaces>4790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2025-07-16T07:25:00Z</dcterms:created>
  <dc:creator>湛旭刚</dc:creator>
  <cp:lastModifiedBy>湛旭刚</cp:lastModifiedBy>
  <dcterms:modified xsi:type="dcterms:W3CDTF">2025-07-21T06:31:17Z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780916C4E0AC4D9C936573F30C3654BF_13</vt:lpwstr>
  </property>
  <property fmtid="{D5CDD505-2E9C-101B-9397-08002B2CF9AE}" pid="4" name="KSOTemplateDocerSaveRecord">
    <vt:lpwstr>eyJoZGlkIjoiOWJkYzdlNzhhZGY5YWM4OTFhMjE2ZmFmN2ViYTMzZTUiLCJ1c2VySWQiOiI0MzU3OTIwODIifQ==</vt:lpwstr>
  </property>
</Properties>
</file>