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21" w:rsidRDefault="007D6421" w:rsidP="007D6421">
      <w:pPr>
        <w:jc w:val="center"/>
        <w:rPr>
          <w:rFonts w:ascii="宋体" w:hAnsi="宋体" w:cs="仿宋_GB2312" w:hint="eastAsia"/>
          <w:sz w:val="48"/>
          <w:szCs w:val="48"/>
        </w:rPr>
      </w:pPr>
      <w:bookmarkStart w:id="0" w:name="_Toc198646241"/>
      <w:proofErr w:type="spellStart"/>
      <w:r>
        <w:rPr>
          <w:rStyle w:val="1Char"/>
          <w:rFonts w:hint="eastAsia"/>
          <w:sz w:val="48"/>
          <w:szCs w:val="48"/>
        </w:rPr>
        <w:t>第三章</w:t>
      </w:r>
      <w:proofErr w:type="spellEnd"/>
      <w:r>
        <w:rPr>
          <w:rStyle w:val="1Char"/>
          <w:rFonts w:hint="eastAsia"/>
          <w:sz w:val="48"/>
          <w:szCs w:val="48"/>
        </w:rPr>
        <w:t xml:space="preserve"> </w:t>
      </w:r>
      <w:proofErr w:type="spellStart"/>
      <w:r>
        <w:rPr>
          <w:rStyle w:val="1Char"/>
          <w:rFonts w:hint="eastAsia"/>
          <w:sz w:val="48"/>
          <w:szCs w:val="48"/>
        </w:rPr>
        <w:t>技术、服务及其他商务要求</w:t>
      </w:r>
      <w:bookmarkEnd w:id="0"/>
      <w:proofErr w:type="spellEnd"/>
    </w:p>
    <w:p w:rsidR="007D6421" w:rsidRDefault="007D6421" w:rsidP="007D6421">
      <w:pPr>
        <w:spacing w:line="360" w:lineRule="auto"/>
        <w:ind w:firstLineChars="200" w:firstLine="440"/>
        <w:rPr>
          <w:rFonts w:ascii="宋体" w:hAnsi="宋体" w:hint="eastAsia"/>
          <w:kern w:val="0"/>
          <w:sz w:val="22"/>
          <w:szCs w:val="22"/>
        </w:rPr>
      </w:pPr>
      <w:r>
        <w:rPr>
          <w:rFonts w:ascii="宋体" w:hAnsi="宋体" w:hint="eastAsia"/>
          <w:kern w:val="0"/>
          <w:sz w:val="22"/>
          <w:szCs w:val="22"/>
        </w:rPr>
        <w:t>一、为湖北香青肥料科技有限公司提供一项</w:t>
      </w:r>
      <w:r>
        <w:rPr>
          <w:rFonts w:ascii="宋体" w:hAnsi="宋体" w:hint="eastAsia"/>
          <w:sz w:val="22"/>
          <w:szCs w:val="22"/>
        </w:rPr>
        <w:t>复肥输送设备改造服务</w:t>
      </w:r>
      <w:r>
        <w:rPr>
          <w:rFonts w:ascii="宋体" w:hAnsi="宋体" w:hint="eastAsia"/>
          <w:kern w:val="0"/>
          <w:sz w:val="22"/>
          <w:szCs w:val="22"/>
        </w:rPr>
        <w:t>，具体需求如下：</w:t>
      </w:r>
    </w:p>
    <w:p w:rsidR="007D6421" w:rsidRDefault="007D6421" w:rsidP="007D6421">
      <w:pPr>
        <w:snapToGrid w:val="0"/>
        <w:spacing w:line="360" w:lineRule="auto"/>
        <w:ind w:rightChars="50" w:right="105"/>
        <w:rPr>
          <w:rFonts w:ascii="宋体" w:hAnsi="宋体" w:cs="Arial" w:hint="eastAsia"/>
          <w:b/>
          <w:color w:val="000000"/>
          <w:sz w:val="22"/>
          <w:szCs w:val="22"/>
        </w:rPr>
      </w:pPr>
      <w:bookmarkStart w:id="1" w:name="OLE_LINK133"/>
      <w:bookmarkStart w:id="2" w:name="OLE_LINK134"/>
      <w:r>
        <w:rPr>
          <w:rFonts w:ascii="宋体" w:hAnsi="宋体" w:cs="Arial" w:hint="eastAsia"/>
          <w:b/>
          <w:color w:val="000000"/>
          <w:sz w:val="22"/>
          <w:szCs w:val="22"/>
        </w:rPr>
        <w:t>（1）项目特征描述及数量</w:t>
      </w:r>
    </w:p>
    <w:tbl>
      <w:tblPr>
        <w:tblW w:w="85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
        <w:gridCol w:w="1400"/>
        <w:gridCol w:w="3160"/>
        <w:gridCol w:w="2160"/>
        <w:gridCol w:w="1080"/>
      </w:tblGrid>
      <w:tr w:rsidR="007D6421" w:rsidTr="00C652A0">
        <w:trPr>
          <w:cantSplit/>
          <w:trHeight w:val="319"/>
        </w:trPr>
        <w:tc>
          <w:tcPr>
            <w:tcW w:w="707" w:type="dxa"/>
            <w:vMerge w:val="restart"/>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序号</w:t>
            </w:r>
          </w:p>
        </w:tc>
        <w:tc>
          <w:tcPr>
            <w:tcW w:w="1400" w:type="dxa"/>
            <w:vMerge w:val="restart"/>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项目名称</w:t>
            </w:r>
          </w:p>
        </w:tc>
        <w:tc>
          <w:tcPr>
            <w:tcW w:w="3160" w:type="dxa"/>
            <w:vMerge w:val="restart"/>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项目特征描述</w:t>
            </w:r>
          </w:p>
        </w:tc>
        <w:tc>
          <w:tcPr>
            <w:tcW w:w="2160" w:type="dxa"/>
            <w:vMerge w:val="restart"/>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计量单位</w:t>
            </w:r>
          </w:p>
        </w:tc>
        <w:tc>
          <w:tcPr>
            <w:tcW w:w="1080" w:type="dxa"/>
            <w:vMerge w:val="restart"/>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数量</w:t>
            </w:r>
          </w:p>
        </w:tc>
      </w:tr>
      <w:tr w:rsidR="007D6421" w:rsidTr="00C652A0">
        <w:trPr>
          <w:cantSplit/>
          <w:trHeight w:val="319"/>
        </w:trPr>
        <w:tc>
          <w:tcPr>
            <w:tcW w:w="707" w:type="dxa"/>
            <w:vMerge/>
            <w:vAlign w:val="center"/>
          </w:tcPr>
          <w:p w:rsidR="007D6421" w:rsidRDefault="007D6421" w:rsidP="00C652A0">
            <w:pPr>
              <w:widowControl/>
              <w:jc w:val="left"/>
              <w:rPr>
                <w:rFonts w:ascii="宋体" w:hAnsi="宋体" w:cs="宋体"/>
                <w:sz w:val="20"/>
              </w:rPr>
            </w:pPr>
          </w:p>
        </w:tc>
        <w:tc>
          <w:tcPr>
            <w:tcW w:w="1400" w:type="dxa"/>
            <w:vMerge/>
            <w:vAlign w:val="center"/>
          </w:tcPr>
          <w:p w:rsidR="007D6421" w:rsidRDefault="007D6421" w:rsidP="00C652A0">
            <w:pPr>
              <w:widowControl/>
              <w:jc w:val="left"/>
              <w:rPr>
                <w:rFonts w:ascii="宋体" w:hAnsi="宋体" w:cs="宋体"/>
                <w:sz w:val="20"/>
              </w:rPr>
            </w:pPr>
          </w:p>
        </w:tc>
        <w:tc>
          <w:tcPr>
            <w:tcW w:w="3160" w:type="dxa"/>
            <w:vMerge/>
            <w:vAlign w:val="center"/>
          </w:tcPr>
          <w:p w:rsidR="007D6421" w:rsidRDefault="007D6421" w:rsidP="00C652A0">
            <w:pPr>
              <w:widowControl/>
              <w:jc w:val="left"/>
              <w:rPr>
                <w:rFonts w:ascii="宋体" w:hAnsi="宋体" w:cs="宋体"/>
                <w:sz w:val="20"/>
              </w:rPr>
            </w:pPr>
          </w:p>
        </w:tc>
        <w:tc>
          <w:tcPr>
            <w:tcW w:w="2160" w:type="dxa"/>
            <w:vMerge/>
            <w:vAlign w:val="center"/>
          </w:tcPr>
          <w:p w:rsidR="007D6421" w:rsidRDefault="007D6421" w:rsidP="00C652A0">
            <w:pPr>
              <w:widowControl/>
              <w:jc w:val="left"/>
              <w:rPr>
                <w:rFonts w:ascii="宋体" w:hAnsi="宋体" w:cs="宋体"/>
                <w:sz w:val="20"/>
              </w:rPr>
            </w:pPr>
          </w:p>
        </w:tc>
        <w:tc>
          <w:tcPr>
            <w:tcW w:w="1080" w:type="dxa"/>
            <w:vMerge/>
            <w:vAlign w:val="center"/>
          </w:tcPr>
          <w:p w:rsidR="007D6421" w:rsidRDefault="007D6421" w:rsidP="00C652A0">
            <w:pPr>
              <w:widowControl/>
              <w:jc w:val="left"/>
              <w:rPr>
                <w:rFonts w:ascii="宋体" w:hAnsi="宋体" w:cs="宋体"/>
                <w:sz w:val="20"/>
              </w:rPr>
            </w:pPr>
          </w:p>
        </w:tc>
      </w:tr>
      <w:tr w:rsidR="007D6421" w:rsidTr="00C652A0">
        <w:trPr>
          <w:cantSplit/>
          <w:trHeight w:val="319"/>
        </w:trPr>
        <w:tc>
          <w:tcPr>
            <w:tcW w:w="707" w:type="dxa"/>
            <w:vMerge/>
            <w:vAlign w:val="center"/>
          </w:tcPr>
          <w:p w:rsidR="007D6421" w:rsidRDefault="007D6421" w:rsidP="00C652A0">
            <w:pPr>
              <w:widowControl/>
              <w:jc w:val="left"/>
              <w:rPr>
                <w:rFonts w:ascii="宋体" w:hAnsi="宋体" w:cs="宋体"/>
                <w:sz w:val="20"/>
              </w:rPr>
            </w:pPr>
          </w:p>
        </w:tc>
        <w:tc>
          <w:tcPr>
            <w:tcW w:w="1400" w:type="dxa"/>
            <w:vMerge/>
            <w:vAlign w:val="center"/>
          </w:tcPr>
          <w:p w:rsidR="007D6421" w:rsidRDefault="007D6421" w:rsidP="00C652A0">
            <w:pPr>
              <w:widowControl/>
              <w:jc w:val="left"/>
              <w:rPr>
                <w:rFonts w:ascii="宋体" w:hAnsi="宋体" w:cs="宋体"/>
                <w:sz w:val="20"/>
              </w:rPr>
            </w:pPr>
          </w:p>
        </w:tc>
        <w:tc>
          <w:tcPr>
            <w:tcW w:w="3160" w:type="dxa"/>
            <w:vMerge/>
            <w:vAlign w:val="center"/>
          </w:tcPr>
          <w:p w:rsidR="007D6421" w:rsidRDefault="007D6421" w:rsidP="00C652A0">
            <w:pPr>
              <w:widowControl/>
              <w:jc w:val="left"/>
              <w:rPr>
                <w:rFonts w:ascii="宋体" w:hAnsi="宋体" w:cs="宋体"/>
                <w:sz w:val="20"/>
              </w:rPr>
            </w:pPr>
          </w:p>
        </w:tc>
        <w:tc>
          <w:tcPr>
            <w:tcW w:w="2160" w:type="dxa"/>
            <w:vMerge/>
            <w:vAlign w:val="center"/>
          </w:tcPr>
          <w:p w:rsidR="007D6421" w:rsidRDefault="007D6421" w:rsidP="00C652A0">
            <w:pPr>
              <w:widowControl/>
              <w:jc w:val="left"/>
              <w:rPr>
                <w:rFonts w:ascii="宋体" w:hAnsi="宋体" w:cs="宋体"/>
                <w:sz w:val="20"/>
              </w:rPr>
            </w:pPr>
          </w:p>
        </w:tc>
        <w:tc>
          <w:tcPr>
            <w:tcW w:w="1080" w:type="dxa"/>
            <w:vMerge/>
            <w:vAlign w:val="center"/>
          </w:tcPr>
          <w:p w:rsidR="007D6421" w:rsidRDefault="007D6421" w:rsidP="00C652A0">
            <w:pPr>
              <w:widowControl/>
              <w:jc w:val="left"/>
              <w:rPr>
                <w:rFonts w:ascii="宋体" w:hAnsi="宋体" w:cs="宋体"/>
                <w:sz w:val="20"/>
              </w:rPr>
            </w:pP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固定式胶带输送机</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1.名称:皮带机</w:t>
            </w:r>
            <w:r>
              <w:rPr>
                <w:rFonts w:ascii="宋体" w:hAnsi="宋体" w:cs="宋体" w:hint="eastAsia"/>
                <w:sz w:val="20"/>
              </w:rPr>
              <w:br/>
              <w:t>2.机身型号:TD75 B800*7.7m</w:t>
            </w:r>
            <w:r>
              <w:rPr>
                <w:rFonts w:ascii="宋体" w:hAnsi="宋体" w:cs="宋体" w:hint="eastAsia"/>
                <w:sz w:val="20"/>
              </w:rPr>
              <w:br/>
              <w:t>3.输送带规格：EP200耐酸碱B800*5(4.5+1.5)(品牌选用：宜昌富大、青岛</w:t>
            </w:r>
            <w:proofErr w:type="gramStart"/>
            <w:r>
              <w:rPr>
                <w:rFonts w:ascii="宋体" w:hAnsi="宋体" w:cs="宋体" w:hint="eastAsia"/>
                <w:sz w:val="20"/>
              </w:rPr>
              <w:t>橡</w:t>
            </w:r>
            <w:proofErr w:type="gramEnd"/>
            <w:r>
              <w:rPr>
                <w:rFonts w:ascii="宋体" w:hAnsi="宋体" w:cs="宋体" w:hint="eastAsia"/>
                <w:sz w:val="20"/>
              </w:rPr>
              <w:t>六、浙江富大)</w:t>
            </w:r>
            <w:r>
              <w:rPr>
                <w:rFonts w:ascii="宋体" w:hAnsi="宋体" w:cs="宋体" w:hint="eastAsia"/>
                <w:sz w:val="20"/>
              </w:rPr>
              <w:br/>
              <w:t>4.减速器GKA89(品牌选用：南高齿、SEW、</w:t>
            </w:r>
            <w:proofErr w:type="gramStart"/>
            <w:r>
              <w:rPr>
                <w:rFonts w:ascii="宋体" w:hAnsi="宋体" w:cs="宋体" w:hint="eastAsia"/>
                <w:sz w:val="20"/>
              </w:rPr>
              <w:t>江苏国茂</w:t>
            </w:r>
            <w:proofErr w:type="gramEnd"/>
            <w:r>
              <w:rPr>
                <w:rFonts w:ascii="宋体" w:hAnsi="宋体" w:cs="宋体" w:hint="eastAsia"/>
                <w:sz w:val="20"/>
              </w:rPr>
              <w:t>)</w:t>
            </w:r>
            <w:r>
              <w:rPr>
                <w:rFonts w:ascii="宋体" w:hAnsi="宋体" w:cs="宋体" w:hint="eastAsia"/>
                <w:sz w:val="20"/>
              </w:rPr>
              <w:br/>
              <w:t>5.电机能效等级YE4,功率5.5kw(品牌选用：佳木斯、上海电气、安徽皖南)</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台</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金属栏杆</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皮带机双侧栏杆：</w:t>
            </w:r>
            <w:r>
              <w:rPr>
                <w:rFonts w:ascii="宋体" w:hAnsi="宋体" w:cs="宋体" w:hint="eastAsia"/>
                <w:sz w:val="20"/>
              </w:rPr>
              <w:br/>
              <w:t>1.钢材品种、规格:Φ15钢管</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7.76</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3</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钢平台</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皮带机平台、立柱、支座、栏杆及爬梯制作及安装</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t</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1.616</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4</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钢平台</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加料机平台、立柱、支座、栏杆及爬梯制作及安装</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t</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1.462</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5</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钢漏斗</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皮带机进料处天方地圆:</w:t>
            </w:r>
            <w:r>
              <w:rPr>
                <w:rFonts w:ascii="宋体" w:hAnsi="宋体" w:cs="宋体" w:hint="eastAsia"/>
                <w:sz w:val="20"/>
              </w:rPr>
              <w:br/>
              <w:t>1.材质：6mm厚Q235B钢</w:t>
            </w:r>
            <w:r>
              <w:rPr>
                <w:rFonts w:ascii="宋体" w:hAnsi="宋体" w:cs="宋体" w:hint="eastAsia"/>
                <w:sz w:val="20"/>
              </w:rPr>
              <w:br/>
              <w:t>2.规格：上口径400*500mm、高度约650mm，下口径Φ300mm</w:t>
            </w:r>
          </w:p>
        </w:tc>
        <w:tc>
          <w:tcPr>
            <w:tcW w:w="2160" w:type="dxa"/>
            <w:shd w:val="clear" w:color="FFFFFF" w:fill="FFFFFF"/>
            <w:vAlign w:val="center"/>
          </w:tcPr>
          <w:p w:rsidR="007D6421" w:rsidRDefault="007D6421" w:rsidP="00C652A0">
            <w:pPr>
              <w:widowControl/>
              <w:jc w:val="center"/>
              <w:rPr>
                <w:rFonts w:ascii="宋体" w:hAnsi="宋体" w:cs="宋体"/>
                <w:sz w:val="20"/>
              </w:rPr>
            </w:pPr>
            <w:proofErr w:type="gramStart"/>
            <w:r>
              <w:rPr>
                <w:rFonts w:ascii="宋体" w:hAnsi="宋体" w:cs="宋体" w:hint="eastAsia"/>
                <w:sz w:val="20"/>
              </w:rPr>
              <w:t>个</w:t>
            </w:r>
            <w:proofErr w:type="gramEnd"/>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6</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钢管</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1.名称:皮带机</w:t>
            </w:r>
            <w:proofErr w:type="gramStart"/>
            <w:r>
              <w:rPr>
                <w:rFonts w:ascii="宋体" w:hAnsi="宋体" w:cs="宋体" w:hint="eastAsia"/>
                <w:sz w:val="20"/>
              </w:rPr>
              <w:t>进料溜管</w:t>
            </w:r>
            <w:proofErr w:type="gramEnd"/>
            <w:r>
              <w:rPr>
                <w:rFonts w:ascii="宋体" w:hAnsi="宋体" w:cs="宋体" w:hint="eastAsia"/>
                <w:sz w:val="20"/>
              </w:rPr>
              <w:br/>
              <w:t>2.规格:钢管Φ325*6mm</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1.6</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7</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钢漏斗</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皮带机出料处天方地圆:</w:t>
            </w:r>
            <w:r>
              <w:rPr>
                <w:rFonts w:ascii="宋体" w:hAnsi="宋体" w:cs="宋体" w:hint="eastAsia"/>
                <w:sz w:val="20"/>
              </w:rPr>
              <w:br/>
              <w:t>1.材质：6mm厚Q235B钢</w:t>
            </w:r>
            <w:r>
              <w:rPr>
                <w:rFonts w:ascii="宋体" w:hAnsi="宋体" w:cs="宋体" w:hint="eastAsia"/>
                <w:sz w:val="20"/>
              </w:rPr>
              <w:br/>
              <w:t>2.规格：上口径700*700mm、高度400mm，下口径Φ300mm</w:t>
            </w:r>
          </w:p>
        </w:tc>
        <w:tc>
          <w:tcPr>
            <w:tcW w:w="2160" w:type="dxa"/>
            <w:shd w:val="clear" w:color="FFFFFF" w:fill="FFFFFF"/>
            <w:vAlign w:val="center"/>
          </w:tcPr>
          <w:p w:rsidR="007D6421" w:rsidRDefault="007D6421" w:rsidP="00C652A0">
            <w:pPr>
              <w:widowControl/>
              <w:jc w:val="center"/>
              <w:rPr>
                <w:rFonts w:ascii="宋体" w:hAnsi="宋体" w:cs="宋体"/>
                <w:sz w:val="20"/>
              </w:rPr>
            </w:pPr>
            <w:proofErr w:type="gramStart"/>
            <w:r>
              <w:rPr>
                <w:rFonts w:ascii="宋体" w:hAnsi="宋体" w:cs="宋体" w:hint="eastAsia"/>
                <w:sz w:val="20"/>
              </w:rPr>
              <w:t>个</w:t>
            </w:r>
            <w:proofErr w:type="gramEnd"/>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8</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钢管</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1.名称:皮带机</w:t>
            </w:r>
            <w:proofErr w:type="gramStart"/>
            <w:r>
              <w:rPr>
                <w:rFonts w:ascii="宋体" w:hAnsi="宋体" w:cs="宋体" w:hint="eastAsia"/>
                <w:sz w:val="20"/>
              </w:rPr>
              <w:t>出料溜管</w:t>
            </w:r>
            <w:proofErr w:type="gramEnd"/>
            <w:r>
              <w:rPr>
                <w:rFonts w:ascii="宋体" w:hAnsi="宋体" w:cs="宋体" w:hint="eastAsia"/>
                <w:sz w:val="20"/>
              </w:rPr>
              <w:br/>
              <w:t>2.规格:钢管Φ350*5mm</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3</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9</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栏杆、栏板拆除</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高1.2m栏杆拆除，</w:t>
            </w:r>
            <w:proofErr w:type="gramStart"/>
            <w:r>
              <w:rPr>
                <w:rFonts w:ascii="宋体" w:hAnsi="宋体" w:cs="宋体" w:hint="eastAsia"/>
                <w:sz w:val="20"/>
              </w:rPr>
              <w:t>废渣外弃</w:t>
            </w:r>
            <w:proofErr w:type="gramEnd"/>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3</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10</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实腹钢柱</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平台原旧H钢柱拆除、移位安装（旧物利用）</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t</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0.05</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11</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钢柱拆除</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线槽原旧Φ109mm钢管柱拆除，</w:t>
            </w:r>
            <w:proofErr w:type="gramStart"/>
            <w:r>
              <w:rPr>
                <w:rFonts w:ascii="宋体" w:hAnsi="宋体" w:cs="宋体" w:hint="eastAsia"/>
                <w:sz w:val="20"/>
              </w:rPr>
              <w:t>废渣外弃</w:t>
            </w:r>
            <w:proofErr w:type="gramEnd"/>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t</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0.052</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12</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钢管柱</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线槽Φ59mm钢管支柱安装</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2.4</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lastRenderedPageBreak/>
              <w:t>13</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管道拆除</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进造粒机原进料</w:t>
            </w:r>
            <w:proofErr w:type="gramStart"/>
            <w:r>
              <w:rPr>
                <w:rFonts w:ascii="宋体" w:hAnsi="宋体" w:cs="宋体" w:hint="eastAsia"/>
                <w:sz w:val="20"/>
              </w:rPr>
              <w:t>正方形溜管拆除</w:t>
            </w:r>
            <w:proofErr w:type="gramEnd"/>
            <w:r>
              <w:rPr>
                <w:rFonts w:ascii="宋体" w:hAnsi="宋体" w:cs="宋体" w:hint="eastAsia"/>
                <w:sz w:val="20"/>
              </w:rPr>
              <w:t>，规格0.5*0.5m、长2m</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14</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低压齿轮、液压传动、电动阀门</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1.名称:异型电动三</w:t>
            </w:r>
            <w:proofErr w:type="gramStart"/>
            <w:r>
              <w:rPr>
                <w:rFonts w:ascii="宋体" w:hAnsi="宋体" w:cs="宋体" w:hint="eastAsia"/>
                <w:sz w:val="20"/>
              </w:rPr>
              <w:t>通分料阀</w:t>
            </w:r>
            <w:proofErr w:type="gramEnd"/>
            <w:r>
              <w:rPr>
                <w:rFonts w:ascii="宋体" w:hAnsi="宋体" w:cs="宋体" w:hint="eastAsia"/>
                <w:sz w:val="20"/>
              </w:rPr>
              <w:br/>
              <w:t>2.功率：0.55Kw、推拉力300Kgf</w:t>
            </w:r>
          </w:p>
        </w:tc>
        <w:tc>
          <w:tcPr>
            <w:tcW w:w="2160" w:type="dxa"/>
            <w:shd w:val="clear" w:color="FFFFFF" w:fill="FFFFFF"/>
            <w:vAlign w:val="center"/>
          </w:tcPr>
          <w:p w:rsidR="007D6421" w:rsidRDefault="007D6421" w:rsidP="00C652A0">
            <w:pPr>
              <w:widowControl/>
              <w:jc w:val="center"/>
              <w:rPr>
                <w:rFonts w:ascii="宋体" w:hAnsi="宋体" w:cs="宋体"/>
                <w:sz w:val="20"/>
              </w:rPr>
            </w:pPr>
            <w:proofErr w:type="gramStart"/>
            <w:r>
              <w:rPr>
                <w:rFonts w:ascii="宋体" w:hAnsi="宋体" w:cs="宋体" w:hint="eastAsia"/>
                <w:sz w:val="20"/>
              </w:rPr>
              <w:t>个</w:t>
            </w:r>
            <w:proofErr w:type="gramEnd"/>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15</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零星钢构件</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造粒机的进料溜管：采用5mm厚钢板焊接1175*488mm方形管</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t</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0.131</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16</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开孔（打洞）</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分</w:t>
            </w:r>
            <w:proofErr w:type="gramStart"/>
            <w:r>
              <w:rPr>
                <w:rFonts w:ascii="宋体" w:hAnsi="宋体" w:cs="宋体" w:hint="eastAsia"/>
                <w:sz w:val="20"/>
              </w:rPr>
              <w:t>料阀进皮带机溜管需</w:t>
            </w:r>
            <w:proofErr w:type="gramEnd"/>
            <w:r>
              <w:rPr>
                <w:rFonts w:ascii="宋体" w:hAnsi="宋体" w:cs="宋体" w:hint="eastAsia"/>
                <w:sz w:val="20"/>
              </w:rPr>
              <w:t>在原平台处开洞Φ330mm</w:t>
            </w:r>
          </w:p>
        </w:tc>
        <w:tc>
          <w:tcPr>
            <w:tcW w:w="2160" w:type="dxa"/>
            <w:shd w:val="clear" w:color="FFFFFF" w:fill="FFFFFF"/>
            <w:vAlign w:val="center"/>
          </w:tcPr>
          <w:p w:rsidR="007D6421" w:rsidRDefault="007D6421" w:rsidP="00C652A0">
            <w:pPr>
              <w:widowControl/>
              <w:jc w:val="center"/>
              <w:rPr>
                <w:rFonts w:ascii="宋体" w:hAnsi="宋体" w:cs="宋体"/>
                <w:sz w:val="20"/>
              </w:rPr>
            </w:pPr>
            <w:proofErr w:type="gramStart"/>
            <w:r>
              <w:rPr>
                <w:rFonts w:ascii="宋体" w:hAnsi="宋体" w:cs="宋体" w:hint="eastAsia"/>
                <w:sz w:val="20"/>
              </w:rPr>
              <w:t>个</w:t>
            </w:r>
            <w:proofErr w:type="gramEnd"/>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17</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控制箱</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1.名称:电器控制箱</w:t>
            </w:r>
            <w:r>
              <w:rPr>
                <w:rFonts w:ascii="宋体" w:hAnsi="宋体" w:cs="宋体" w:hint="eastAsia"/>
                <w:sz w:val="20"/>
              </w:rPr>
              <w:br/>
              <w:t>2.规格:宽500mm、高600mm、厚200mm</w:t>
            </w:r>
            <w:r>
              <w:rPr>
                <w:rFonts w:ascii="宋体" w:hAnsi="宋体" w:cs="宋体" w:hint="eastAsia"/>
                <w:sz w:val="20"/>
              </w:rPr>
              <w:br/>
              <w:t>3.附件含：5.5kw及2.2kw空气开关各一个、XLLS-II拉绳开关2个、4*4mm²电缆线长25m、4*2.5mm²电缆线长25m、3*1.5mm²电缆线长70m</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台</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18</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配管</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1.名称:电线配管</w:t>
            </w:r>
            <w:r>
              <w:rPr>
                <w:rFonts w:ascii="宋体" w:hAnsi="宋体" w:cs="宋体" w:hint="eastAsia"/>
                <w:sz w:val="20"/>
              </w:rPr>
              <w:br/>
              <w:t>2.材质:镀锌钢管</w:t>
            </w:r>
            <w:r>
              <w:rPr>
                <w:rFonts w:ascii="宋体" w:hAnsi="宋体" w:cs="宋体" w:hint="eastAsia"/>
                <w:sz w:val="20"/>
              </w:rPr>
              <w:br/>
              <w:t>3.规格:SC25</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36</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19</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配管</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1.名称:电线配管</w:t>
            </w:r>
            <w:r>
              <w:rPr>
                <w:rFonts w:ascii="宋体" w:hAnsi="宋体" w:cs="宋体" w:hint="eastAsia"/>
                <w:sz w:val="20"/>
              </w:rPr>
              <w:br/>
              <w:t>2.材质:镀锌钢管</w:t>
            </w:r>
            <w:r>
              <w:rPr>
                <w:rFonts w:ascii="宋体" w:hAnsi="宋体" w:cs="宋体" w:hint="eastAsia"/>
                <w:sz w:val="20"/>
              </w:rPr>
              <w:br/>
              <w:t>3.规格:SC20</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m</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24</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20</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螺旋输送机</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1.名称:螺旋加料机</w:t>
            </w:r>
            <w:r>
              <w:rPr>
                <w:rFonts w:ascii="宋体" w:hAnsi="宋体" w:cs="宋体" w:hint="eastAsia"/>
                <w:sz w:val="20"/>
              </w:rPr>
              <w:br/>
              <w:t>2.型号:LSY200*5500mm</w:t>
            </w:r>
            <w:r>
              <w:rPr>
                <w:rFonts w:ascii="宋体" w:hAnsi="宋体" w:cs="宋体" w:hint="eastAsia"/>
                <w:sz w:val="20"/>
              </w:rPr>
              <w:br/>
              <w:t>3.壳体规格:Φ219*10mm</w:t>
            </w:r>
            <w:r>
              <w:rPr>
                <w:rFonts w:ascii="宋体" w:hAnsi="宋体" w:cs="宋体" w:hint="eastAsia"/>
                <w:sz w:val="20"/>
              </w:rPr>
              <w:br/>
              <w:t>4.材质:碳钢</w:t>
            </w:r>
            <w:r>
              <w:rPr>
                <w:rFonts w:ascii="宋体" w:hAnsi="宋体" w:cs="宋体" w:hint="eastAsia"/>
                <w:sz w:val="20"/>
              </w:rPr>
              <w:br/>
              <w:t>5.驱动XWD5-2.2-59、变频调速</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台</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21</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金属面油漆</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钢构件先除锈，后喷刷环</w:t>
            </w:r>
            <w:proofErr w:type="gramStart"/>
            <w:r>
              <w:rPr>
                <w:rFonts w:ascii="宋体" w:hAnsi="宋体" w:cs="宋体" w:hint="eastAsia"/>
                <w:sz w:val="20"/>
              </w:rPr>
              <w:t>氧富高</w:t>
            </w:r>
            <w:proofErr w:type="gramEnd"/>
            <w:r>
              <w:rPr>
                <w:rFonts w:ascii="宋体" w:hAnsi="宋体" w:cs="宋体" w:hint="eastAsia"/>
                <w:sz w:val="20"/>
              </w:rPr>
              <w:t>锌底漆两遍（含锌量60%）、</w:t>
            </w:r>
            <w:proofErr w:type="gramStart"/>
            <w:r>
              <w:rPr>
                <w:rFonts w:ascii="宋体" w:hAnsi="宋体" w:cs="宋体" w:hint="eastAsia"/>
                <w:sz w:val="20"/>
              </w:rPr>
              <w:t>环氧云铁</w:t>
            </w:r>
            <w:proofErr w:type="gramEnd"/>
            <w:r>
              <w:rPr>
                <w:rFonts w:ascii="宋体" w:hAnsi="宋体" w:cs="宋体" w:hint="eastAsia"/>
                <w:sz w:val="20"/>
              </w:rPr>
              <w:t>中间漆一遍、聚氨酯面漆二遍</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kg</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500</w:t>
            </w:r>
          </w:p>
        </w:tc>
      </w:tr>
      <w:tr w:rsidR="007D6421" w:rsidTr="00C652A0">
        <w:trPr>
          <w:cantSplit/>
          <w:trHeight w:val="20"/>
        </w:trPr>
        <w:tc>
          <w:tcPr>
            <w:tcW w:w="707"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22</w:t>
            </w:r>
          </w:p>
        </w:tc>
        <w:tc>
          <w:tcPr>
            <w:tcW w:w="140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管道拆除</w:t>
            </w:r>
          </w:p>
        </w:tc>
        <w:tc>
          <w:tcPr>
            <w:tcW w:w="3160" w:type="dxa"/>
            <w:shd w:val="clear" w:color="FFFFFF" w:fill="FFFFFF"/>
            <w:vAlign w:val="center"/>
          </w:tcPr>
          <w:p w:rsidR="007D6421" w:rsidRDefault="007D6421" w:rsidP="00C652A0">
            <w:pPr>
              <w:widowControl/>
              <w:jc w:val="left"/>
              <w:rPr>
                <w:rFonts w:ascii="宋体" w:hAnsi="宋体" w:cs="宋体"/>
                <w:sz w:val="20"/>
              </w:rPr>
            </w:pPr>
            <w:r>
              <w:rPr>
                <w:rFonts w:ascii="宋体" w:hAnsi="宋体" w:cs="宋体" w:hint="eastAsia"/>
                <w:sz w:val="20"/>
              </w:rPr>
              <w:t>旋风除尘器(D=1690mm，总高H=5674mm)人工切割转运至室外，再由吊车转至废料堆</w:t>
            </w:r>
          </w:p>
        </w:tc>
        <w:tc>
          <w:tcPr>
            <w:tcW w:w="216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kg</w:t>
            </w:r>
          </w:p>
        </w:tc>
        <w:tc>
          <w:tcPr>
            <w:tcW w:w="1080" w:type="dxa"/>
            <w:shd w:val="clear" w:color="FFFFFF" w:fill="FFFFFF"/>
            <w:vAlign w:val="center"/>
          </w:tcPr>
          <w:p w:rsidR="007D6421" w:rsidRDefault="007D6421" w:rsidP="00C652A0">
            <w:pPr>
              <w:widowControl/>
              <w:jc w:val="center"/>
              <w:rPr>
                <w:rFonts w:ascii="宋体" w:hAnsi="宋体" w:cs="宋体"/>
                <w:sz w:val="20"/>
              </w:rPr>
            </w:pPr>
            <w:r>
              <w:rPr>
                <w:rFonts w:ascii="宋体" w:hAnsi="宋体" w:cs="宋体" w:hint="eastAsia"/>
                <w:sz w:val="20"/>
              </w:rPr>
              <w:t>7731</w:t>
            </w:r>
          </w:p>
        </w:tc>
      </w:tr>
    </w:tbl>
    <w:p w:rsidR="007D6421" w:rsidRDefault="007D6421" w:rsidP="007D6421">
      <w:pPr>
        <w:spacing w:before="141" w:line="360" w:lineRule="auto"/>
        <w:ind w:firstLineChars="200" w:firstLine="440"/>
        <w:contextualSpacing/>
        <w:rPr>
          <w:rFonts w:ascii="宋体" w:hAnsi="宋体" w:cs="宋体"/>
          <w:sz w:val="22"/>
          <w:szCs w:val="22"/>
        </w:rPr>
      </w:pPr>
      <w:r>
        <w:rPr>
          <w:rFonts w:ascii="宋体" w:hAnsi="宋体" w:cs="宋体" w:hint="eastAsia"/>
          <w:sz w:val="22"/>
          <w:szCs w:val="22"/>
        </w:rPr>
        <w:t>注：</w:t>
      </w:r>
      <w:r>
        <w:rPr>
          <w:rFonts w:ascii="宋体" w:hAnsi="宋体" w:hint="eastAsia"/>
          <w:sz w:val="22"/>
          <w:szCs w:val="22"/>
        </w:rPr>
        <w:t>2座钢组件平台构造图见附图</w:t>
      </w:r>
    </w:p>
    <w:p w:rsidR="007D6421" w:rsidRDefault="007D6421" w:rsidP="007D6421">
      <w:pPr>
        <w:snapToGrid w:val="0"/>
        <w:spacing w:line="360" w:lineRule="auto"/>
        <w:ind w:firstLineChars="200" w:firstLine="442"/>
        <w:contextualSpacing/>
        <w:rPr>
          <w:rFonts w:ascii="宋体" w:hAnsi="宋体" w:cs="宋体"/>
          <w:b/>
          <w:sz w:val="22"/>
          <w:szCs w:val="22"/>
        </w:rPr>
      </w:pPr>
      <w:r>
        <w:rPr>
          <w:rFonts w:ascii="宋体" w:hAnsi="宋体" w:cs="宋体" w:hint="eastAsia"/>
          <w:b/>
          <w:sz w:val="22"/>
          <w:szCs w:val="22"/>
        </w:rPr>
        <w:t>（2）主要设备</w:t>
      </w:r>
      <w:r>
        <w:rPr>
          <w:rFonts w:ascii="宋体" w:hAnsi="宋体" w:cs="宋体"/>
          <w:b/>
          <w:sz w:val="22"/>
          <w:szCs w:val="22"/>
        </w:rPr>
        <w:t>技术参数</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1"/>
        <w:gridCol w:w="3023"/>
        <w:gridCol w:w="2524"/>
        <w:gridCol w:w="1902"/>
      </w:tblGrid>
      <w:tr w:rsidR="007D6421" w:rsidTr="00C652A0">
        <w:trPr>
          <w:cantSplit/>
          <w:trHeight w:val="340"/>
          <w:jc w:val="center"/>
        </w:trPr>
        <w:tc>
          <w:tcPr>
            <w:tcW w:w="9180" w:type="dxa"/>
            <w:gridSpan w:val="4"/>
            <w:vAlign w:val="center"/>
          </w:tcPr>
          <w:p w:rsidR="007D6421" w:rsidRDefault="007D6421" w:rsidP="00C652A0">
            <w:pPr>
              <w:jc w:val="center"/>
              <w:rPr>
                <w:rFonts w:ascii="宋体" w:hAnsi="宋体" w:cs="宋体"/>
                <w:b/>
                <w:bCs/>
                <w:sz w:val="20"/>
              </w:rPr>
            </w:pPr>
            <w:r>
              <w:rPr>
                <w:rFonts w:ascii="宋体" w:hAnsi="宋体" w:hint="eastAsia"/>
                <w:sz w:val="20"/>
              </w:rPr>
              <w:t>皮带机输送设备配置表</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输送机型号</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TD75 B800×7700mm</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输送带宽度（mm）</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800</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物料名称</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复合肥料</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输送带长度（m）</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18</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松散密度（t/m3）</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1.35</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输送速度（m/s）</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0.8</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最大块度（mm）</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15</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安装位置</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室内</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物料安息角（度）</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30</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提升高度（m）</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2</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lastRenderedPageBreak/>
              <w:t>工作条件</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按标准设计，物料内摩擦系数中等</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输送倾角（度）</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5</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运行条件</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干</w:t>
            </w:r>
            <w:proofErr w:type="gramStart"/>
            <w:r>
              <w:rPr>
                <w:rFonts w:ascii="宋体" w:hAnsi="宋体" w:cs="宋体" w:hint="eastAsia"/>
                <w:sz w:val="20"/>
              </w:rPr>
              <w:t>态运行</w:t>
            </w:r>
            <w:proofErr w:type="gramEnd"/>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输送带最大张力（KN）</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6</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输送量（t/h）</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20</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减速器型号</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GKA89</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输送带断面型式</w:t>
            </w:r>
          </w:p>
        </w:tc>
        <w:tc>
          <w:tcPr>
            <w:tcW w:w="3023" w:type="dxa"/>
            <w:vAlign w:val="center"/>
          </w:tcPr>
          <w:p w:rsidR="007D6421" w:rsidRDefault="007D6421" w:rsidP="00C652A0">
            <w:pPr>
              <w:jc w:val="center"/>
              <w:rPr>
                <w:rFonts w:ascii="宋体" w:hAnsi="宋体" w:cs="宋体"/>
                <w:sz w:val="20"/>
              </w:rPr>
            </w:pPr>
            <w:r>
              <w:rPr>
                <w:rFonts w:ascii="宋体" w:hAnsi="宋体" w:cs="宋体" w:hint="eastAsia"/>
                <w:sz w:val="20"/>
              </w:rPr>
              <w:t>槽形（30°）</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电动机型号</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YE4-132S-4</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输送带规格</w:t>
            </w:r>
          </w:p>
        </w:tc>
        <w:tc>
          <w:tcPr>
            <w:tcW w:w="3023" w:type="dxa"/>
            <w:vAlign w:val="center"/>
          </w:tcPr>
          <w:p w:rsidR="007D6421" w:rsidRDefault="007D6421" w:rsidP="00C652A0">
            <w:pPr>
              <w:autoSpaceDE w:val="0"/>
              <w:autoSpaceDN w:val="0"/>
              <w:jc w:val="center"/>
              <w:rPr>
                <w:rFonts w:ascii="宋体" w:hAnsi="宋体" w:cs="宋体"/>
                <w:sz w:val="20"/>
              </w:rPr>
            </w:pPr>
            <w:r>
              <w:rPr>
                <w:rFonts w:ascii="宋体" w:hAnsi="宋体" w:cs="宋体" w:hint="eastAsia"/>
                <w:sz w:val="20"/>
              </w:rPr>
              <w:t>EP200耐酸碱 B800×5(4.5+1.5)</w:t>
            </w:r>
          </w:p>
        </w:tc>
        <w:tc>
          <w:tcPr>
            <w:tcW w:w="2524" w:type="dxa"/>
            <w:vAlign w:val="center"/>
          </w:tcPr>
          <w:p w:rsidR="007D6421" w:rsidRDefault="007D6421" w:rsidP="00C652A0">
            <w:pPr>
              <w:jc w:val="center"/>
              <w:rPr>
                <w:rFonts w:ascii="宋体" w:hAnsi="宋体" w:cs="宋体"/>
                <w:sz w:val="20"/>
              </w:rPr>
            </w:pPr>
            <w:r>
              <w:rPr>
                <w:rFonts w:ascii="宋体" w:hAnsi="宋体" w:cs="宋体" w:hint="eastAsia"/>
                <w:sz w:val="20"/>
              </w:rPr>
              <w:t>电动机功率（KW）</w:t>
            </w:r>
          </w:p>
        </w:tc>
        <w:tc>
          <w:tcPr>
            <w:tcW w:w="1902" w:type="dxa"/>
            <w:vAlign w:val="center"/>
          </w:tcPr>
          <w:p w:rsidR="007D6421" w:rsidRDefault="007D6421" w:rsidP="00C652A0">
            <w:pPr>
              <w:jc w:val="center"/>
              <w:rPr>
                <w:rFonts w:ascii="宋体" w:hAnsi="宋体" w:cs="宋体"/>
                <w:sz w:val="20"/>
              </w:rPr>
            </w:pPr>
            <w:r>
              <w:rPr>
                <w:rFonts w:ascii="宋体" w:hAnsi="宋体" w:cs="宋体" w:hint="eastAsia"/>
                <w:sz w:val="20"/>
              </w:rPr>
              <w:t>5.5kw</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sz w:val="20"/>
              </w:rPr>
            </w:pPr>
            <w:r>
              <w:rPr>
                <w:rFonts w:ascii="宋体" w:hAnsi="宋体" w:cs="宋体" w:hint="eastAsia"/>
                <w:sz w:val="20"/>
              </w:rPr>
              <w:t>数量</w:t>
            </w:r>
          </w:p>
        </w:tc>
        <w:tc>
          <w:tcPr>
            <w:tcW w:w="7449" w:type="dxa"/>
            <w:gridSpan w:val="3"/>
            <w:vAlign w:val="center"/>
          </w:tcPr>
          <w:p w:rsidR="007D6421" w:rsidRDefault="007D6421" w:rsidP="00C652A0">
            <w:pPr>
              <w:jc w:val="center"/>
              <w:rPr>
                <w:rFonts w:ascii="宋体" w:hAnsi="宋体" w:cs="宋体"/>
                <w:sz w:val="20"/>
              </w:rPr>
            </w:pPr>
            <w:r>
              <w:rPr>
                <w:rFonts w:ascii="宋体" w:hAnsi="宋体" w:cs="宋体" w:hint="eastAsia"/>
                <w:sz w:val="20"/>
              </w:rPr>
              <w:t>1台</w:t>
            </w:r>
          </w:p>
        </w:tc>
      </w:tr>
      <w:tr w:rsidR="007D6421" w:rsidTr="00C652A0">
        <w:trPr>
          <w:cantSplit/>
          <w:trHeight w:val="340"/>
          <w:jc w:val="center"/>
        </w:trPr>
        <w:tc>
          <w:tcPr>
            <w:tcW w:w="1731" w:type="dxa"/>
            <w:vAlign w:val="center"/>
          </w:tcPr>
          <w:p w:rsidR="007D6421" w:rsidRDefault="007D6421" w:rsidP="00C652A0">
            <w:pPr>
              <w:snapToGrid w:val="0"/>
              <w:spacing w:line="360" w:lineRule="auto"/>
              <w:jc w:val="center"/>
              <w:rPr>
                <w:rFonts w:ascii="宋体" w:hAnsi="宋体" w:cs="宋体"/>
                <w:color w:val="000000"/>
                <w:sz w:val="20"/>
              </w:rPr>
            </w:pPr>
            <w:r>
              <w:rPr>
                <w:rFonts w:ascii="宋体" w:hAnsi="宋体" w:cs="宋体" w:hint="eastAsia"/>
                <w:color w:val="000000"/>
                <w:sz w:val="20"/>
              </w:rPr>
              <w:t>皮带机本体</w:t>
            </w:r>
          </w:p>
        </w:tc>
        <w:tc>
          <w:tcPr>
            <w:tcW w:w="7449" w:type="dxa"/>
            <w:gridSpan w:val="3"/>
            <w:vAlign w:val="center"/>
          </w:tcPr>
          <w:p w:rsidR="007D6421" w:rsidRDefault="007D6421" w:rsidP="00C652A0">
            <w:pPr>
              <w:snapToGrid w:val="0"/>
              <w:jc w:val="center"/>
              <w:rPr>
                <w:rFonts w:ascii="宋体" w:hAnsi="宋体" w:cs="宋体"/>
                <w:color w:val="000000"/>
                <w:sz w:val="20"/>
              </w:rPr>
            </w:pPr>
            <w:r>
              <w:rPr>
                <w:rFonts w:ascii="宋体" w:hAnsi="宋体" w:cs="宋体" w:hint="eastAsia"/>
                <w:sz w:val="20"/>
              </w:rPr>
              <w:t>传动滚筒、改向滚筒、托辊、托辊支架、头架、尾架、机架、支腿、导料槽、头部漏斗、头部护罩、清扫器、螺旋拉紧装置</w:t>
            </w:r>
          </w:p>
        </w:tc>
      </w:tr>
      <w:tr w:rsidR="007D6421" w:rsidTr="00C652A0">
        <w:trPr>
          <w:cantSplit/>
          <w:trHeight w:val="340"/>
          <w:jc w:val="center"/>
        </w:trPr>
        <w:tc>
          <w:tcPr>
            <w:tcW w:w="1731" w:type="dxa"/>
            <w:vAlign w:val="center"/>
          </w:tcPr>
          <w:p w:rsidR="007D6421" w:rsidRDefault="007D6421" w:rsidP="00C652A0">
            <w:pPr>
              <w:jc w:val="center"/>
              <w:rPr>
                <w:rFonts w:ascii="宋体" w:hAnsi="宋体" w:cs="宋体"/>
                <w:color w:val="000000"/>
                <w:sz w:val="20"/>
              </w:rPr>
            </w:pPr>
            <w:r>
              <w:rPr>
                <w:rFonts w:ascii="宋体" w:hAnsi="宋体" w:cs="宋体" w:hint="eastAsia"/>
                <w:sz w:val="20"/>
              </w:rPr>
              <w:t>输送带</w:t>
            </w:r>
          </w:p>
        </w:tc>
        <w:tc>
          <w:tcPr>
            <w:tcW w:w="7449" w:type="dxa"/>
            <w:gridSpan w:val="3"/>
            <w:vAlign w:val="center"/>
          </w:tcPr>
          <w:p w:rsidR="007D6421" w:rsidRDefault="007D6421" w:rsidP="00C652A0">
            <w:pPr>
              <w:jc w:val="center"/>
              <w:rPr>
                <w:rFonts w:ascii="宋体" w:hAnsi="宋体" w:cs="宋体"/>
                <w:sz w:val="20"/>
              </w:rPr>
            </w:pPr>
            <w:r>
              <w:rPr>
                <w:rFonts w:ascii="宋体" w:hAnsi="宋体" w:cs="宋体" w:hint="eastAsia"/>
                <w:snapToGrid w:val="0"/>
                <w:sz w:val="20"/>
              </w:rPr>
              <w:t>EP100(绿色PVC)胶带B1000×5(4.5+1.5)</w:t>
            </w:r>
          </w:p>
        </w:tc>
      </w:tr>
    </w:tbl>
    <w:p w:rsidR="007D6421" w:rsidRDefault="007D6421" w:rsidP="007D6421">
      <w:pPr>
        <w:snapToGrid w:val="0"/>
        <w:spacing w:line="360" w:lineRule="auto"/>
        <w:ind w:firstLineChars="200" w:firstLine="442"/>
        <w:contextualSpacing/>
        <w:rPr>
          <w:rFonts w:ascii="宋体" w:hAnsi="宋体" w:cs="宋体"/>
          <w:b/>
          <w:sz w:val="22"/>
          <w:szCs w:val="22"/>
        </w:rPr>
      </w:pPr>
      <w:r>
        <w:rPr>
          <w:rFonts w:ascii="宋体" w:hAnsi="宋体" w:cs="宋体" w:hint="eastAsia"/>
          <w:b/>
          <w:sz w:val="22"/>
          <w:szCs w:val="22"/>
        </w:rPr>
        <w:t>（3）</w:t>
      </w:r>
      <w:r>
        <w:rPr>
          <w:rFonts w:ascii="宋体" w:hAnsi="宋体" w:cs="宋体"/>
          <w:b/>
          <w:sz w:val="22"/>
          <w:szCs w:val="22"/>
        </w:rPr>
        <w:t>需要提供的资料：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3124"/>
        <w:gridCol w:w="3508"/>
      </w:tblGrid>
      <w:tr w:rsidR="007D6421" w:rsidTr="00C652A0">
        <w:trPr>
          <w:trHeight w:val="340"/>
          <w:jc w:val="center"/>
        </w:trPr>
        <w:tc>
          <w:tcPr>
            <w:tcW w:w="840" w:type="dxa"/>
            <w:vAlign w:val="center"/>
          </w:tcPr>
          <w:p w:rsidR="007D6421" w:rsidRDefault="007D6421" w:rsidP="00C652A0">
            <w:pPr>
              <w:snapToGrid w:val="0"/>
              <w:jc w:val="center"/>
              <w:rPr>
                <w:rFonts w:ascii="宋体" w:hAnsi="宋体" w:cs="楷体_GB2312"/>
                <w:sz w:val="20"/>
              </w:rPr>
            </w:pPr>
            <w:r>
              <w:rPr>
                <w:rFonts w:ascii="宋体" w:hAnsi="宋体" w:cs="楷体_GB2312"/>
                <w:sz w:val="20"/>
              </w:rPr>
              <w:t>1</w:t>
            </w:r>
          </w:p>
        </w:tc>
        <w:tc>
          <w:tcPr>
            <w:tcW w:w="3124" w:type="dxa"/>
            <w:vAlign w:val="center"/>
          </w:tcPr>
          <w:p w:rsidR="007D6421" w:rsidRDefault="007D6421" w:rsidP="00C652A0">
            <w:pPr>
              <w:snapToGrid w:val="0"/>
              <w:jc w:val="center"/>
              <w:rPr>
                <w:rFonts w:ascii="宋体" w:hAnsi="宋体" w:cs="楷体_GB2312"/>
                <w:sz w:val="20"/>
              </w:rPr>
            </w:pPr>
            <w:r>
              <w:rPr>
                <w:rFonts w:ascii="宋体" w:hAnsi="宋体" w:cs="楷体_GB2312"/>
                <w:sz w:val="20"/>
              </w:rPr>
              <w:t>电器</w:t>
            </w:r>
            <w:r>
              <w:rPr>
                <w:rFonts w:ascii="宋体" w:hAnsi="宋体" w:cs="楷体_GB2312" w:hint="eastAsia"/>
                <w:sz w:val="20"/>
              </w:rPr>
              <w:t>控制柜点位图</w:t>
            </w:r>
          </w:p>
        </w:tc>
        <w:tc>
          <w:tcPr>
            <w:tcW w:w="3508" w:type="dxa"/>
            <w:vAlign w:val="center"/>
          </w:tcPr>
          <w:p w:rsidR="007D6421" w:rsidRDefault="007D6421" w:rsidP="00C652A0">
            <w:pPr>
              <w:snapToGrid w:val="0"/>
              <w:jc w:val="center"/>
              <w:rPr>
                <w:rFonts w:ascii="宋体" w:hAnsi="宋体" w:cs="楷体_GB2312"/>
                <w:sz w:val="20"/>
              </w:rPr>
            </w:pPr>
            <w:r>
              <w:rPr>
                <w:rFonts w:ascii="宋体" w:hAnsi="宋体" w:cs="楷体_GB2312" w:hint="eastAsia"/>
                <w:sz w:val="20"/>
              </w:rPr>
              <w:t>CAD版+PDF版</w:t>
            </w:r>
            <w:r>
              <w:rPr>
                <w:rFonts w:ascii="宋体" w:hAnsi="宋体" w:cs="楷体_GB2312"/>
                <w:sz w:val="20"/>
              </w:rPr>
              <w:t>2份/套</w:t>
            </w:r>
          </w:p>
        </w:tc>
      </w:tr>
      <w:tr w:rsidR="007D6421" w:rsidTr="00C652A0">
        <w:trPr>
          <w:trHeight w:val="375"/>
          <w:jc w:val="center"/>
        </w:trPr>
        <w:tc>
          <w:tcPr>
            <w:tcW w:w="840" w:type="dxa"/>
            <w:vAlign w:val="center"/>
          </w:tcPr>
          <w:p w:rsidR="007D6421" w:rsidRDefault="007D6421" w:rsidP="00C652A0">
            <w:pPr>
              <w:snapToGrid w:val="0"/>
              <w:jc w:val="center"/>
              <w:rPr>
                <w:rFonts w:ascii="宋体" w:hAnsi="宋体" w:cs="楷体_GB2312"/>
                <w:sz w:val="20"/>
              </w:rPr>
            </w:pPr>
            <w:r>
              <w:rPr>
                <w:rFonts w:ascii="宋体" w:hAnsi="宋体" w:cs="楷体_GB2312"/>
                <w:sz w:val="20"/>
              </w:rPr>
              <w:t>2</w:t>
            </w:r>
          </w:p>
        </w:tc>
        <w:tc>
          <w:tcPr>
            <w:tcW w:w="3124" w:type="dxa"/>
            <w:vAlign w:val="center"/>
          </w:tcPr>
          <w:p w:rsidR="007D6421" w:rsidRDefault="007D6421" w:rsidP="00C652A0">
            <w:pPr>
              <w:snapToGrid w:val="0"/>
              <w:jc w:val="center"/>
              <w:rPr>
                <w:rFonts w:ascii="宋体" w:hAnsi="宋体" w:cs="楷体_GB2312"/>
                <w:sz w:val="20"/>
              </w:rPr>
            </w:pPr>
            <w:r>
              <w:rPr>
                <w:rFonts w:ascii="宋体" w:hAnsi="宋体" w:cs="楷体_GB2312"/>
                <w:sz w:val="20"/>
              </w:rPr>
              <w:t>设备质量合格证</w:t>
            </w:r>
          </w:p>
        </w:tc>
        <w:tc>
          <w:tcPr>
            <w:tcW w:w="3508" w:type="dxa"/>
            <w:vAlign w:val="center"/>
          </w:tcPr>
          <w:p w:rsidR="007D6421" w:rsidRDefault="007D6421" w:rsidP="00C652A0">
            <w:pPr>
              <w:snapToGrid w:val="0"/>
              <w:jc w:val="center"/>
              <w:rPr>
                <w:rFonts w:ascii="宋体" w:hAnsi="宋体" w:cs="楷体_GB2312"/>
                <w:sz w:val="20"/>
              </w:rPr>
            </w:pPr>
            <w:r>
              <w:rPr>
                <w:rFonts w:ascii="宋体" w:hAnsi="宋体" w:cs="楷体_GB2312"/>
                <w:sz w:val="20"/>
              </w:rPr>
              <w:t>1份/套</w:t>
            </w:r>
          </w:p>
        </w:tc>
      </w:tr>
    </w:tbl>
    <w:p w:rsidR="007D6421" w:rsidRDefault="007D6421" w:rsidP="007D6421">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二、施工期限：合同生效后30日内所有设备及安装材料到货并完成安装。</w:t>
      </w:r>
    </w:p>
    <w:p w:rsidR="007D6421" w:rsidRDefault="007D6421" w:rsidP="007D6421">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三、履约地点：湖北香青肥料科技有限公司姚家港厂区。</w:t>
      </w:r>
    </w:p>
    <w:p w:rsidR="007D6421" w:rsidRDefault="007D6421" w:rsidP="007D6421">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四、质量标准：</w:t>
      </w:r>
      <w:bookmarkStart w:id="3" w:name="OLE_LINK127"/>
      <w:bookmarkStart w:id="4" w:name="OLE_LINK126"/>
      <w:r>
        <w:rPr>
          <w:rFonts w:ascii="宋体" w:hAnsi="宋体" w:hint="eastAsia"/>
          <w:color w:val="000000"/>
          <w:kern w:val="0"/>
          <w:sz w:val="22"/>
          <w:szCs w:val="22"/>
        </w:rPr>
        <w:t>供应商</w:t>
      </w:r>
      <w:bookmarkEnd w:id="3"/>
      <w:bookmarkEnd w:id="4"/>
      <w:r>
        <w:rPr>
          <w:rFonts w:ascii="宋体" w:hAnsi="宋体" w:hint="eastAsia"/>
          <w:color w:val="000000"/>
          <w:kern w:val="0"/>
          <w:sz w:val="22"/>
          <w:szCs w:val="22"/>
        </w:rPr>
        <w:t>供应的货物需符合国家相关标准以及采购人使用要求。</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五、运输方式及费用负担：供应商负责送货到达至湖北香青肥料科技有限公司姚家港厂区，送货运输费及责任由供应商承担。</w:t>
      </w:r>
    </w:p>
    <w:p w:rsidR="007D6421" w:rsidRDefault="007D6421" w:rsidP="007D6421">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六、施工内容</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在复</w:t>
      </w:r>
      <w:proofErr w:type="gramStart"/>
      <w:r>
        <w:rPr>
          <w:rFonts w:ascii="宋体" w:hAnsi="宋体" w:hint="eastAsia"/>
          <w:color w:val="000000"/>
          <w:kern w:val="0"/>
          <w:sz w:val="22"/>
          <w:szCs w:val="22"/>
        </w:rPr>
        <w:t>肥现有</w:t>
      </w:r>
      <w:proofErr w:type="gramEnd"/>
      <w:r>
        <w:rPr>
          <w:rFonts w:ascii="宋体" w:hAnsi="宋体" w:hint="eastAsia"/>
          <w:color w:val="000000"/>
          <w:kern w:val="0"/>
          <w:sz w:val="22"/>
          <w:szCs w:val="22"/>
        </w:rPr>
        <w:t>二号线，原造粒机进料口及</w:t>
      </w:r>
      <w:proofErr w:type="gramStart"/>
      <w:r>
        <w:rPr>
          <w:rFonts w:ascii="宋体" w:hAnsi="宋体" w:hint="eastAsia"/>
          <w:color w:val="000000"/>
          <w:kern w:val="0"/>
          <w:sz w:val="22"/>
          <w:szCs w:val="22"/>
        </w:rPr>
        <w:t>成品斗提进料</w:t>
      </w:r>
      <w:proofErr w:type="gramEnd"/>
      <w:r>
        <w:rPr>
          <w:rFonts w:ascii="宋体" w:hAnsi="宋体" w:hint="eastAsia"/>
          <w:color w:val="000000"/>
          <w:kern w:val="0"/>
          <w:sz w:val="22"/>
          <w:szCs w:val="22"/>
        </w:rPr>
        <w:t>口，增加</w:t>
      </w:r>
      <w:proofErr w:type="gramStart"/>
      <w:r>
        <w:rPr>
          <w:rFonts w:ascii="宋体" w:hAnsi="宋体" w:hint="eastAsia"/>
          <w:color w:val="000000"/>
          <w:kern w:val="0"/>
          <w:sz w:val="22"/>
          <w:szCs w:val="22"/>
        </w:rPr>
        <w:t>一</w:t>
      </w:r>
      <w:proofErr w:type="gramEnd"/>
      <w:r>
        <w:rPr>
          <w:rFonts w:ascii="宋体" w:hAnsi="宋体" w:hint="eastAsia"/>
          <w:color w:val="000000"/>
          <w:kern w:val="0"/>
          <w:sz w:val="22"/>
          <w:szCs w:val="22"/>
        </w:rPr>
        <w:t>台长7.7米皮带机输送设备，满足</w:t>
      </w:r>
      <w:proofErr w:type="gramStart"/>
      <w:r>
        <w:rPr>
          <w:rFonts w:ascii="宋体" w:hAnsi="宋体" w:hint="eastAsia"/>
          <w:color w:val="000000"/>
          <w:kern w:val="0"/>
          <w:sz w:val="22"/>
          <w:szCs w:val="22"/>
        </w:rPr>
        <w:t>粉状肥经混合</w:t>
      </w:r>
      <w:proofErr w:type="gramEnd"/>
      <w:r>
        <w:rPr>
          <w:rFonts w:ascii="宋体" w:hAnsi="宋体" w:hint="eastAsia"/>
          <w:color w:val="000000"/>
          <w:kern w:val="0"/>
          <w:sz w:val="22"/>
          <w:szCs w:val="22"/>
        </w:rPr>
        <w:t>后直接输送至</w:t>
      </w:r>
      <w:proofErr w:type="gramStart"/>
      <w:r>
        <w:rPr>
          <w:rFonts w:ascii="宋体" w:hAnsi="宋体" w:hint="eastAsia"/>
          <w:color w:val="000000"/>
          <w:kern w:val="0"/>
          <w:sz w:val="22"/>
          <w:szCs w:val="22"/>
        </w:rPr>
        <w:t>成品斗提后</w:t>
      </w:r>
      <w:proofErr w:type="gramEnd"/>
      <w:r>
        <w:rPr>
          <w:rFonts w:ascii="宋体" w:hAnsi="宋体" w:hint="eastAsia"/>
          <w:color w:val="000000"/>
          <w:kern w:val="0"/>
          <w:sz w:val="22"/>
          <w:szCs w:val="22"/>
        </w:rPr>
        <w:t>包装，同时需要安装相应钢组件平台，用于设备巡检及检修；另在复肥两条线</w:t>
      </w:r>
      <w:proofErr w:type="gramStart"/>
      <w:r>
        <w:rPr>
          <w:rFonts w:ascii="宋体" w:hAnsi="宋体" w:hint="eastAsia"/>
          <w:color w:val="000000"/>
          <w:kern w:val="0"/>
          <w:sz w:val="22"/>
          <w:szCs w:val="22"/>
        </w:rPr>
        <w:t>包裹机</w:t>
      </w:r>
      <w:proofErr w:type="gramEnd"/>
      <w:r>
        <w:rPr>
          <w:rFonts w:ascii="宋体" w:hAnsi="宋体" w:hint="eastAsia"/>
          <w:color w:val="000000"/>
          <w:kern w:val="0"/>
          <w:sz w:val="22"/>
          <w:szCs w:val="22"/>
        </w:rPr>
        <w:t>出口处新安装菌剂加料机设备各一套，该加料机为变频模式，实现物料的投入量可调节，同时需要在二号线安装钢构件平台一座，用于存放投入原料。</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七、履约验收方案</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1.供应商供应的货物须符合采购人质量标准且能按采购人要求完成安装调试工作，采购人在收到所有货物且供应</w:t>
      </w:r>
      <w:proofErr w:type="gramStart"/>
      <w:r>
        <w:rPr>
          <w:rFonts w:ascii="宋体" w:hAnsi="宋体" w:hint="eastAsia"/>
          <w:color w:val="000000"/>
          <w:kern w:val="0"/>
          <w:sz w:val="22"/>
          <w:szCs w:val="22"/>
        </w:rPr>
        <w:t>商所有</w:t>
      </w:r>
      <w:proofErr w:type="gramEnd"/>
      <w:r>
        <w:rPr>
          <w:rFonts w:ascii="宋体" w:hAnsi="宋体" w:hint="eastAsia"/>
          <w:color w:val="000000"/>
          <w:kern w:val="0"/>
          <w:sz w:val="22"/>
          <w:szCs w:val="22"/>
        </w:rPr>
        <w:t>安装调试工作结束后30日内办理验收。</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2.验收标准：</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2.1.安装的设备与合同规定的设备相对应，功能可完整实现；</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2.2.焊接部分无气孔、裂纹等缺陷；</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2.3设备及元器件铭牌清晰，接触器、继电器动作无粘连</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2.4.</w:t>
      </w:r>
      <w:r>
        <w:rPr>
          <w:rFonts w:ascii="宋体" w:hAnsi="宋体"/>
          <w:color w:val="000000"/>
          <w:kern w:val="0"/>
          <w:sz w:val="22"/>
          <w:szCs w:val="22"/>
        </w:rPr>
        <w:t>电器</w:t>
      </w:r>
      <w:r>
        <w:rPr>
          <w:rFonts w:ascii="宋体" w:hAnsi="宋体" w:hint="eastAsia"/>
          <w:color w:val="000000"/>
          <w:kern w:val="0"/>
          <w:sz w:val="22"/>
          <w:szCs w:val="22"/>
        </w:rPr>
        <w:t>控制柜点位图，</w:t>
      </w:r>
      <w:r>
        <w:rPr>
          <w:rFonts w:ascii="宋体" w:hAnsi="宋体"/>
          <w:color w:val="000000"/>
          <w:kern w:val="0"/>
          <w:sz w:val="22"/>
          <w:szCs w:val="22"/>
        </w:rPr>
        <w:t>设备质量合格证</w:t>
      </w:r>
      <w:r>
        <w:rPr>
          <w:rFonts w:ascii="宋体" w:hAnsi="宋体" w:hint="eastAsia"/>
          <w:color w:val="000000"/>
          <w:kern w:val="0"/>
          <w:sz w:val="22"/>
          <w:szCs w:val="22"/>
        </w:rPr>
        <w:t>等资料</w:t>
      </w:r>
      <w:r>
        <w:rPr>
          <w:rFonts w:ascii="宋体" w:hAnsi="宋体"/>
          <w:color w:val="000000"/>
          <w:kern w:val="0"/>
          <w:sz w:val="22"/>
          <w:szCs w:val="22"/>
        </w:rPr>
        <w:t>/</w:t>
      </w:r>
      <w:r>
        <w:rPr>
          <w:rFonts w:ascii="宋体" w:hAnsi="宋体" w:hint="eastAsia"/>
          <w:color w:val="000000"/>
          <w:kern w:val="0"/>
          <w:sz w:val="22"/>
          <w:szCs w:val="22"/>
        </w:rPr>
        <w:t>图纸清单齐全完整。</w:t>
      </w:r>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八、质保期：</w:t>
      </w:r>
      <w:bookmarkStart w:id="5" w:name="OLE_LINK106"/>
      <w:r>
        <w:rPr>
          <w:rFonts w:ascii="宋体" w:hAnsi="宋体" w:hint="eastAsia"/>
          <w:color w:val="000000"/>
          <w:kern w:val="0"/>
          <w:sz w:val="22"/>
          <w:szCs w:val="22"/>
        </w:rPr>
        <w:t>自验收合格之日起一年，质保期内出现质量问题，如设备启动失败、</w:t>
      </w:r>
      <w:r>
        <w:rPr>
          <w:rFonts w:ascii="宋体" w:hAnsi="宋体" w:hint="eastAsia"/>
          <w:color w:val="000000"/>
          <w:kern w:val="0"/>
          <w:sz w:val="22"/>
          <w:szCs w:val="22"/>
        </w:rPr>
        <w:lastRenderedPageBreak/>
        <w:t>皮带断裂现象供应商应无条件处理故障直至设备运行正常，采购人不再承担相应费用。</w:t>
      </w:r>
      <w:bookmarkEnd w:id="5"/>
    </w:p>
    <w:p w:rsidR="007D6421" w:rsidRDefault="007D6421" w:rsidP="007D6421">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九、费用的支付与结算：</w:t>
      </w:r>
    </w:p>
    <w:p w:rsidR="007D6421" w:rsidRDefault="007D6421" w:rsidP="007D6421">
      <w:pPr>
        <w:spacing w:line="360" w:lineRule="auto"/>
        <w:ind w:firstLineChars="200" w:firstLine="440"/>
        <w:rPr>
          <w:rFonts w:ascii="宋体" w:hAnsi="宋体"/>
          <w:color w:val="000000"/>
          <w:kern w:val="0"/>
          <w:sz w:val="22"/>
          <w:szCs w:val="22"/>
        </w:rPr>
      </w:pPr>
      <w:bookmarkStart w:id="6" w:name="OLE_LINK48"/>
      <w:bookmarkStart w:id="7" w:name="OLE_LINK49"/>
      <w:r>
        <w:rPr>
          <w:rFonts w:ascii="宋体" w:hAnsi="宋体" w:hint="eastAsia"/>
          <w:color w:val="000000"/>
          <w:kern w:val="0"/>
          <w:sz w:val="22"/>
          <w:szCs w:val="22"/>
        </w:rPr>
        <w:t>结算条件与方式：1.本项目验收合格后，</w:t>
      </w:r>
      <w:r>
        <w:rPr>
          <w:rFonts w:ascii="宋体" w:hAnsi="宋体"/>
          <w:color w:val="000000"/>
          <w:kern w:val="0"/>
          <w:sz w:val="22"/>
          <w:szCs w:val="22"/>
        </w:rPr>
        <w:t>办理结算审计，所报结算价的审</w:t>
      </w:r>
      <w:proofErr w:type="gramStart"/>
      <w:r>
        <w:rPr>
          <w:rFonts w:ascii="宋体" w:hAnsi="宋体"/>
          <w:color w:val="000000"/>
          <w:kern w:val="0"/>
          <w:sz w:val="22"/>
          <w:szCs w:val="22"/>
        </w:rPr>
        <w:t>减金额</w:t>
      </w:r>
      <w:proofErr w:type="gramEnd"/>
      <w:r>
        <w:rPr>
          <w:rFonts w:ascii="宋体" w:hAnsi="宋体"/>
          <w:color w:val="000000"/>
          <w:kern w:val="0"/>
          <w:sz w:val="22"/>
          <w:szCs w:val="22"/>
        </w:rPr>
        <w:t>超过10%时，超过部分审计费用由供应商承担，供应商按结算金额开具增值税专用发票，凭发票采购人30天内向供应商支付至结算金额的</w:t>
      </w:r>
      <w:r>
        <w:rPr>
          <w:rFonts w:ascii="宋体" w:hAnsi="宋体" w:hint="eastAsia"/>
          <w:color w:val="000000"/>
          <w:kern w:val="0"/>
          <w:sz w:val="22"/>
          <w:szCs w:val="22"/>
        </w:rPr>
        <w:t>9</w:t>
      </w:r>
      <w:r>
        <w:rPr>
          <w:rFonts w:ascii="宋体" w:hAnsi="宋体"/>
          <w:color w:val="000000"/>
          <w:kern w:val="0"/>
          <w:sz w:val="22"/>
          <w:szCs w:val="22"/>
        </w:rPr>
        <w:t>5％，余款5%留作质保金，质保期满一年后无质量问题无息付清。</w:t>
      </w:r>
      <w:bookmarkEnd w:id="6"/>
      <w:bookmarkEnd w:id="7"/>
    </w:p>
    <w:p w:rsidR="007D6421" w:rsidRDefault="007D6421" w:rsidP="007D6421">
      <w:pPr>
        <w:spacing w:line="360" w:lineRule="auto"/>
        <w:ind w:firstLineChars="200" w:firstLine="440"/>
        <w:rPr>
          <w:rFonts w:ascii="宋体" w:hAnsi="宋体" w:hint="eastAsia"/>
          <w:color w:val="000000"/>
          <w:kern w:val="0"/>
          <w:sz w:val="22"/>
          <w:szCs w:val="22"/>
        </w:rPr>
      </w:pPr>
      <w:r>
        <w:rPr>
          <w:rFonts w:ascii="宋体" w:hAnsi="宋体"/>
          <w:color w:val="000000"/>
          <w:kern w:val="0"/>
          <w:sz w:val="22"/>
          <w:szCs w:val="22"/>
        </w:rPr>
        <w:t> 2.施工量变更签证：施工过程中涉及施工量变更或增减的，需要采购人审批同意后，由甲乙双方现场管理人员签证确认，结算以该签证为依据据实计价。</w:t>
      </w:r>
      <w:r>
        <w:rPr>
          <w:rFonts w:ascii="宋体" w:hAnsi="宋体"/>
          <w:color w:val="000000"/>
          <w:kern w:val="0"/>
          <w:sz w:val="22"/>
          <w:szCs w:val="22"/>
        </w:rPr>
        <w:br/>
        <w:t>   3.结算价格以实际发生的施工量为准。</w:t>
      </w:r>
    </w:p>
    <w:bookmarkEnd w:id="1"/>
    <w:bookmarkEnd w:id="2"/>
    <w:p w:rsidR="007D6421" w:rsidRDefault="007D6421" w:rsidP="007D6421">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十、供应商需知</w:t>
      </w:r>
    </w:p>
    <w:p w:rsidR="007D6421" w:rsidRDefault="007D6421" w:rsidP="007D6421">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供应商应结合市场价格进行合理报价，如以明显高于市场的不合理价格进行报价的，供应商应合</w:t>
      </w:r>
      <w:proofErr w:type="gramStart"/>
      <w:r>
        <w:rPr>
          <w:rFonts w:ascii="宋体" w:hAnsi="宋体" w:hint="eastAsia"/>
          <w:color w:val="000000"/>
          <w:kern w:val="0"/>
          <w:sz w:val="22"/>
          <w:szCs w:val="22"/>
        </w:rPr>
        <w:t>理说明</w:t>
      </w:r>
      <w:proofErr w:type="gramEnd"/>
      <w:r>
        <w:rPr>
          <w:rFonts w:ascii="宋体" w:hAnsi="宋体" w:hint="eastAsia"/>
          <w:color w:val="000000"/>
          <w:kern w:val="0"/>
          <w:sz w:val="22"/>
          <w:szCs w:val="22"/>
        </w:rPr>
        <w:t>并提供相应证明材料，否则视为无效报价。如供应商相互串通，以明显高于市场的不合理价格进行报价并使得其中一名供应商中标的，该中标无效。采购人有权将涉</w:t>
      </w:r>
      <w:proofErr w:type="gramStart"/>
      <w:r>
        <w:rPr>
          <w:rFonts w:ascii="宋体" w:hAnsi="宋体" w:hint="eastAsia"/>
          <w:color w:val="000000"/>
          <w:kern w:val="0"/>
          <w:sz w:val="22"/>
          <w:szCs w:val="22"/>
        </w:rPr>
        <w:t>事供应</w:t>
      </w:r>
      <w:proofErr w:type="gramEnd"/>
      <w:r>
        <w:rPr>
          <w:rFonts w:ascii="宋体" w:hAnsi="宋体" w:hint="eastAsia"/>
          <w:color w:val="000000"/>
          <w:kern w:val="0"/>
          <w:sz w:val="22"/>
          <w:szCs w:val="22"/>
        </w:rPr>
        <w:t>商列入不良行为供应商黑名单并采取禁入措施；同时，涉</w:t>
      </w:r>
      <w:proofErr w:type="gramStart"/>
      <w:r>
        <w:rPr>
          <w:rFonts w:ascii="宋体" w:hAnsi="宋体" w:hint="eastAsia"/>
          <w:color w:val="000000"/>
          <w:kern w:val="0"/>
          <w:sz w:val="22"/>
          <w:szCs w:val="22"/>
        </w:rPr>
        <w:t>事供应</w:t>
      </w:r>
      <w:proofErr w:type="gramEnd"/>
      <w:r>
        <w:rPr>
          <w:rFonts w:ascii="宋体" w:hAnsi="宋体" w:hint="eastAsia"/>
          <w:color w:val="000000"/>
          <w:kern w:val="0"/>
          <w:sz w:val="22"/>
          <w:szCs w:val="22"/>
        </w:rPr>
        <w:t>商因此给采购人造成损失的，还应承担损失赔偿责任。</w:t>
      </w:r>
    </w:p>
    <w:p w:rsidR="00000000"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pPr>
        <w:rPr>
          <w:rFonts w:hint="eastAsia"/>
        </w:rPr>
      </w:pPr>
    </w:p>
    <w:p w:rsidR="007D6421" w:rsidRDefault="007D6421" w:rsidP="007D6421">
      <w:pPr>
        <w:spacing w:line="360" w:lineRule="auto"/>
        <w:jc w:val="left"/>
        <w:rPr>
          <w:rFonts w:ascii="宋体" w:hAnsi="宋体"/>
          <w:sz w:val="22"/>
          <w:szCs w:val="22"/>
        </w:rPr>
      </w:pPr>
      <w:r>
        <w:rPr>
          <w:rFonts w:ascii="宋体" w:hAnsi="宋体" w:hint="eastAsia"/>
          <w:sz w:val="22"/>
          <w:szCs w:val="22"/>
        </w:rPr>
        <w:lastRenderedPageBreak/>
        <w:t>附图1（</w:t>
      </w:r>
      <w:proofErr w:type="gramStart"/>
      <w:r>
        <w:rPr>
          <w:rFonts w:ascii="宋体" w:hAnsi="宋体" w:hint="eastAsia"/>
          <w:sz w:val="22"/>
          <w:szCs w:val="22"/>
        </w:rPr>
        <w:t>皮带机钢平台</w:t>
      </w:r>
      <w:proofErr w:type="gramEnd"/>
      <w:r>
        <w:rPr>
          <w:rFonts w:ascii="宋体" w:hAnsi="宋体" w:hint="eastAsia"/>
          <w:sz w:val="22"/>
          <w:szCs w:val="22"/>
        </w:rPr>
        <w:t>及栏杆）</w:t>
      </w:r>
    </w:p>
    <w:p w:rsidR="007D6421" w:rsidRDefault="007D6421" w:rsidP="007D6421">
      <w:pPr>
        <w:spacing w:line="360" w:lineRule="auto"/>
        <w:jc w:val="left"/>
        <w:rPr>
          <w:rFonts w:ascii="宋体" w:hAnsi="宋体" w:hint="eastAsia"/>
          <w:sz w:val="22"/>
          <w:szCs w:val="22"/>
        </w:rPr>
      </w:pPr>
      <w:r>
        <w:rPr>
          <w:rFonts w:ascii="宋体" w:hAnsi="宋体" w:hint="eastAsia"/>
          <w:noProof/>
          <w:sz w:val="22"/>
          <w:szCs w:val="22"/>
        </w:rPr>
        <w:drawing>
          <wp:inline distT="0" distB="0" distL="0" distR="0">
            <wp:extent cx="5041265" cy="8468360"/>
            <wp:effectExtent l="19050" t="0" r="6985" b="0"/>
            <wp:docPr id="1" name="图片 2" descr="E:\2025年采购项目\21-2025年香青肥料复肥输送设备改造（竞争谈判）\2025年香青肥料复肥输送设备改造\皮带机钢平台及栏杆(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E:\2025年采购项目\21-2025年香青肥料复肥输送设备改造（竞争谈判）\2025年香青肥料复肥输送设备改造\皮带机钢平台及栏杆(1).jpg"/>
                    <pic:cNvPicPr>
                      <a:picLocks noChangeAspect="1" noChangeArrowheads="1"/>
                    </pic:cNvPicPr>
                  </pic:nvPicPr>
                  <pic:blipFill>
                    <a:blip r:embed="rId4"/>
                    <a:srcRect/>
                    <a:stretch>
                      <a:fillRect/>
                    </a:stretch>
                  </pic:blipFill>
                  <pic:spPr bwMode="auto">
                    <a:xfrm flipH="1">
                      <a:off x="0" y="0"/>
                      <a:ext cx="5041265" cy="8468360"/>
                    </a:xfrm>
                    <a:prstGeom prst="rect">
                      <a:avLst/>
                    </a:prstGeom>
                    <a:noFill/>
                    <a:ln w="9525">
                      <a:noFill/>
                      <a:miter lim="800000"/>
                      <a:headEnd/>
                      <a:tailEnd/>
                    </a:ln>
                    <a:effectLst/>
                  </pic:spPr>
                </pic:pic>
              </a:graphicData>
            </a:graphic>
          </wp:inline>
        </w:drawing>
      </w:r>
    </w:p>
    <w:p w:rsidR="007D6421" w:rsidRDefault="007D6421" w:rsidP="007D6421">
      <w:pPr>
        <w:spacing w:line="360" w:lineRule="auto"/>
        <w:jc w:val="left"/>
        <w:rPr>
          <w:rFonts w:ascii="宋体" w:hAnsi="宋体" w:hint="eastAsia"/>
          <w:sz w:val="22"/>
          <w:szCs w:val="22"/>
        </w:rPr>
      </w:pPr>
      <w:r>
        <w:rPr>
          <w:rFonts w:ascii="宋体" w:hAnsi="宋体" w:hint="eastAsia"/>
          <w:sz w:val="22"/>
          <w:szCs w:val="22"/>
        </w:rPr>
        <w:lastRenderedPageBreak/>
        <w:t>附图2（钢平台及栏杆）</w:t>
      </w:r>
    </w:p>
    <w:p w:rsidR="007D6421" w:rsidRDefault="007D6421" w:rsidP="007D6421">
      <w:pPr>
        <w:spacing w:line="360" w:lineRule="auto"/>
        <w:jc w:val="center"/>
        <w:rPr>
          <w:rFonts w:ascii="宋体" w:hAnsi="宋体" w:hint="eastAsia"/>
          <w:sz w:val="22"/>
          <w:szCs w:val="22"/>
        </w:rPr>
      </w:pPr>
      <w:r>
        <w:rPr>
          <w:rFonts w:ascii="宋体" w:hAnsi="宋体" w:hint="eastAsia"/>
          <w:noProof/>
          <w:sz w:val="22"/>
        </w:rPr>
        <w:drawing>
          <wp:inline distT="0" distB="0" distL="0" distR="0">
            <wp:extent cx="5653405" cy="8205470"/>
            <wp:effectExtent l="19050" t="0" r="4445" b="0"/>
            <wp:docPr id="2" name="图片 3" descr="钢平台及栏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钢平台及栏杆(2)"/>
                    <pic:cNvPicPr>
                      <a:picLocks noChangeAspect="1" noChangeArrowheads="1"/>
                    </pic:cNvPicPr>
                  </pic:nvPicPr>
                  <pic:blipFill>
                    <a:blip r:embed="rId5"/>
                    <a:srcRect/>
                    <a:stretch>
                      <a:fillRect/>
                    </a:stretch>
                  </pic:blipFill>
                  <pic:spPr bwMode="auto">
                    <a:xfrm flipH="1">
                      <a:off x="0" y="0"/>
                      <a:ext cx="5653405" cy="8205470"/>
                    </a:xfrm>
                    <a:prstGeom prst="rect">
                      <a:avLst/>
                    </a:prstGeom>
                    <a:noFill/>
                    <a:ln w="9525">
                      <a:noFill/>
                      <a:miter lim="800000"/>
                      <a:headEnd/>
                      <a:tailEnd/>
                    </a:ln>
                    <a:effectLst/>
                  </pic:spPr>
                </pic:pic>
              </a:graphicData>
            </a:graphic>
          </wp:inline>
        </w:drawing>
      </w:r>
    </w:p>
    <w:p w:rsidR="007D6421" w:rsidRPr="007D6421" w:rsidRDefault="007D6421"/>
    <w:sectPr w:rsidR="007D6421" w:rsidRPr="007D64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6421"/>
    <w:rsid w:val="007D64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421"/>
    <w:pPr>
      <w:widowControl w:val="0"/>
      <w:jc w:val="both"/>
    </w:pPr>
    <w:rPr>
      <w:rFonts w:ascii="Calibri" w:eastAsia="宋体" w:hAnsi="Calibri" w:cs="Times New Roman"/>
      <w:szCs w:val="24"/>
    </w:rPr>
  </w:style>
  <w:style w:type="paragraph" w:styleId="1">
    <w:name w:val="heading 1"/>
    <w:basedOn w:val="a"/>
    <w:next w:val="a"/>
    <w:link w:val="1Char"/>
    <w:qFormat/>
    <w:rsid w:val="007D6421"/>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D6421"/>
    <w:rPr>
      <w:rFonts w:ascii="Calibri" w:eastAsia="宋体" w:hAnsi="Calibri" w:cs="Times New Roman"/>
      <w:b/>
      <w:kern w:val="44"/>
      <w:sz w:val="44"/>
      <w:szCs w:val="20"/>
      <w:lang/>
    </w:rPr>
  </w:style>
  <w:style w:type="paragraph" w:styleId="a3">
    <w:name w:val="Balloon Text"/>
    <w:basedOn w:val="a"/>
    <w:link w:val="Char"/>
    <w:uiPriority w:val="99"/>
    <w:semiHidden/>
    <w:unhideWhenUsed/>
    <w:rsid w:val="007D6421"/>
    <w:rPr>
      <w:sz w:val="18"/>
      <w:szCs w:val="18"/>
    </w:rPr>
  </w:style>
  <w:style w:type="character" w:customStyle="1" w:styleId="Char">
    <w:name w:val="批注框文本 Char"/>
    <w:basedOn w:val="a0"/>
    <w:link w:val="a3"/>
    <w:uiPriority w:val="99"/>
    <w:semiHidden/>
    <w:rsid w:val="007D642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2025-05-21T07:25:00Z</dcterms:created>
  <dcterms:modified xsi:type="dcterms:W3CDTF">2025-05-21T07:25:00Z</dcterms:modified>
</cp:coreProperties>
</file>