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D9" w:rsidRPr="00A62DE7" w:rsidRDefault="00CC1FD9" w:rsidP="00CC1FD9">
      <w:pPr>
        <w:jc w:val="center"/>
        <w:rPr>
          <w:rFonts w:ascii="宋体" w:hAnsi="宋体" w:cs="仿宋_GB2312" w:hint="eastAsia"/>
          <w:sz w:val="48"/>
          <w:szCs w:val="48"/>
        </w:rPr>
      </w:pPr>
      <w:bookmarkStart w:id="0" w:name="_Toc197504639"/>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bookmarkEnd w:id="0"/>
      <w:proofErr w:type="spellEnd"/>
    </w:p>
    <w:p w:rsidR="00CC1FD9" w:rsidRDefault="00CC1FD9" w:rsidP="00CC1FD9">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一项</w:t>
      </w:r>
      <w:r w:rsidRPr="0023464F">
        <w:rPr>
          <w:rFonts w:ascii="宋体" w:hAnsi="宋体" w:hint="eastAsia"/>
          <w:kern w:val="0"/>
          <w:sz w:val="22"/>
          <w:szCs w:val="22"/>
        </w:rPr>
        <w:t>热风炉系统升级及炉膛修复服务</w:t>
      </w:r>
      <w:r w:rsidRPr="00A62DE7">
        <w:rPr>
          <w:rFonts w:ascii="宋体" w:hAnsi="宋体" w:hint="eastAsia"/>
          <w:kern w:val="0"/>
          <w:sz w:val="22"/>
          <w:szCs w:val="22"/>
        </w:rPr>
        <w:t>，具体需求如下：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1"/>
        <w:gridCol w:w="1600"/>
        <w:gridCol w:w="1778"/>
        <w:gridCol w:w="760"/>
        <w:gridCol w:w="1200"/>
        <w:gridCol w:w="2403"/>
      </w:tblGrid>
      <w:tr w:rsidR="00CC1FD9" w:rsidRPr="00613A8B" w:rsidTr="00510241">
        <w:trPr>
          <w:trHeight w:val="567"/>
          <w:jc w:val="center"/>
        </w:trPr>
        <w:tc>
          <w:tcPr>
            <w:tcW w:w="2440" w:type="pct"/>
            <w:gridSpan w:val="3"/>
            <w:vAlign w:val="center"/>
          </w:tcPr>
          <w:p w:rsidR="00CC1FD9" w:rsidRPr="00613A8B" w:rsidRDefault="00CC1FD9" w:rsidP="00510241">
            <w:pPr>
              <w:adjustRightInd w:val="0"/>
              <w:snapToGrid w:val="0"/>
              <w:jc w:val="center"/>
              <w:rPr>
                <w:rFonts w:ascii="宋体" w:hAnsi="宋体" w:hint="eastAsia"/>
                <w:kern w:val="0"/>
                <w:sz w:val="20"/>
                <w:szCs w:val="20"/>
              </w:rPr>
            </w:pPr>
            <w:r w:rsidRPr="00613A8B">
              <w:rPr>
                <w:rFonts w:ascii="宋体" w:hAnsi="宋体" w:hint="eastAsia"/>
                <w:kern w:val="0"/>
                <w:sz w:val="20"/>
                <w:szCs w:val="20"/>
              </w:rPr>
              <w:t>项目名称</w:t>
            </w:r>
          </w:p>
        </w:tc>
        <w:tc>
          <w:tcPr>
            <w:tcW w:w="2560" w:type="pct"/>
            <w:gridSpan w:val="3"/>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2025年香青肥料</w:t>
            </w:r>
            <w:bookmarkStart w:id="1" w:name="OLE_LINK123"/>
            <w:bookmarkStart w:id="2" w:name="OLE_LINK124"/>
            <w:r w:rsidRPr="00613A8B">
              <w:rPr>
                <w:rFonts w:ascii="宋体" w:hAnsi="宋体" w:hint="eastAsia"/>
                <w:sz w:val="20"/>
                <w:szCs w:val="20"/>
              </w:rPr>
              <w:t>热风炉系统升级及炉膛修复</w:t>
            </w:r>
            <w:bookmarkEnd w:id="1"/>
            <w:bookmarkEnd w:id="2"/>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序号</w:t>
            </w:r>
          </w:p>
        </w:tc>
        <w:tc>
          <w:tcPr>
            <w:tcW w:w="1982" w:type="pct"/>
            <w:gridSpan w:val="2"/>
            <w:vAlign w:val="center"/>
          </w:tcPr>
          <w:p w:rsidR="00CC1FD9" w:rsidRPr="00613A8B" w:rsidRDefault="00CC1FD9" w:rsidP="00510241">
            <w:pPr>
              <w:adjustRightInd w:val="0"/>
              <w:snapToGrid w:val="0"/>
              <w:jc w:val="center"/>
              <w:rPr>
                <w:rFonts w:ascii="宋体" w:hAnsi="宋体" w:hint="eastAsia"/>
                <w:kern w:val="0"/>
                <w:sz w:val="20"/>
                <w:szCs w:val="20"/>
              </w:rPr>
            </w:pPr>
            <w:r w:rsidRPr="00613A8B">
              <w:rPr>
                <w:rFonts w:ascii="宋体" w:hAnsi="宋体" w:hint="eastAsia"/>
                <w:kern w:val="0"/>
                <w:sz w:val="20"/>
                <w:szCs w:val="20"/>
              </w:rPr>
              <w:t>设备名称及</w:t>
            </w:r>
          </w:p>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kern w:val="0"/>
                <w:sz w:val="20"/>
                <w:szCs w:val="20"/>
              </w:rPr>
              <w:t>施工项目</w:t>
            </w:r>
          </w:p>
        </w:tc>
        <w:tc>
          <w:tcPr>
            <w:tcW w:w="446"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单位</w:t>
            </w:r>
          </w:p>
        </w:tc>
        <w:tc>
          <w:tcPr>
            <w:tcW w:w="704"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数量</w:t>
            </w:r>
          </w:p>
        </w:tc>
        <w:tc>
          <w:tcPr>
            <w:tcW w:w="1410"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备注</w:t>
            </w:r>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1</w:t>
            </w:r>
          </w:p>
        </w:tc>
        <w:tc>
          <w:tcPr>
            <w:tcW w:w="1982" w:type="pct"/>
            <w:gridSpan w:val="2"/>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热风炉PLC可编程控制器</w:t>
            </w:r>
          </w:p>
        </w:tc>
        <w:tc>
          <w:tcPr>
            <w:tcW w:w="446" w:type="pct"/>
            <w:vAlign w:val="center"/>
          </w:tcPr>
          <w:p w:rsidR="00CC1FD9" w:rsidRPr="00613A8B" w:rsidRDefault="00CC1FD9" w:rsidP="00510241">
            <w:pPr>
              <w:pStyle w:val="TableText"/>
              <w:spacing w:before="82" w:line="220" w:lineRule="auto"/>
              <w:jc w:val="center"/>
              <w:rPr>
                <w:color w:val="auto"/>
                <w:sz w:val="20"/>
                <w:szCs w:val="20"/>
              </w:rPr>
            </w:pPr>
            <w:r w:rsidRPr="00613A8B">
              <w:rPr>
                <w:rFonts w:hint="eastAsia"/>
                <w:color w:val="auto"/>
                <w:sz w:val="20"/>
                <w:szCs w:val="20"/>
              </w:rPr>
              <w:t>台</w:t>
            </w:r>
          </w:p>
        </w:tc>
        <w:tc>
          <w:tcPr>
            <w:tcW w:w="704" w:type="pct"/>
            <w:vAlign w:val="center"/>
          </w:tcPr>
          <w:p w:rsidR="00CC1FD9" w:rsidRPr="00613A8B" w:rsidRDefault="00CC1FD9" w:rsidP="00510241">
            <w:pPr>
              <w:adjustRightInd w:val="0"/>
              <w:snapToGrid w:val="0"/>
              <w:spacing w:before="97" w:line="187" w:lineRule="auto"/>
              <w:jc w:val="center"/>
              <w:rPr>
                <w:rFonts w:ascii="宋体" w:hAnsi="宋体"/>
                <w:sz w:val="20"/>
                <w:szCs w:val="20"/>
              </w:rPr>
            </w:pPr>
            <w:r w:rsidRPr="00613A8B">
              <w:rPr>
                <w:rFonts w:ascii="宋体" w:hAnsi="宋体" w:hint="eastAsia"/>
                <w:sz w:val="20"/>
                <w:szCs w:val="20"/>
              </w:rPr>
              <w:t>4</w:t>
            </w:r>
          </w:p>
        </w:tc>
        <w:tc>
          <w:tcPr>
            <w:tcW w:w="1410" w:type="pct"/>
            <w:vAlign w:val="center"/>
          </w:tcPr>
          <w:p w:rsidR="00CC1FD9" w:rsidRPr="00613A8B" w:rsidRDefault="00CC1FD9" w:rsidP="00510241">
            <w:pPr>
              <w:adjustRightInd w:val="0"/>
              <w:snapToGrid w:val="0"/>
              <w:spacing w:line="240" w:lineRule="exact"/>
              <w:rPr>
                <w:rFonts w:ascii="宋体" w:hAnsi="宋体"/>
                <w:sz w:val="20"/>
                <w:szCs w:val="20"/>
              </w:rPr>
            </w:pPr>
            <w:r w:rsidRPr="00613A8B">
              <w:rPr>
                <w:rFonts w:ascii="宋体" w:hAnsi="宋体" w:cs="宋体" w:hint="eastAsia"/>
                <w:sz w:val="20"/>
                <w:szCs w:val="20"/>
              </w:rPr>
              <w:t>≧</w:t>
            </w:r>
            <w:r w:rsidRPr="00613A8B">
              <w:rPr>
                <w:rFonts w:ascii="宋体" w:hAnsi="宋体" w:hint="eastAsia"/>
                <w:sz w:val="20"/>
                <w:szCs w:val="20"/>
              </w:rPr>
              <w:t>30K程序、集成I/O数字量输入输出、以太网+RS485（S7型）</w:t>
            </w:r>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2</w:t>
            </w:r>
          </w:p>
        </w:tc>
        <w:tc>
          <w:tcPr>
            <w:tcW w:w="1982" w:type="pct"/>
            <w:gridSpan w:val="2"/>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热风炉触摸屏</w:t>
            </w:r>
          </w:p>
        </w:tc>
        <w:tc>
          <w:tcPr>
            <w:tcW w:w="446" w:type="pct"/>
            <w:vAlign w:val="center"/>
          </w:tcPr>
          <w:p w:rsidR="00CC1FD9" w:rsidRPr="00613A8B" w:rsidRDefault="00CC1FD9" w:rsidP="00510241">
            <w:pPr>
              <w:pStyle w:val="TableText"/>
              <w:spacing w:before="81" w:line="220" w:lineRule="auto"/>
              <w:jc w:val="center"/>
              <w:rPr>
                <w:color w:val="auto"/>
                <w:sz w:val="20"/>
                <w:szCs w:val="20"/>
              </w:rPr>
            </w:pPr>
            <w:r w:rsidRPr="00613A8B">
              <w:rPr>
                <w:rFonts w:hint="eastAsia"/>
                <w:color w:val="auto"/>
                <w:sz w:val="20"/>
                <w:szCs w:val="20"/>
              </w:rPr>
              <w:t>台</w:t>
            </w:r>
          </w:p>
        </w:tc>
        <w:tc>
          <w:tcPr>
            <w:tcW w:w="704" w:type="pct"/>
            <w:vAlign w:val="center"/>
          </w:tcPr>
          <w:p w:rsidR="00CC1FD9" w:rsidRPr="00613A8B" w:rsidRDefault="00CC1FD9" w:rsidP="00510241">
            <w:pPr>
              <w:adjustRightInd w:val="0"/>
              <w:snapToGrid w:val="0"/>
              <w:spacing w:before="99" w:line="187" w:lineRule="auto"/>
              <w:jc w:val="center"/>
              <w:rPr>
                <w:rFonts w:ascii="宋体" w:hAnsi="宋体"/>
                <w:sz w:val="20"/>
                <w:szCs w:val="20"/>
              </w:rPr>
            </w:pPr>
            <w:r w:rsidRPr="00613A8B">
              <w:rPr>
                <w:rFonts w:ascii="宋体" w:hAnsi="宋体" w:hint="eastAsia"/>
                <w:sz w:val="20"/>
                <w:szCs w:val="20"/>
              </w:rPr>
              <w:t>4</w:t>
            </w:r>
          </w:p>
        </w:tc>
        <w:tc>
          <w:tcPr>
            <w:tcW w:w="1410" w:type="pct"/>
            <w:vAlign w:val="center"/>
          </w:tcPr>
          <w:p w:rsidR="00CC1FD9" w:rsidRPr="00613A8B" w:rsidRDefault="00CC1FD9" w:rsidP="00510241">
            <w:pPr>
              <w:adjustRightInd w:val="0"/>
              <w:snapToGrid w:val="0"/>
              <w:spacing w:line="240" w:lineRule="exact"/>
              <w:rPr>
                <w:rFonts w:ascii="宋体" w:hAnsi="宋体"/>
                <w:sz w:val="20"/>
                <w:szCs w:val="20"/>
              </w:rPr>
            </w:pPr>
            <w:r w:rsidRPr="00613A8B">
              <w:rPr>
                <w:rFonts w:ascii="宋体" w:hAnsi="宋体" w:cs="宋体" w:hint="eastAsia"/>
                <w:sz w:val="20"/>
                <w:szCs w:val="20"/>
              </w:rPr>
              <w:t>配套嵌入式7寸一体化触摸屏、A8芯、DC24V、串口通信</w:t>
            </w:r>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3</w:t>
            </w:r>
          </w:p>
        </w:tc>
        <w:tc>
          <w:tcPr>
            <w:tcW w:w="1982" w:type="pct"/>
            <w:gridSpan w:val="2"/>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热风炉燃烧器程序控制管理器</w:t>
            </w:r>
          </w:p>
        </w:tc>
        <w:tc>
          <w:tcPr>
            <w:tcW w:w="446" w:type="pct"/>
            <w:vAlign w:val="center"/>
          </w:tcPr>
          <w:p w:rsidR="00CC1FD9" w:rsidRPr="00613A8B" w:rsidRDefault="00CC1FD9" w:rsidP="00510241">
            <w:pPr>
              <w:pStyle w:val="TableText"/>
              <w:spacing w:before="83" w:line="218" w:lineRule="auto"/>
              <w:jc w:val="center"/>
              <w:rPr>
                <w:color w:val="auto"/>
                <w:sz w:val="20"/>
                <w:szCs w:val="20"/>
              </w:rPr>
            </w:pPr>
            <w:r w:rsidRPr="00613A8B">
              <w:rPr>
                <w:rFonts w:hint="eastAsia"/>
                <w:color w:val="auto"/>
                <w:sz w:val="20"/>
                <w:szCs w:val="20"/>
              </w:rPr>
              <w:t>台</w:t>
            </w:r>
          </w:p>
        </w:tc>
        <w:tc>
          <w:tcPr>
            <w:tcW w:w="704" w:type="pct"/>
            <w:vAlign w:val="center"/>
          </w:tcPr>
          <w:p w:rsidR="00CC1FD9" w:rsidRPr="00613A8B" w:rsidRDefault="00CC1FD9" w:rsidP="00510241">
            <w:pPr>
              <w:adjustRightInd w:val="0"/>
              <w:snapToGrid w:val="0"/>
              <w:spacing w:before="98" w:line="187" w:lineRule="auto"/>
              <w:jc w:val="center"/>
              <w:rPr>
                <w:rFonts w:ascii="宋体" w:hAnsi="宋体"/>
                <w:sz w:val="20"/>
                <w:szCs w:val="20"/>
              </w:rPr>
            </w:pPr>
            <w:r w:rsidRPr="00613A8B">
              <w:rPr>
                <w:rFonts w:ascii="宋体" w:hAnsi="宋体" w:hint="eastAsia"/>
                <w:sz w:val="20"/>
                <w:szCs w:val="20"/>
              </w:rPr>
              <w:t>4</w:t>
            </w:r>
          </w:p>
        </w:tc>
        <w:tc>
          <w:tcPr>
            <w:tcW w:w="1410" w:type="pct"/>
            <w:vAlign w:val="center"/>
          </w:tcPr>
          <w:p w:rsidR="00CC1FD9" w:rsidRPr="00613A8B" w:rsidRDefault="00CC1FD9" w:rsidP="00510241">
            <w:pPr>
              <w:adjustRightInd w:val="0"/>
              <w:snapToGrid w:val="0"/>
              <w:spacing w:line="240" w:lineRule="exact"/>
              <w:rPr>
                <w:rFonts w:ascii="宋体" w:hAnsi="宋体" w:cs="宋体"/>
                <w:sz w:val="20"/>
                <w:szCs w:val="20"/>
              </w:rPr>
            </w:pPr>
            <w:r w:rsidRPr="00613A8B">
              <w:rPr>
                <w:rFonts w:ascii="宋体" w:hAnsi="宋体" w:cs="宋体" w:hint="eastAsia"/>
                <w:sz w:val="20"/>
                <w:szCs w:val="20"/>
              </w:rPr>
              <w:t>燃烧控制，安全</w:t>
            </w:r>
            <w:proofErr w:type="gramStart"/>
            <w:r w:rsidRPr="00613A8B">
              <w:rPr>
                <w:rFonts w:ascii="宋体" w:hAnsi="宋体" w:cs="宋体" w:hint="eastAsia"/>
                <w:sz w:val="20"/>
                <w:szCs w:val="20"/>
              </w:rPr>
              <w:t>联锁</w:t>
            </w:r>
            <w:proofErr w:type="gramEnd"/>
            <w:r w:rsidRPr="00613A8B">
              <w:rPr>
                <w:rFonts w:ascii="宋体" w:hAnsi="宋体" w:cs="宋体" w:hint="eastAsia"/>
                <w:sz w:val="20"/>
                <w:szCs w:val="20"/>
              </w:rPr>
              <w:t>，MODBUS通信、</w:t>
            </w:r>
            <w:r w:rsidRPr="00613A8B">
              <w:rPr>
                <w:rFonts w:ascii="宋体" w:hAnsi="宋体" w:hint="eastAsia"/>
                <w:sz w:val="20"/>
                <w:szCs w:val="20"/>
              </w:rPr>
              <w:t>数字量I/O配置、</w:t>
            </w:r>
            <w:r w:rsidRPr="00613A8B">
              <w:rPr>
                <w:rFonts w:ascii="宋体" w:hAnsi="宋体" w:cs="宋体" w:hint="eastAsia"/>
                <w:sz w:val="20"/>
                <w:szCs w:val="20"/>
              </w:rPr>
              <w:t>支持PID调节（BT型 ）</w:t>
            </w:r>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4</w:t>
            </w:r>
          </w:p>
        </w:tc>
        <w:tc>
          <w:tcPr>
            <w:tcW w:w="1982" w:type="pct"/>
            <w:gridSpan w:val="2"/>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热风炉燃烧器操控屏</w:t>
            </w:r>
          </w:p>
        </w:tc>
        <w:tc>
          <w:tcPr>
            <w:tcW w:w="446" w:type="pct"/>
            <w:vAlign w:val="center"/>
          </w:tcPr>
          <w:p w:rsidR="00CC1FD9" w:rsidRPr="00613A8B" w:rsidRDefault="00CC1FD9" w:rsidP="00510241">
            <w:pPr>
              <w:pStyle w:val="TableText"/>
              <w:spacing w:before="82" w:line="220" w:lineRule="auto"/>
              <w:jc w:val="center"/>
              <w:rPr>
                <w:color w:val="auto"/>
                <w:sz w:val="20"/>
                <w:szCs w:val="20"/>
              </w:rPr>
            </w:pPr>
            <w:r w:rsidRPr="00613A8B">
              <w:rPr>
                <w:rFonts w:hint="eastAsia"/>
                <w:color w:val="auto"/>
                <w:sz w:val="20"/>
                <w:szCs w:val="20"/>
              </w:rPr>
              <w:t>台</w:t>
            </w:r>
          </w:p>
        </w:tc>
        <w:tc>
          <w:tcPr>
            <w:tcW w:w="704" w:type="pct"/>
            <w:vAlign w:val="center"/>
          </w:tcPr>
          <w:p w:rsidR="00CC1FD9" w:rsidRPr="00613A8B" w:rsidRDefault="00CC1FD9" w:rsidP="00510241">
            <w:pPr>
              <w:adjustRightInd w:val="0"/>
              <w:snapToGrid w:val="0"/>
              <w:spacing w:before="99" w:line="187" w:lineRule="auto"/>
              <w:jc w:val="center"/>
              <w:rPr>
                <w:rFonts w:ascii="宋体" w:hAnsi="宋体"/>
                <w:sz w:val="20"/>
                <w:szCs w:val="20"/>
              </w:rPr>
            </w:pPr>
            <w:r w:rsidRPr="00613A8B">
              <w:rPr>
                <w:rFonts w:ascii="宋体" w:hAnsi="宋体" w:hint="eastAsia"/>
                <w:sz w:val="20"/>
                <w:szCs w:val="20"/>
              </w:rPr>
              <w:t>4</w:t>
            </w:r>
          </w:p>
        </w:tc>
        <w:tc>
          <w:tcPr>
            <w:tcW w:w="1410" w:type="pct"/>
            <w:vAlign w:val="center"/>
          </w:tcPr>
          <w:p w:rsidR="00CC1FD9" w:rsidRPr="00613A8B" w:rsidRDefault="00CC1FD9" w:rsidP="00510241">
            <w:pPr>
              <w:adjustRightInd w:val="0"/>
              <w:snapToGrid w:val="0"/>
              <w:rPr>
                <w:rFonts w:ascii="宋体" w:hAnsi="宋体"/>
                <w:sz w:val="20"/>
                <w:szCs w:val="20"/>
              </w:rPr>
            </w:pPr>
            <w:r w:rsidRPr="00613A8B">
              <w:rPr>
                <w:rFonts w:ascii="宋体" w:hAnsi="宋体" w:cs="宋体" w:hint="eastAsia"/>
                <w:sz w:val="20"/>
                <w:szCs w:val="20"/>
              </w:rPr>
              <w:t>配套燃烧控制面板+串口通信（UI型）</w:t>
            </w:r>
          </w:p>
        </w:tc>
      </w:tr>
      <w:tr w:rsidR="00CC1FD9" w:rsidRPr="00613A8B" w:rsidTr="00510241">
        <w:trPr>
          <w:trHeight w:val="567"/>
          <w:jc w:val="center"/>
        </w:trPr>
        <w:tc>
          <w:tcPr>
            <w:tcW w:w="458"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5</w:t>
            </w:r>
          </w:p>
        </w:tc>
        <w:tc>
          <w:tcPr>
            <w:tcW w:w="1982" w:type="pct"/>
            <w:gridSpan w:val="2"/>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热风炉炉内耐火砖及耐火材料的检查(一烘)</w:t>
            </w:r>
          </w:p>
        </w:tc>
        <w:tc>
          <w:tcPr>
            <w:tcW w:w="446" w:type="pct"/>
            <w:vAlign w:val="center"/>
          </w:tcPr>
          <w:p w:rsidR="00CC1FD9" w:rsidRPr="00613A8B" w:rsidRDefault="00CC1FD9" w:rsidP="00510241">
            <w:pPr>
              <w:pStyle w:val="TableText"/>
              <w:spacing w:before="82" w:line="218" w:lineRule="auto"/>
              <w:jc w:val="center"/>
              <w:rPr>
                <w:color w:val="auto"/>
                <w:sz w:val="20"/>
                <w:szCs w:val="20"/>
              </w:rPr>
            </w:pPr>
            <w:r w:rsidRPr="00613A8B">
              <w:rPr>
                <w:rFonts w:hint="eastAsia"/>
                <w:color w:val="auto"/>
                <w:sz w:val="20"/>
                <w:szCs w:val="20"/>
              </w:rPr>
              <w:t>项</w:t>
            </w:r>
          </w:p>
        </w:tc>
        <w:tc>
          <w:tcPr>
            <w:tcW w:w="704" w:type="pct"/>
            <w:vAlign w:val="center"/>
          </w:tcPr>
          <w:p w:rsidR="00CC1FD9" w:rsidRPr="00613A8B" w:rsidRDefault="00CC1FD9" w:rsidP="00510241">
            <w:pPr>
              <w:adjustRightInd w:val="0"/>
              <w:snapToGrid w:val="0"/>
              <w:spacing w:before="100" w:line="187" w:lineRule="auto"/>
              <w:jc w:val="center"/>
              <w:rPr>
                <w:rFonts w:ascii="宋体" w:hAnsi="宋体"/>
                <w:sz w:val="20"/>
                <w:szCs w:val="20"/>
              </w:rPr>
            </w:pPr>
            <w:r w:rsidRPr="00613A8B">
              <w:rPr>
                <w:rFonts w:ascii="宋体" w:hAnsi="宋体" w:hint="eastAsia"/>
                <w:sz w:val="20"/>
                <w:szCs w:val="20"/>
              </w:rPr>
              <w:t>2</w:t>
            </w:r>
          </w:p>
        </w:tc>
        <w:tc>
          <w:tcPr>
            <w:tcW w:w="1410" w:type="pct"/>
            <w:vAlign w:val="center"/>
          </w:tcPr>
          <w:p w:rsidR="00CC1FD9" w:rsidRPr="00613A8B" w:rsidRDefault="00CC1FD9" w:rsidP="00510241">
            <w:pPr>
              <w:adjustRightInd w:val="0"/>
              <w:snapToGrid w:val="0"/>
              <w:rPr>
                <w:rFonts w:ascii="宋体" w:hAnsi="宋体" w:hint="eastAsia"/>
                <w:sz w:val="20"/>
                <w:szCs w:val="20"/>
              </w:rPr>
            </w:pPr>
          </w:p>
        </w:tc>
      </w:tr>
      <w:tr w:rsidR="00CC1FD9" w:rsidRPr="00613A8B" w:rsidTr="00510241">
        <w:trPr>
          <w:trHeight w:val="567"/>
          <w:jc w:val="center"/>
        </w:trPr>
        <w:tc>
          <w:tcPr>
            <w:tcW w:w="458" w:type="pct"/>
            <w:vMerge w:val="restar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6</w:t>
            </w:r>
          </w:p>
        </w:tc>
        <w:tc>
          <w:tcPr>
            <w:tcW w:w="939" w:type="pct"/>
            <w:vMerge w:val="restart"/>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热风炉炉内耐火砖及耐火材料的修补(一烘)</w:t>
            </w:r>
          </w:p>
        </w:tc>
        <w:tc>
          <w:tcPr>
            <w:tcW w:w="1043"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耐火砖</w:t>
            </w:r>
          </w:p>
        </w:tc>
        <w:tc>
          <w:tcPr>
            <w:tcW w:w="446"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块</w:t>
            </w:r>
          </w:p>
        </w:tc>
        <w:tc>
          <w:tcPr>
            <w:tcW w:w="704"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200</w:t>
            </w:r>
          </w:p>
        </w:tc>
        <w:tc>
          <w:tcPr>
            <w:tcW w:w="1410" w:type="pct"/>
            <w:vMerge w:val="restart"/>
            <w:vAlign w:val="center"/>
          </w:tcPr>
          <w:p w:rsidR="00CC1FD9" w:rsidRPr="00613A8B" w:rsidRDefault="00CC1FD9" w:rsidP="00510241">
            <w:pPr>
              <w:adjustRightInd w:val="0"/>
              <w:snapToGrid w:val="0"/>
              <w:rPr>
                <w:rFonts w:ascii="宋体" w:hAnsi="宋体" w:hint="eastAsia"/>
                <w:sz w:val="20"/>
                <w:szCs w:val="20"/>
              </w:rPr>
            </w:pPr>
            <w:r w:rsidRPr="00613A8B">
              <w:rPr>
                <w:rFonts w:ascii="宋体" w:hAnsi="宋体"/>
                <w:sz w:val="20"/>
                <w:szCs w:val="20"/>
              </w:rPr>
              <w:t>包含施工材料及人工</w:t>
            </w:r>
          </w:p>
          <w:p w:rsidR="00CC1FD9" w:rsidRPr="00613A8B" w:rsidRDefault="00CC1FD9" w:rsidP="00510241">
            <w:pPr>
              <w:adjustRightInd w:val="0"/>
              <w:snapToGrid w:val="0"/>
              <w:rPr>
                <w:rFonts w:ascii="宋体" w:hAnsi="宋体" w:hint="eastAsia"/>
                <w:sz w:val="20"/>
                <w:szCs w:val="20"/>
              </w:rPr>
            </w:pPr>
            <w:r w:rsidRPr="00613A8B">
              <w:rPr>
                <w:rFonts w:ascii="宋体" w:hAnsi="宋体" w:hint="eastAsia"/>
                <w:sz w:val="20"/>
                <w:szCs w:val="20"/>
              </w:rPr>
              <w:t>（具体结算以实际使用量结算）</w:t>
            </w:r>
          </w:p>
        </w:tc>
      </w:tr>
      <w:tr w:rsidR="00CC1FD9" w:rsidRPr="00613A8B" w:rsidTr="00510241">
        <w:trPr>
          <w:trHeight w:val="567"/>
          <w:jc w:val="center"/>
        </w:trPr>
        <w:tc>
          <w:tcPr>
            <w:tcW w:w="458" w:type="pct"/>
            <w:vMerge/>
            <w:vAlign w:val="center"/>
          </w:tcPr>
          <w:p w:rsidR="00CC1FD9" w:rsidRPr="00613A8B" w:rsidRDefault="00CC1FD9" w:rsidP="00510241">
            <w:pPr>
              <w:adjustRightInd w:val="0"/>
              <w:snapToGrid w:val="0"/>
              <w:jc w:val="center"/>
              <w:rPr>
                <w:rFonts w:ascii="宋体" w:hAnsi="宋体" w:hint="eastAsia"/>
                <w:sz w:val="20"/>
                <w:szCs w:val="20"/>
              </w:rPr>
            </w:pPr>
          </w:p>
        </w:tc>
        <w:tc>
          <w:tcPr>
            <w:tcW w:w="939" w:type="pct"/>
            <w:vMerge/>
            <w:vAlign w:val="center"/>
          </w:tcPr>
          <w:p w:rsidR="00CC1FD9" w:rsidRPr="00613A8B" w:rsidRDefault="00CC1FD9" w:rsidP="00510241">
            <w:pPr>
              <w:adjustRightInd w:val="0"/>
              <w:snapToGrid w:val="0"/>
              <w:rPr>
                <w:rFonts w:ascii="宋体" w:hAnsi="宋体" w:hint="eastAsia"/>
                <w:sz w:val="20"/>
                <w:szCs w:val="20"/>
              </w:rPr>
            </w:pPr>
          </w:p>
        </w:tc>
        <w:tc>
          <w:tcPr>
            <w:tcW w:w="1043" w:type="pct"/>
            <w:vAlign w:val="center"/>
          </w:tcPr>
          <w:p w:rsidR="00CC1FD9" w:rsidRPr="00613A8B" w:rsidRDefault="00CC1FD9" w:rsidP="00510241">
            <w:pPr>
              <w:adjustRightInd w:val="0"/>
              <w:snapToGrid w:val="0"/>
              <w:spacing w:before="82" w:line="220" w:lineRule="auto"/>
              <w:jc w:val="center"/>
              <w:rPr>
                <w:rFonts w:ascii="宋体" w:hAnsi="宋体"/>
                <w:sz w:val="20"/>
                <w:szCs w:val="20"/>
              </w:rPr>
            </w:pPr>
            <w:r w:rsidRPr="00613A8B">
              <w:rPr>
                <w:rFonts w:ascii="宋体" w:hAnsi="宋体" w:hint="eastAsia"/>
                <w:sz w:val="20"/>
                <w:szCs w:val="20"/>
              </w:rPr>
              <w:t>耐火水泥</w:t>
            </w:r>
          </w:p>
        </w:tc>
        <w:tc>
          <w:tcPr>
            <w:tcW w:w="446"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KG</w:t>
            </w:r>
          </w:p>
        </w:tc>
        <w:tc>
          <w:tcPr>
            <w:tcW w:w="704"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200</w:t>
            </w:r>
          </w:p>
        </w:tc>
        <w:tc>
          <w:tcPr>
            <w:tcW w:w="1410" w:type="pct"/>
            <w:vMerge/>
            <w:vAlign w:val="center"/>
          </w:tcPr>
          <w:p w:rsidR="00CC1FD9" w:rsidRPr="00613A8B" w:rsidRDefault="00CC1FD9" w:rsidP="00510241">
            <w:pPr>
              <w:adjustRightInd w:val="0"/>
              <w:snapToGrid w:val="0"/>
              <w:rPr>
                <w:rFonts w:ascii="宋体" w:hAnsi="宋体" w:hint="eastAsia"/>
                <w:sz w:val="20"/>
                <w:szCs w:val="20"/>
              </w:rPr>
            </w:pPr>
          </w:p>
        </w:tc>
      </w:tr>
      <w:tr w:rsidR="00CC1FD9" w:rsidRPr="00613A8B" w:rsidTr="00510241">
        <w:trPr>
          <w:trHeight w:val="567"/>
          <w:jc w:val="center"/>
        </w:trPr>
        <w:tc>
          <w:tcPr>
            <w:tcW w:w="458" w:type="pct"/>
            <w:vMerge/>
            <w:vAlign w:val="center"/>
          </w:tcPr>
          <w:p w:rsidR="00CC1FD9" w:rsidRPr="00613A8B" w:rsidRDefault="00CC1FD9" w:rsidP="00510241">
            <w:pPr>
              <w:adjustRightInd w:val="0"/>
              <w:snapToGrid w:val="0"/>
              <w:jc w:val="center"/>
              <w:rPr>
                <w:rFonts w:ascii="宋体" w:hAnsi="宋体" w:hint="eastAsia"/>
                <w:sz w:val="20"/>
                <w:szCs w:val="20"/>
              </w:rPr>
            </w:pPr>
          </w:p>
        </w:tc>
        <w:tc>
          <w:tcPr>
            <w:tcW w:w="939" w:type="pct"/>
            <w:vMerge/>
            <w:vAlign w:val="center"/>
          </w:tcPr>
          <w:p w:rsidR="00CC1FD9" w:rsidRPr="00613A8B" w:rsidRDefault="00CC1FD9" w:rsidP="00510241">
            <w:pPr>
              <w:adjustRightInd w:val="0"/>
              <w:snapToGrid w:val="0"/>
              <w:rPr>
                <w:rFonts w:ascii="宋体" w:hAnsi="宋体" w:hint="eastAsia"/>
                <w:sz w:val="20"/>
                <w:szCs w:val="20"/>
              </w:rPr>
            </w:pPr>
          </w:p>
        </w:tc>
        <w:tc>
          <w:tcPr>
            <w:tcW w:w="1043" w:type="pct"/>
            <w:vAlign w:val="center"/>
          </w:tcPr>
          <w:p w:rsidR="00CC1FD9" w:rsidRPr="00613A8B" w:rsidRDefault="00CC1FD9" w:rsidP="00510241">
            <w:pPr>
              <w:adjustRightInd w:val="0"/>
              <w:snapToGrid w:val="0"/>
              <w:spacing w:before="82" w:line="220" w:lineRule="auto"/>
              <w:jc w:val="center"/>
              <w:rPr>
                <w:rFonts w:ascii="宋体" w:hAnsi="宋体"/>
                <w:sz w:val="20"/>
                <w:szCs w:val="20"/>
              </w:rPr>
            </w:pPr>
            <w:r w:rsidRPr="00613A8B">
              <w:rPr>
                <w:rFonts w:ascii="宋体" w:hAnsi="宋体" w:hint="eastAsia"/>
                <w:sz w:val="20"/>
                <w:szCs w:val="20"/>
              </w:rPr>
              <w:t>耐火泥</w:t>
            </w:r>
          </w:p>
        </w:tc>
        <w:tc>
          <w:tcPr>
            <w:tcW w:w="446"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KG</w:t>
            </w:r>
          </w:p>
        </w:tc>
        <w:tc>
          <w:tcPr>
            <w:tcW w:w="704"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200</w:t>
            </w:r>
          </w:p>
        </w:tc>
        <w:tc>
          <w:tcPr>
            <w:tcW w:w="1410" w:type="pct"/>
            <w:vMerge/>
            <w:vAlign w:val="center"/>
          </w:tcPr>
          <w:p w:rsidR="00CC1FD9" w:rsidRPr="00613A8B" w:rsidRDefault="00CC1FD9" w:rsidP="00510241">
            <w:pPr>
              <w:adjustRightInd w:val="0"/>
              <w:snapToGrid w:val="0"/>
              <w:rPr>
                <w:rFonts w:ascii="宋体" w:hAnsi="宋体" w:hint="eastAsia"/>
                <w:sz w:val="20"/>
                <w:szCs w:val="20"/>
              </w:rPr>
            </w:pPr>
          </w:p>
        </w:tc>
      </w:tr>
      <w:tr w:rsidR="00CC1FD9" w:rsidRPr="00613A8B" w:rsidTr="00510241">
        <w:trPr>
          <w:trHeight w:val="567"/>
          <w:jc w:val="center"/>
        </w:trPr>
        <w:tc>
          <w:tcPr>
            <w:tcW w:w="458" w:type="pct"/>
            <w:vMerge/>
            <w:vAlign w:val="center"/>
          </w:tcPr>
          <w:p w:rsidR="00CC1FD9" w:rsidRPr="00613A8B" w:rsidRDefault="00CC1FD9" w:rsidP="00510241">
            <w:pPr>
              <w:adjustRightInd w:val="0"/>
              <w:snapToGrid w:val="0"/>
              <w:jc w:val="center"/>
              <w:rPr>
                <w:rFonts w:ascii="宋体" w:hAnsi="宋体" w:hint="eastAsia"/>
                <w:sz w:val="20"/>
                <w:szCs w:val="20"/>
              </w:rPr>
            </w:pPr>
          </w:p>
        </w:tc>
        <w:tc>
          <w:tcPr>
            <w:tcW w:w="939" w:type="pct"/>
            <w:vMerge/>
            <w:vAlign w:val="center"/>
          </w:tcPr>
          <w:p w:rsidR="00CC1FD9" w:rsidRPr="00613A8B" w:rsidRDefault="00CC1FD9" w:rsidP="00510241">
            <w:pPr>
              <w:adjustRightInd w:val="0"/>
              <w:snapToGrid w:val="0"/>
              <w:rPr>
                <w:rFonts w:ascii="宋体" w:hAnsi="宋体" w:hint="eastAsia"/>
                <w:sz w:val="20"/>
                <w:szCs w:val="20"/>
              </w:rPr>
            </w:pPr>
          </w:p>
        </w:tc>
        <w:tc>
          <w:tcPr>
            <w:tcW w:w="1043" w:type="pct"/>
            <w:vAlign w:val="center"/>
          </w:tcPr>
          <w:p w:rsidR="00CC1FD9" w:rsidRPr="00613A8B" w:rsidRDefault="00CC1FD9" w:rsidP="00510241">
            <w:pPr>
              <w:adjustRightInd w:val="0"/>
              <w:snapToGrid w:val="0"/>
              <w:spacing w:before="82" w:line="220" w:lineRule="auto"/>
              <w:jc w:val="center"/>
              <w:rPr>
                <w:rFonts w:ascii="宋体" w:hAnsi="宋体"/>
                <w:sz w:val="20"/>
                <w:szCs w:val="20"/>
              </w:rPr>
            </w:pPr>
            <w:r w:rsidRPr="00613A8B">
              <w:rPr>
                <w:rFonts w:ascii="宋体" w:hAnsi="宋体" w:hint="eastAsia"/>
                <w:sz w:val="20"/>
                <w:szCs w:val="20"/>
              </w:rPr>
              <w:t>骨料粉料</w:t>
            </w:r>
          </w:p>
        </w:tc>
        <w:tc>
          <w:tcPr>
            <w:tcW w:w="446"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KG</w:t>
            </w:r>
          </w:p>
        </w:tc>
        <w:tc>
          <w:tcPr>
            <w:tcW w:w="704" w:type="pct"/>
            <w:vAlign w:val="center"/>
          </w:tcPr>
          <w:p w:rsidR="00CC1FD9" w:rsidRPr="00613A8B" w:rsidRDefault="00CC1FD9" w:rsidP="00510241">
            <w:pPr>
              <w:adjustRightInd w:val="0"/>
              <w:snapToGrid w:val="0"/>
              <w:jc w:val="center"/>
              <w:rPr>
                <w:rFonts w:ascii="宋体" w:hAnsi="宋体" w:hint="eastAsia"/>
                <w:sz w:val="20"/>
                <w:szCs w:val="20"/>
              </w:rPr>
            </w:pPr>
            <w:r w:rsidRPr="00613A8B">
              <w:rPr>
                <w:rFonts w:ascii="宋体" w:hAnsi="宋体" w:hint="eastAsia"/>
                <w:sz w:val="20"/>
                <w:szCs w:val="20"/>
              </w:rPr>
              <w:t>600</w:t>
            </w:r>
          </w:p>
        </w:tc>
        <w:tc>
          <w:tcPr>
            <w:tcW w:w="1410" w:type="pct"/>
            <w:vMerge/>
            <w:vAlign w:val="center"/>
          </w:tcPr>
          <w:p w:rsidR="00CC1FD9" w:rsidRPr="00613A8B" w:rsidRDefault="00CC1FD9" w:rsidP="00510241">
            <w:pPr>
              <w:adjustRightInd w:val="0"/>
              <w:snapToGrid w:val="0"/>
              <w:rPr>
                <w:rFonts w:ascii="宋体" w:hAnsi="宋体" w:hint="eastAsia"/>
                <w:sz w:val="20"/>
                <w:szCs w:val="20"/>
              </w:rPr>
            </w:pPr>
          </w:p>
        </w:tc>
      </w:tr>
    </w:tbl>
    <w:p w:rsidR="00CC1FD9" w:rsidRPr="000308AC" w:rsidRDefault="00CC1FD9" w:rsidP="00CC1FD9">
      <w:pPr>
        <w:adjustRightInd w:val="0"/>
        <w:snapToGrid w:val="0"/>
        <w:spacing w:line="360" w:lineRule="auto"/>
        <w:ind w:firstLineChars="200" w:firstLine="440"/>
        <w:rPr>
          <w:rFonts w:ascii="宋体" w:hAnsi="宋体" w:hint="eastAsia"/>
          <w:color w:val="000000"/>
          <w:kern w:val="0"/>
          <w:sz w:val="22"/>
          <w:szCs w:val="22"/>
        </w:rPr>
      </w:pPr>
      <w:bookmarkStart w:id="3" w:name="OLE_LINK29"/>
      <w:bookmarkStart w:id="4" w:name="OLE_LINK9"/>
      <w:bookmarkStart w:id="5" w:name="OLE_LINK11"/>
      <w:r w:rsidRPr="00261315">
        <w:rPr>
          <w:rFonts w:ascii="宋体" w:hAnsi="宋体" w:hint="eastAsia"/>
          <w:color w:val="000000"/>
          <w:kern w:val="0"/>
          <w:sz w:val="22"/>
          <w:szCs w:val="22"/>
        </w:rPr>
        <w:t>二、</w:t>
      </w:r>
      <w:bookmarkStart w:id="6" w:name="OLE_LINK50"/>
      <w:bookmarkStart w:id="7" w:name="OLE_LINK19"/>
      <w:r w:rsidRPr="00C13614">
        <w:rPr>
          <w:rFonts w:ascii="宋体" w:hAnsi="宋体" w:hint="eastAsia"/>
          <w:color w:val="000000"/>
          <w:kern w:val="0"/>
          <w:sz w:val="22"/>
          <w:szCs w:val="22"/>
        </w:rPr>
        <w:t>施工期限：合同签订后45日内完工</w:t>
      </w:r>
      <w:bookmarkEnd w:id="7"/>
      <w:r w:rsidRPr="00C13614">
        <w:rPr>
          <w:rFonts w:ascii="宋体" w:hAnsi="宋体" w:hint="eastAsia"/>
          <w:color w:val="000000"/>
          <w:kern w:val="0"/>
          <w:sz w:val="22"/>
          <w:szCs w:val="22"/>
        </w:rPr>
        <w:t>。</w:t>
      </w:r>
    </w:p>
    <w:bookmarkEnd w:id="3"/>
    <w:p w:rsidR="00CC1FD9" w:rsidRPr="00D52957"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0308AC">
        <w:rPr>
          <w:rFonts w:ascii="宋体" w:hAnsi="宋体" w:hint="eastAsia"/>
          <w:color w:val="000000"/>
          <w:kern w:val="0"/>
          <w:sz w:val="22"/>
          <w:szCs w:val="22"/>
        </w:rPr>
        <w:t>三、履约地点：湖北香青肥料科技有</w:t>
      </w:r>
      <w:r w:rsidRPr="00D52957">
        <w:rPr>
          <w:rFonts w:ascii="宋体" w:hAnsi="宋体" w:hint="eastAsia"/>
          <w:color w:val="000000"/>
          <w:kern w:val="0"/>
          <w:sz w:val="22"/>
          <w:szCs w:val="22"/>
        </w:rPr>
        <w:t>限公司姚家港厂区。</w:t>
      </w:r>
    </w:p>
    <w:p w:rsidR="00CC1FD9" w:rsidRPr="00D52957" w:rsidRDefault="00CC1FD9" w:rsidP="00CC1FD9">
      <w:pPr>
        <w:adjustRightInd w:val="0"/>
        <w:snapToGrid w:val="0"/>
        <w:spacing w:line="360" w:lineRule="auto"/>
        <w:ind w:firstLineChars="200" w:firstLine="440"/>
        <w:rPr>
          <w:rFonts w:ascii="宋体" w:hAnsi="宋体" w:hint="eastAsia"/>
          <w:color w:val="000000"/>
          <w:kern w:val="0"/>
          <w:sz w:val="22"/>
          <w:szCs w:val="22"/>
        </w:rPr>
      </w:pPr>
      <w:bookmarkStart w:id="8" w:name="OLE_LINK43"/>
      <w:bookmarkStart w:id="9" w:name="OLE_LINK46"/>
      <w:bookmarkStart w:id="10" w:name="OLE_LINK61"/>
      <w:r w:rsidRPr="00D52957">
        <w:rPr>
          <w:rFonts w:ascii="宋体" w:hAnsi="宋体" w:hint="eastAsia"/>
          <w:color w:val="000000"/>
          <w:kern w:val="0"/>
          <w:sz w:val="22"/>
          <w:szCs w:val="22"/>
        </w:rPr>
        <w:t>四、运输方式及费用负担：供应商负责送货到达至湖北香青肥料科技有限公司姚家港厂区，送货运输费及责任由供应商承担。</w:t>
      </w:r>
    </w:p>
    <w:p w:rsidR="00CC1FD9" w:rsidRDefault="00CC1FD9" w:rsidP="00CC1FD9">
      <w:pPr>
        <w:adjustRightInd w:val="0"/>
        <w:snapToGrid w:val="0"/>
        <w:spacing w:line="360" w:lineRule="auto"/>
        <w:ind w:firstLineChars="200" w:firstLine="440"/>
        <w:rPr>
          <w:rFonts w:ascii="宋体" w:hAnsi="宋体" w:hint="eastAsia"/>
          <w:color w:val="000000"/>
          <w:kern w:val="0"/>
          <w:sz w:val="22"/>
          <w:szCs w:val="22"/>
        </w:rPr>
      </w:pPr>
      <w:bookmarkStart w:id="11" w:name="OLE_LINK4"/>
      <w:bookmarkStart w:id="12" w:name="OLE_LINK5"/>
      <w:bookmarkEnd w:id="8"/>
      <w:r>
        <w:rPr>
          <w:rFonts w:ascii="宋体" w:hAnsi="宋体" w:hint="eastAsia"/>
          <w:color w:val="000000"/>
          <w:kern w:val="0"/>
          <w:sz w:val="22"/>
          <w:szCs w:val="22"/>
        </w:rPr>
        <w:t>五</w:t>
      </w:r>
      <w:r w:rsidRPr="005D1693">
        <w:rPr>
          <w:rFonts w:ascii="宋体" w:hAnsi="宋体" w:hint="eastAsia"/>
          <w:color w:val="000000"/>
          <w:kern w:val="0"/>
          <w:sz w:val="22"/>
          <w:szCs w:val="22"/>
        </w:rPr>
        <w:t>、施工要求：</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（一）热风炉PLC可编程控制器+触摸屏</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1.更换PLC可编程控制器及其程序的编制、数据的更新拷贝与保存，确保新的控制系统与热风炉生产工艺相匹配；</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2.更换触摸屏及其操作界面和控制逻辑的编辑、数据的更新拷贝与保存，确保操作界面清晰流畅与新系统的兼容性。</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 xml:space="preserve">（二）热风炉燃烧器程序控制管理器+操控屏：  </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1.更换燃烧器程序控制管理器及其燃烧曲线的编辑、数据的更新拷贝与保存；</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lastRenderedPageBreak/>
        <w:t>2.更换操控屏及其控制系统的编辑、数据的更新拷贝与保存。</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（三）热风炉炉体内部耐火砖及耐火材料的修补：</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1.拆除热风炉尾部波纹管及连接件。</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2.进入热风炉进行检查的部位包括：</w:t>
      </w:r>
      <w:proofErr w:type="gramStart"/>
      <w:r w:rsidRPr="002349A1">
        <w:rPr>
          <w:rFonts w:ascii="宋体" w:hAnsi="宋体" w:hint="eastAsia"/>
          <w:color w:val="000000"/>
          <w:kern w:val="0"/>
          <w:sz w:val="22"/>
          <w:szCs w:val="22"/>
        </w:rPr>
        <w:t>燃烧器吼口密封</w:t>
      </w:r>
      <w:proofErr w:type="gramEnd"/>
      <w:r w:rsidRPr="002349A1">
        <w:rPr>
          <w:rFonts w:ascii="宋体" w:hAnsi="宋体" w:hint="eastAsia"/>
          <w:color w:val="000000"/>
          <w:kern w:val="0"/>
          <w:sz w:val="22"/>
          <w:szCs w:val="22"/>
        </w:rPr>
        <w:t>、</w:t>
      </w:r>
      <w:proofErr w:type="gramStart"/>
      <w:r w:rsidRPr="002349A1">
        <w:rPr>
          <w:rFonts w:ascii="宋体" w:hAnsi="宋体" w:hint="eastAsia"/>
          <w:color w:val="000000"/>
          <w:kern w:val="0"/>
          <w:sz w:val="22"/>
          <w:szCs w:val="22"/>
        </w:rPr>
        <w:t>混风进</w:t>
      </w:r>
      <w:proofErr w:type="gramEnd"/>
      <w:r w:rsidRPr="002349A1">
        <w:rPr>
          <w:rFonts w:ascii="宋体" w:hAnsi="宋体" w:hint="eastAsia"/>
          <w:color w:val="000000"/>
          <w:kern w:val="0"/>
          <w:sz w:val="22"/>
          <w:szCs w:val="22"/>
        </w:rPr>
        <w:t>风口的密封、炉墙炉壁检查是否开裂掉砖、热风炉尾部出风口的密封，待检查修补（修补材料包括：耐火砖、耐火水泥、骨料粉料、耐火泥）完毕后吊装恢复尾部波纹管的连接件并更换螺栓紧固件。</w:t>
      </w:r>
    </w:p>
    <w:p w:rsidR="00CC1FD9"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3.本次对两条线一烘热风炉炉内耐火砖及耐火材料的修补，供应商应先进入炉内对炉内耐火砖及耐火材料检查，若有损坏，供应商提供炉内损坏照片，双方签字确认后，</w:t>
      </w:r>
      <w:proofErr w:type="gramStart"/>
      <w:r w:rsidRPr="002349A1">
        <w:rPr>
          <w:rFonts w:ascii="宋体" w:hAnsi="宋体" w:hint="eastAsia"/>
          <w:color w:val="000000"/>
          <w:kern w:val="0"/>
          <w:sz w:val="22"/>
          <w:szCs w:val="22"/>
        </w:rPr>
        <w:t>供应商方可</w:t>
      </w:r>
      <w:proofErr w:type="gramEnd"/>
      <w:r w:rsidRPr="002349A1">
        <w:rPr>
          <w:rFonts w:ascii="宋体" w:hAnsi="宋体" w:hint="eastAsia"/>
          <w:color w:val="000000"/>
          <w:kern w:val="0"/>
          <w:sz w:val="22"/>
          <w:szCs w:val="22"/>
        </w:rPr>
        <w:t>施工，具体工程量根据实际相对应实际耗材量确定结算费用，若无损坏采购人仅对检查项付费。</w:t>
      </w:r>
    </w:p>
    <w:p w:rsidR="00CC1FD9" w:rsidRPr="00C44009"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六</w:t>
      </w:r>
      <w:r w:rsidRPr="00C44009">
        <w:rPr>
          <w:rFonts w:ascii="宋体" w:hAnsi="宋体" w:hint="eastAsia"/>
          <w:color w:val="000000"/>
          <w:kern w:val="0"/>
          <w:sz w:val="22"/>
          <w:szCs w:val="22"/>
        </w:rPr>
        <w:t>、履约验收方案</w:t>
      </w:r>
    </w:p>
    <w:p w:rsidR="00CC1FD9" w:rsidRPr="009178AE" w:rsidRDefault="00CC1FD9" w:rsidP="00CC1FD9">
      <w:pPr>
        <w:adjustRightInd w:val="0"/>
        <w:snapToGrid w:val="0"/>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（一）供应商</w:t>
      </w:r>
      <w:r w:rsidRPr="009178AE">
        <w:rPr>
          <w:rFonts w:ascii="宋体" w:hAnsi="宋体" w:hint="eastAsia"/>
          <w:color w:val="000000"/>
          <w:kern w:val="0"/>
          <w:sz w:val="22"/>
          <w:szCs w:val="22"/>
        </w:rPr>
        <w:t>须在工期内完成所有</w:t>
      </w:r>
      <w:bookmarkStart w:id="13" w:name="OLE_LINK126"/>
      <w:r w:rsidRPr="002349A1">
        <w:rPr>
          <w:rFonts w:ascii="宋体" w:hAnsi="宋体" w:hint="eastAsia"/>
          <w:color w:val="000000"/>
          <w:kern w:val="0"/>
          <w:sz w:val="22"/>
          <w:szCs w:val="22"/>
        </w:rPr>
        <w:t>热风炉</w:t>
      </w:r>
      <w:bookmarkEnd w:id="13"/>
      <w:r w:rsidRPr="002349A1">
        <w:rPr>
          <w:rFonts w:ascii="宋体" w:hAnsi="宋体" w:hint="eastAsia"/>
          <w:color w:val="000000"/>
          <w:kern w:val="0"/>
          <w:sz w:val="22"/>
          <w:szCs w:val="22"/>
        </w:rPr>
        <w:t>系统升级及炉膛修复</w:t>
      </w:r>
      <w:r w:rsidRPr="009178AE">
        <w:rPr>
          <w:rFonts w:ascii="宋体" w:hAnsi="宋体" w:hint="eastAsia"/>
          <w:color w:val="000000"/>
          <w:kern w:val="0"/>
          <w:sz w:val="22"/>
          <w:szCs w:val="22"/>
        </w:rPr>
        <w:t>工作，且维修后的</w:t>
      </w:r>
      <w:r>
        <w:rPr>
          <w:rFonts w:ascii="宋体" w:hAnsi="宋体" w:hint="eastAsia"/>
          <w:color w:val="000000"/>
          <w:kern w:val="0"/>
          <w:sz w:val="22"/>
          <w:szCs w:val="22"/>
        </w:rPr>
        <w:t>热风炉</w:t>
      </w:r>
      <w:r w:rsidRPr="009178AE">
        <w:rPr>
          <w:rFonts w:ascii="宋体" w:hAnsi="宋体" w:hint="eastAsia"/>
          <w:color w:val="000000"/>
          <w:kern w:val="0"/>
          <w:sz w:val="22"/>
          <w:szCs w:val="22"/>
        </w:rPr>
        <w:t>能满足</w:t>
      </w:r>
      <w:bookmarkStart w:id="14" w:name="OLE_LINK16"/>
      <w:bookmarkStart w:id="15" w:name="OLE_LINK17"/>
      <w:r>
        <w:rPr>
          <w:rFonts w:ascii="宋体" w:hAnsi="宋体" w:hint="eastAsia"/>
          <w:color w:val="000000"/>
          <w:kern w:val="0"/>
          <w:sz w:val="22"/>
          <w:szCs w:val="22"/>
        </w:rPr>
        <w:t>采购人</w:t>
      </w:r>
      <w:bookmarkEnd w:id="14"/>
      <w:bookmarkEnd w:id="15"/>
      <w:r w:rsidRPr="009178AE">
        <w:rPr>
          <w:rFonts w:ascii="宋体" w:hAnsi="宋体" w:hint="eastAsia"/>
          <w:color w:val="000000"/>
          <w:kern w:val="0"/>
          <w:sz w:val="22"/>
          <w:szCs w:val="22"/>
        </w:rPr>
        <w:t>的使用要求，所有工作完成后</w:t>
      </w:r>
      <w:r>
        <w:rPr>
          <w:rFonts w:ascii="宋体" w:hAnsi="宋体" w:hint="eastAsia"/>
          <w:color w:val="000000"/>
          <w:kern w:val="0"/>
          <w:sz w:val="22"/>
          <w:szCs w:val="22"/>
        </w:rPr>
        <w:t>采购人</w:t>
      </w:r>
      <w:r w:rsidRPr="009178AE">
        <w:rPr>
          <w:rFonts w:ascii="宋体" w:hAnsi="宋体" w:hint="eastAsia"/>
          <w:color w:val="000000"/>
          <w:kern w:val="0"/>
          <w:sz w:val="22"/>
          <w:szCs w:val="22"/>
        </w:rPr>
        <w:t>30日内</w:t>
      </w:r>
      <w:r>
        <w:rPr>
          <w:rFonts w:ascii="宋体" w:hAnsi="宋体" w:hint="eastAsia"/>
          <w:color w:val="000000"/>
          <w:kern w:val="0"/>
          <w:sz w:val="22"/>
          <w:szCs w:val="22"/>
        </w:rPr>
        <w:t>办理</w:t>
      </w:r>
      <w:r w:rsidRPr="009178AE">
        <w:rPr>
          <w:rFonts w:ascii="宋体" w:hAnsi="宋体" w:hint="eastAsia"/>
          <w:color w:val="000000"/>
          <w:kern w:val="0"/>
          <w:sz w:val="22"/>
          <w:szCs w:val="22"/>
        </w:rPr>
        <w:t>验收。</w:t>
      </w:r>
    </w:p>
    <w:p w:rsidR="00CC1FD9" w:rsidRPr="009178AE"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（二）</w:t>
      </w:r>
      <w:r w:rsidRPr="009178AE">
        <w:rPr>
          <w:rFonts w:ascii="宋体" w:hAnsi="宋体" w:hint="eastAsia"/>
          <w:color w:val="000000"/>
          <w:kern w:val="0"/>
          <w:sz w:val="22"/>
          <w:szCs w:val="22"/>
        </w:rPr>
        <w:t>验收地点：项目的验收工作在</w:t>
      </w:r>
      <w:r>
        <w:rPr>
          <w:rFonts w:ascii="宋体" w:hAnsi="宋体" w:hint="eastAsia"/>
          <w:color w:val="000000"/>
          <w:kern w:val="0"/>
          <w:sz w:val="22"/>
          <w:szCs w:val="22"/>
        </w:rPr>
        <w:t>运行</w:t>
      </w:r>
      <w:r w:rsidRPr="009178AE">
        <w:rPr>
          <w:rFonts w:ascii="宋体" w:hAnsi="宋体" w:hint="eastAsia"/>
          <w:color w:val="000000"/>
          <w:kern w:val="0"/>
          <w:sz w:val="22"/>
          <w:szCs w:val="22"/>
        </w:rPr>
        <w:t>现场进行。</w:t>
      </w:r>
    </w:p>
    <w:p w:rsidR="00CC1FD9"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（三）</w:t>
      </w:r>
      <w:r w:rsidRPr="009178AE">
        <w:rPr>
          <w:rFonts w:ascii="宋体" w:hAnsi="宋体" w:hint="eastAsia"/>
          <w:color w:val="000000"/>
          <w:kern w:val="0"/>
          <w:sz w:val="22"/>
          <w:szCs w:val="22"/>
        </w:rPr>
        <w:t>验收内容：</w:t>
      </w:r>
    </w:p>
    <w:p w:rsidR="00CC1FD9" w:rsidRPr="002349A1" w:rsidRDefault="00CC1FD9" w:rsidP="00CC1FD9">
      <w:pPr>
        <w:adjustRightInd w:val="0"/>
        <w:snapToGrid w:val="0"/>
        <w:spacing w:line="360" w:lineRule="auto"/>
        <w:ind w:firstLineChars="200" w:firstLine="440"/>
        <w:rPr>
          <w:rFonts w:ascii="宋体" w:hAnsi="宋体"/>
          <w:color w:val="000000"/>
          <w:kern w:val="0"/>
          <w:sz w:val="22"/>
          <w:szCs w:val="22"/>
        </w:rPr>
      </w:pPr>
      <w:r w:rsidRPr="002349A1">
        <w:rPr>
          <w:rFonts w:ascii="宋体" w:hAnsi="宋体" w:hint="eastAsia"/>
          <w:color w:val="000000"/>
          <w:kern w:val="0"/>
          <w:sz w:val="22"/>
          <w:szCs w:val="22"/>
        </w:rPr>
        <w:t>1.所有货物需在45天内送达采购人指定地点并完成施工，采购人、供应</w:t>
      </w:r>
      <w:proofErr w:type="gramStart"/>
      <w:r w:rsidRPr="002349A1">
        <w:rPr>
          <w:rFonts w:ascii="宋体" w:hAnsi="宋体" w:hint="eastAsia"/>
          <w:color w:val="000000"/>
          <w:kern w:val="0"/>
          <w:sz w:val="22"/>
          <w:szCs w:val="22"/>
        </w:rPr>
        <w:t>商双方</w:t>
      </w:r>
      <w:proofErr w:type="gramEnd"/>
      <w:r w:rsidRPr="002349A1">
        <w:rPr>
          <w:rFonts w:ascii="宋体" w:hAnsi="宋体" w:hint="eastAsia"/>
          <w:color w:val="000000"/>
          <w:kern w:val="0"/>
          <w:sz w:val="22"/>
          <w:szCs w:val="22"/>
        </w:rPr>
        <w:t>共同核对货物数量及规格型号与合同相关参数一致，同时应</w:t>
      </w:r>
      <w:proofErr w:type="gramStart"/>
      <w:r w:rsidRPr="002349A1">
        <w:rPr>
          <w:rFonts w:ascii="宋体" w:hAnsi="宋体" w:hint="eastAsia"/>
          <w:color w:val="000000"/>
          <w:kern w:val="0"/>
          <w:sz w:val="22"/>
          <w:szCs w:val="22"/>
        </w:rPr>
        <w:t>附质量</w:t>
      </w:r>
      <w:proofErr w:type="gramEnd"/>
      <w:r w:rsidRPr="002349A1">
        <w:rPr>
          <w:rFonts w:ascii="宋体" w:hAnsi="宋体" w:hint="eastAsia"/>
          <w:color w:val="000000"/>
          <w:kern w:val="0"/>
          <w:sz w:val="22"/>
          <w:szCs w:val="22"/>
        </w:rPr>
        <w:t xml:space="preserve">证明文件：如CE认证或者产地证、合格证等其他相关证明文件，保证货品是全新的、原装的，文件内容应完整、准确，与配件实际情况相符双方签字确认； </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2.更换后热风炉PLC可编程控制器、触摸屏；热风炉燃烧器程序控制管理器、触摸屏后，应将设备开启无故障运行满2小时，采购人、供应</w:t>
      </w:r>
      <w:proofErr w:type="gramStart"/>
      <w:r w:rsidRPr="002349A1">
        <w:rPr>
          <w:rFonts w:ascii="宋体" w:hAnsi="宋体" w:hint="eastAsia"/>
          <w:color w:val="000000"/>
          <w:kern w:val="0"/>
          <w:sz w:val="22"/>
          <w:szCs w:val="22"/>
        </w:rPr>
        <w:t>商双方</w:t>
      </w:r>
      <w:proofErr w:type="gramEnd"/>
      <w:r w:rsidRPr="002349A1">
        <w:rPr>
          <w:rFonts w:ascii="宋体" w:hAnsi="宋体" w:hint="eastAsia"/>
          <w:color w:val="000000"/>
          <w:kern w:val="0"/>
          <w:sz w:val="22"/>
          <w:szCs w:val="22"/>
        </w:rPr>
        <w:t>签字确认，因本次更换了操作系统，供应商需提供相应的新系统的操作规程，所有程序文件供应商需备份给采购人。（包含：程序文件备份及PLC控制点位图）</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3.供应商对采购人的操作人员及维护人员进行培训，采购人应积极配合参与，确保采购人的操作人员及维护人员能熟练操作及维护。</w:t>
      </w:r>
    </w:p>
    <w:p w:rsidR="00CC1FD9" w:rsidRPr="002349A1" w:rsidRDefault="00CC1FD9" w:rsidP="00CC1FD9">
      <w:pPr>
        <w:adjustRightInd w:val="0"/>
        <w:snapToGrid w:val="0"/>
        <w:spacing w:line="360" w:lineRule="auto"/>
        <w:ind w:firstLineChars="200" w:firstLine="440"/>
        <w:rPr>
          <w:rFonts w:ascii="宋体" w:hAnsi="宋体" w:hint="eastAsia"/>
          <w:color w:val="000000"/>
          <w:kern w:val="0"/>
          <w:sz w:val="22"/>
          <w:szCs w:val="22"/>
        </w:rPr>
      </w:pPr>
      <w:r w:rsidRPr="002349A1">
        <w:rPr>
          <w:rFonts w:ascii="宋体" w:hAnsi="宋体" w:hint="eastAsia"/>
          <w:color w:val="000000"/>
          <w:kern w:val="0"/>
          <w:sz w:val="22"/>
          <w:szCs w:val="22"/>
        </w:rPr>
        <w:t>4.炉膛耐火砖及耐火材料修补后，需按照先小火烘炉8小时，大火运行4小时，设备运行无异常现象（</w:t>
      </w:r>
      <w:r>
        <w:rPr>
          <w:rFonts w:ascii="宋体" w:hAnsi="宋体" w:hint="eastAsia"/>
          <w:color w:val="000000"/>
          <w:kern w:val="0"/>
          <w:sz w:val="22"/>
          <w:szCs w:val="22"/>
        </w:rPr>
        <w:t>无</w:t>
      </w:r>
      <w:r w:rsidRPr="002349A1">
        <w:rPr>
          <w:rFonts w:ascii="宋体" w:hAnsi="宋体" w:hint="eastAsia"/>
          <w:color w:val="000000"/>
          <w:kern w:val="0"/>
          <w:sz w:val="22"/>
          <w:szCs w:val="22"/>
        </w:rPr>
        <w:t>异响，手动测温仪器与PLC测温仪显示正常），采购人与供应</w:t>
      </w:r>
      <w:proofErr w:type="gramStart"/>
      <w:r w:rsidRPr="002349A1">
        <w:rPr>
          <w:rFonts w:ascii="宋体" w:hAnsi="宋体" w:hint="eastAsia"/>
          <w:color w:val="000000"/>
          <w:kern w:val="0"/>
          <w:sz w:val="22"/>
          <w:szCs w:val="22"/>
        </w:rPr>
        <w:t>商双方</w:t>
      </w:r>
      <w:proofErr w:type="gramEnd"/>
      <w:r w:rsidRPr="002349A1">
        <w:rPr>
          <w:rFonts w:ascii="宋体" w:hAnsi="宋体" w:hint="eastAsia"/>
          <w:color w:val="000000"/>
          <w:kern w:val="0"/>
          <w:sz w:val="22"/>
          <w:szCs w:val="22"/>
        </w:rPr>
        <w:t>签字确认。炉膛修复应附有修补记录、照片及提供损坏更换下的实物，供应商未提供修补记录、照片资料的，采购人不予支付相关费用。</w:t>
      </w:r>
    </w:p>
    <w:p w:rsidR="00CC1FD9" w:rsidRPr="00852721"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5.</w:t>
      </w:r>
      <w:r w:rsidRPr="00E145BC">
        <w:rPr>
          <w:rFonts w:ascii="宋体" w:hAnsi="宋体" w:hint="eastAsia"/>
          <w:color w:val="000000"/>
          <w:kern w:val="0"/>
          <w:sz w:val="22"/>
          <w:szCs w:val="22"/>
        </w:rPr>
        <w:t>双方不得擅自变更本合同约定的验收要素。</w:t>
      </w:r>
    </w:p>
    <w:bookmarkEnd w:id="11"/>
    <w:bookmarkEnd w:id="12"/>
    <w:p w:rsidR="00CC1FD9"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七</w:t>
      </w:r>
      <w:r w:rsidRPr="00DB7945">
        <w:rPr>
          <w:rFonts w:ascii="宋体" w:hAnsi="宋体" w:hint="eastAsia"/>
          <w:color w:val="000000"/>
          <w:kern w:val="0"/>
          <w:sz w:val="22"/>
          <w:szCs w:val="22"/>
        </w:rPr>
        <w:t>、质保期：</w:t>
      </w:r>
      <w:r w:rsidRPr="002C7A31">
        <w:rPr>
          <w:rFonts w:ascii="宋体" w:hAnsi="宋体" w:hint="eastAsia"/>
          <w:color w:val="000000"/>
          <w:kern w:val="0"/>
          <w:sz w:val="22"/>
          <w:szCs w:val="22"/>
        </w:rPr>
        <w:t>自验收合格之日起一年，质保期内若出现质量问题，供应商须及时到场进行修复，采购人不再承担相应费用。</w:t>
      </w:r>
    </w:p>
    <w:p w:rsidR="00CC1FD9" w:rsidRDefault="00CC1FD9" w:rsidP="00CC1FD9">
      <w:pPr>
        <w:adjustRightInd w:val="0"/>
        <w:snapToGrid w:val="0"/>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lastRenderedPageBreak/>
        <w:t>八</w:t>
      </w:r>
      <w:r w:rsidRPr="00A62DE7">
        <w:rPr>
          <w:rFonts w:ascii="宋体" w:hAnsi="宋体" w:hint="eastAsia"/>
          <w:color w:val="000000"/>
          <w:kern w:val="0"/>
          <w:sz w:val="22"/>
          <w:szCs w:val="22"/>
        </w:rPr>
        <w:t>、费用的支付与结算：</w:t>
      </w:r>
    </w:p>
    <w:p w:rsidR="00CC1FD9" w:rsidRPr="00277A2A" w:rsidRDefault="00CC1FD9" w:rsidP="00CC1FD9">
      <w:pPr>
        <w:adjustRightInd w:val="0"/>
        <w:snapToGrid w:val="0"/>
        <w:spacing w:line="360" w:lineRule="auto"/>
        <w:ind w:firstLineChars="200" w:firstLine="440"/>
        <w:rPr>
          <w:rFonts w:ascii="宋体" w:hAnsi="宋体"/>
          <w:color w:val="000000"/>
          <w:kern w:val="0"/>
          <w:sz w:val="22"/>
          <w:szCs w:val="22"/>
        </w:rPr>
      </w:pPr>
      <w:bookmarkStart w:id="16" w:name="OLE_LINK82"/>
      <w:r w:rsidRPr="002260B0">
        <w:rPr>
          <w:rFonts w:ascii="宋体" w:hAnsi="宋体" w:hint="eastAsia"/>
          <w:color w:val="000000"/>
          <w:kern w:val="0"/>
          <w:sz w:val="22"/>
          <w:szCs w:val="22"/>
        </w:rPr>
        <w:t>结算条件与方式：</w:t>
      </w:r>
      <w:bookmarkEnd w:id="6"/>
      <w:bookmarkEnd w:id="9"/>
      <w:bookmarkEnd w:id="10"/>
      <w:r w:rsidRPr="00277A2A">
        <w:rPr>
          <w:rFonts w:ascii="宋体" w:hAnsi="宋体" w:hint="eastAsia"/>
          <w:color w:val="000000"/>
          <w:kern w:val="0"/>
          <w:sz w:val="22"/>
          <w:szCs w:val="22"/>
        </w:rPr>
        <w:t>本项目经</w:t>
      </w:r>
      <w:r>
        <w:rPr>
          <w:rFonts w:ascii="宋体" w:hAnsi="宋体" w:hint="eastAsia"/>
          <w:color w:val="000000"/>
          <w:kern w:val="0"/>
          <w:sz w:val="22"/>
          <w:szCs w:val="22"/>
        </w:rPr>
        <w:t>采购人</w:t>
      </w:r>
      <w:r w:rsidRPr="00277A2A">
        <w:rPr>
          <w:rFonts w:ascii="宋体" w:hAnsi="宋体" w:hint="eastAsia"/>
          <w:color w:val="000000"/>
          <w:kern w:val="0"/>
          <w:sz w:val="22"/>
          <w:szCs w:val="22"/>
        </w:rPr>
        <w:t>验收合格后，</w:t>
      </w:r>
      <w:r>
        <w:rPr>
          <w:rFonts w:ascii="宋体" w:hAnsi="宋体" w:hint="eastAsia"/>
          <w:color w:val="000000"/>
          <w:kern w:val="0"/>
          <w:sz w:val="22"/>
          <w:szCs w:val="22"/>
        </w:rPr>
        <w:t>供应商</w:t>
      </w:r>
      <w:r w:rsidRPr="00277A2A">
        <w:rPr>
          <w:rFonts w:ascii="宋体" w:hAnsi="宋体" w:hint="eastAsia"/>
          <w:color w:val="000000"/>
          <w:kern w:val="0"/>
          <w:sz w:val="22"/>
          <w:szCs w:val="22"/>
        </w:rPr>
        <w:t>按结算金额开具增值税专用发票，凭发票</w:t>
      </w:r>
      <w:r>
        <w:rPr>
          <w:rFonts w:ascii="宋体" w:hAnsi="宋体" w:hint="eastAsia"/>
          <w:color w:val="000000"/>
          <w:kern w:val="0"/>
          <w:sz w:val="22"/>
          <w:szCs w:val="22"/>
        </w:rPr>
        <w:t>采购人</w:t>
      </w:r>
      <w:r w:rsidRPr="00277A2A">
        <w:rPr>
          <w:rFonts w:ascii="宋体" w:hAnsi="宋体" w:hint="eastAsia"/>
          <w:color w:val="000000"/>
          <w:kern w:val="0"/>
          <w:sz w:val="22"/>
          <w:szCs w:val="22"/>
        </w:rPr>
        <w:t>30天内向</w:t>
      </w:r>
      <w:r>
        <w:rPr>
          <w:rFonts w:ascii="宋体" w:hAnsi="宋体" w:hint="eastAsia"/>
          <w:color w:val="000000"/>
          <w:kern w:val="0"/>
          <w:sz w:val="22"/>
          <w:szCs w:val="22"/>
        </w:rPr>
        <w:t>供应商</w:t>
      </w:r>
      <w:r w:rsidRPr="00277A2A">
        <w:rPr>
          <w:rFonts w:ascii="宋体" w:hAnsi="宋体" w:hint="eastAsia"/>
          <w:color w:val="000000"/>
          <w:kern w:val="0"/>
          <w:sz w:val="22"/>
          <w:szCs w:val="22"/>
        </w:rPr>
        <w:t>支付至结算金额的9</w:t>
      </w:r>
      <w:r>
        <w:rPr>
          <w:rFonts w:ascii="宋体" w:hAnsi="宋体" w:hint="eastAsia"/>
          <w:color w:val="000000"/>
          <w:kern w:val="0"/>
          <w:sz w:val="22"/>
          <w:szCs w:val="22"/>
        </w:rPr>
        <w:t>5</w:t>
      </w:r>
      <w:r w:rsidRPr="00277A2A">
        <w:rPr>
          <w:rFonts w:ascii="宋体" w:hAnsi="宋体" w:hint="eastAsia"/>
          <w:color w:val="000000"/>
          <w:kern w:val="0"/>
          <w:sz w:val="22"/>
          <w:szCs w:val="22"/>
        </w:rPr>
        <w:t>％，余款</w:t>
      </w:r>
      <w:r>
        <w:rPr>
          <w:rFonts w:ascii="宋体" w:hAnsi="宋体" w:hint="eastAsia"/>
          <w:color w:val="000000"/>
          <w:kern w:val="0"/>
          <w:sz w:val="22"/>
          <w:szCs w:val="22"/>
        </w:rPr>
        <w:t>5</w:t>
      </w:r>
      <w:r w:rsidRPr="00277A2A">
        <w:rPr>
          <w:rFonts w:ascii="宋体" w:hAnsi="宋体" w:hint="eastAsia"/>
          <w:color w:val="000000"/>
          <w:kern w:val="0"/>
          <w:sz w:val="22"/>
          <w:szCs w:val="22"/>
        </w:rPr>
        <w:t>%留作质保金，质保期满一年后无质量问题无息付清。</w:t>
      </w:r>
    </w:p>
    <w:bookmarkEnd w:id="4"/>
    <w:bookmarkEnd w:id="5"/>
    <w:bookmarkEnd w:id="16"/>
    <w:p w:rsidR="00CC1FD9" w:rsidRPr="00A62DE7" w:rsidRDefault="00CC1FD9" w:rsidP="00CC1FD9">
      <w:pPr>
        <w:adjustRightInd w:val="0"/>
        <w:snapToGrid w:val="0"/>
        <w:spacing w:line="360" w:lineRule="auto"/>
        <w:ind w:firstLineChars="200" w:firstLine="440"/>
        <w:rPr>
          <w:rFonts w:ascii="宋体" w:hAnsi="宋体" w:hint="eastAsia"/>
          <w:kern w:val="0"/>
          <w:sz w:val="22"/>
          <w:szCs w:val="22"/>
        </w:rPr>
      </w:pPr>
      <w:r>
        <w:rPr>
          <w:rFonts w:ascii="宋体" w:hAnsi="宋体" w:hint="eastAsia"/>
          <w:kern w:val="0"/>
          <w:sz w:val="22"/>
          <w:szCs w:val="22"/>
        </w:rPr>
        <w:t>九</w:t>
      </w:r>
      <w:r w:rsidRPr="00A62DE7">
        <w:rPr>
          <w:rFonts w:ascii="宋体" w:hAnsi="宋体" w:hint="eastAsia"/>
          <w:kern w:val="0"/>
          <w:sz w:val="22"/>
          <w:szCs w:val="22"/>
        </w:rPr>
        <w:t>、供应商需知</w:t>
      </w:r>
    </w:p>
    <w:p w:rsidR="00CC1FD9" w:rsidRPr="00137A5C" w:rsidRDefault="00CC1FD9" w:rsidP="00CC1FD9">
      <w:pPr>
        <w:spacing w:line="360" w:lineRule="auto"/>
        <w:ind w:firstLineChars="200" w:firstLine="440"/>
        <w:rPr>
          <w:rFonts w:ascii="宋体" w:hAnsi="宋体" w:hint="eastAsia"/>
          <w:bCs/>
          <w:szCs w:val="21"/>
        </w:rPr>
      </w:pPr>
      <w:r w:rsidRPr="00A62DE7">
        <w:rPr>
          <w:rFonts w:ascii="宋体" w:hAnsi="宋体" w:cs="仿宋_GB2312" w:hint="eastAsia"/>
          <w:bCs/>
          <w:color w:val="000000"/>
          <w:sz w:val="22"/>
          <w:szCs w:val="22"/>
        </w:rPr>
        <w:t>供应商应结合市场价格进行合理报价，如以明显高于市场的不合理价格进行报价的，供应商应合</w:t>
      </w:r>
      <w:proofErr w:type="gramStart"/>
      <w:r w:rsidRPr="00A62DE7">
        <w:rPr>
          <w:rFonts w:ascii="宋体" w:hAnsi="宋体" w:cs="仿宋_GB2312" w:hint="eastAsia"/>
          <w:bCs/>
          <w:color w:val="000000"/>
          <w:sz w:val="22"/>
          <w:szCs w:val="22"/>
        </w:rPr>
        <w:t>理说明</w:t>
      </w:r>
      <w:proofErr w:type="gramEnd"/>
      <w:r w:rsidRPr="00A62DE7">
        <w:rPr>
          <w:rFonts w:ascii="宋体" w:hAnsi="宋体" w:cs="仿宋_GB2312" w:hint="eastAsia"/>
          <w:bCs/>
          <w:color w:val="000000"/>
          <w:sz w:val="22"/>
          <w:szCs w:val="22"/>
        </w:rPr>
        <w:t>并提供相应证明材料，否则视为无效报价。如供应商相互串通，以明显高于市场的不合理价格进行报价并使得其中一名供应商中标的，该中标无效。采购人有权将涉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商列入不良行为供应商黑名单并采取禁入措施；同时，涉</w:t>
      </w:r>
      <w:proofErr w:type="gramStart"/>
      <w:r w:rsidRPr="00A62DE7">
        <w:rPr>
          <w:rFonts w:ascii="宋体" w:hAnsi="宋体" w:cs="仿宋_GB2312" w:hint="eastAsia"/>
          <w:bCs/>
          <w:color w:val="000000"/>
          <w:sz w:val="22"/>
          <w:szCs w:val="22"/>
        </w:rPr>
        <w:t>事供应</w:t>
      </w:r>
      <w:proofErr w:type="gramEnd"/>
      <w:r w:rsidRPr="00A62DE7">
        <w:rPr>
          <w:rFonts w:ascii="宋体" w:hAnsi="宋体" w:cs="仿宋_GB2312" w:hint="eastAsia"/>
          <w:bCs/>
          <w:color w:val="000000"/>
          <w:sz w:val="22"/>
          <w:szCs w:val="22"/>
        </w:rPr>
        <w:t>商因此给采购人造成损失的，还应承担损失赔偿责任。</w:t>
      </w:r>
    </w:p>
    <w:p w:rsidR="006B1903" w:rsidRPr="00CC1FD9" w:rsidRDefault="006B1903"/>
    <w:sectPr w:rsidR="006B1903" w:rsidRPr="00CC1F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1FD9"/>
    <w:rsid w:val="006B1903"/>
    <w:rsid w:val="00CC1F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FD9"/>
    <w:pPr>
      <w:widowControl w:val="0"/>
      <w:jc w:val="both"/>
    </w:pPr>
    <w:rPr>
      <w:rFonts w:ascii="Calibri" w:eastAsia="宋体" w:hAnsi="Calibri" w:cs="Times New Roman"/>
      <w:szCs w:val="24"/>
    </w:rPr>
  </w:style>
  <w:style w:type="paragraph" w:styleId="1">
    <w:name w:val="heading 1"/>
    <w:basedOn w:val="a"/>
    <w:next w:val="a"/>
    <w:link w:val="1Char"/>
    <w:qFormat/>
    <w:rsid w:val="00CC1FD9"/>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CC1FD9"/>
    <w:rPr>
      <w:rFonts w:ascii="Calibri" w:eastAsia="宋体" w:hAnsi="Calibri" w:cs="Times New Roman"/>
      <w:b/>
      <w:kern w:val="44"/>
      <w:sz w:val="44"/>
      <w:szCs w:val="20"/>
      <w:lang/>
    </w:rPr>
  </w:style>
  <w:style w:type="paragraph" w:customStyle="1" w:styleId="TableText">
    <w:name w:val="Table Text"/>
    <w:basedOn w:val="a"/>
    <w:semiHidden/>
    <w:qFormat/>
    <w:rsid w:val="00CC1FD9"/>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2025-05-08T02:59:00Z</dcterms:created>
  <dcterms:modified xsi:type="dcterms:W3CDTF">2025-05-08T02:59:00Z</dcterms:modified>
</cp:coreProperties>
</file>