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25FB">
      <w:pPr>
        <w:pStyle w:val="3"/>
        <w:jc w:val="center"/>
        <w:rPr>
          <w:rFonts w:hint="eastAsia" w:asciiTheme="minorEastAsia" w:hAnsiTheme="minorEastAsia" w:eastAsiaTheme="minorEastAsia" w:cstheme="minorEastAsia"/>
          <w:sz w:val="52"/>
          <w:szCs w:val="52"/>
          <w:lang w:eastAsia="zh-CN"/>
        </w:rPr>
      </w:pPr>
      <w:bookmarkStart w:id="2" w:name="_GoBack"/>
      <w:r>
        <w:rPr>
          <w:rFonts w:hint="eastAsia" w:asciiTheme="minorEastAsia" w:hAnsiTheme="minorEastAsia" w:eastAsiaTheme="minorEastAsia" w:cstheme="minorEastAsia"/>
          <w:sz w:val="52"/>
          <w:szCs w:val="52"/>
          <w:lang w:eastAsia="zh-CN"/>
        </w:rPr>
        <w:t xml:space="preserve">“南海 </w:t>
      </w:r>
      <w:r>
        <w:rPr>
          <w:rFonts w:hint="eastAsia" w:asciiTheme="minorEastAsia" w:hAnsiTheme="minorEastAsia" w:eastAsiaTheme="minorEastAsia" w:cstheme="minorEastAsia"/>
          <w:sz w:val="52"/>
          <w:szCs w:val="52"/>
          <w:lang w:eastAsia="zh-CN"/>
        </w:rPr>
        <w:t>I</w:t>
      </w:r>
      <w:r>
        <w:rPr>
          <w:rFonts w:hint="eastAsia" w:asciiTheme="minorEastAsia" w:hAnsiTheme="minorEastAsia" w:eastAsiaTheme="minorEastAsia" w:cstheme="minorEastAsia"/>
          <w:sz w:val="52"/>
          <w:szCs w:val="52"/>
          <w:lang w:eastAsia="zh-CN"/>
        </w:rPr>
        <w:t>号”沉船船体及出水文物2025年度保护工作项目</w:t>
      </w:r>
    </w:p>
    <w:bookmarkEnd w:id="2"/>
    <w:p w14:paraId="4664136D">
      <w:pPr>
        <w:pStyle w:val="3"/>
        <w:jc w:val="center"/>
        <w:rPr>
          <w:sz w:val="36"/>
          <w:szCs w:val="36"/>
        </w:rPr>
      </w:pPr>
    </w:p>
    <w:p w14:paraId="51E0A58B">
      <w:pPr>
        <w:pStyle w:val="3"/>
        <w:jc w:val="center"/>
        <w:rPr>
          <w:sz w:val="36"/>
          <w:szCs w:val="36"/>
        </w:rPr>
      </w:pPr>
    </w:p>
    <w:p w14:paraId="5C0BF5B7">
      <w:pPr>
        <w:pStyle w:val="3"/>
        <w:ind w:firstLine="3975" w:firstLineChars="1100"/>
        <w:jc w:val="both"/>
        <w:rPr>
          <w:rFonts w:hint="eastAsia"/>
          <w:sz w:val="36"/>
          <w:szCs w:val="36"/>
          <w:lang w:val="en-US" w:eastAsia="zh-CN"/>
        </w:rPr>
      </w:pPr>
      <w:r>
        <w:rPr>
          <w:rFonts w:hint="eastAsia"/>
          <w:sz w:val="36"/>
          <w:szCs w:val="36"/>
          <w:lang w:val="en-US" w:eastAsia="zh-CN"/>
        </w:rPr>
        <w:t>用</w:t>
      </w:r>
    </w:p>
    <w:p w14:paraId="1EDF0F8B">
      <w:pPr>
        <w:pStyle w:val="3"/>
        <w:ind w:firstLine="3975" w:firstLineChars="1100"/>
        <w:jc w:val="both"/>
        <w:rPr>
          <w:rFonts w:hint="default" w:eastAsia="宋体"/>
          <w:sz w:val="36"/>
          <w:szCs w:val="36"/>
          <w:lang w:val="en-US" w:eastAsia="zh-CN"/>
        </w:rPr>
      </w:pPr>
      <w:r>
        <w:rPr>
          <w:rFonts w:hint="eastAsia"/>
          <w:sz w:val="36"/>
          <w:szCs w:val="36"/>
          <w:lang w:val="en-US" w:eastAsia="zh-CN"/>
        </w:rPr>
        <w:t>户</w:t>
      </w:r>
    </w:p>
    <w:p w14:paraId="279BB5A4">
      <w:pPr>
        <w:pStyle w:val="3"/>
        <w:jc w:val="center"/>
        <w:rPr>
          <w:sz w:val="36"/>
          <w:szCs w:val="36"/>
        </w:rPr>
      </w:pPr>
      <w:r>
        <w:rPr>
          <w:rFonts w:hint="eastAsia"/>
          <w:sz w:val="36"/>
          <w:szCs w:val="36"/>
        </w:rPr>
        <w:t>需</w:t>
      </w:r>
    </w:p>
    <w:p w14:paraId="1639DF9E">
      <w:pPr>
        <w:pStyle w:val="3"/>
        <w:jc w:val="center"/>
        <w:rPr>
          <w:sz w:val="36"/>
          <w:szCs w:val="36"/>
        </w:rPr>
      </w:pPr>
      <w:r>
        <w:rPr>
          <w:rFonts w:hint="eastAsia"/>
          <w:sz w:val="36"/>
          <w:szCs w:val="36"/>
        </w:rPr>
        <w:t>求</w:t>
      </w:r>
    </w:p>
    <w:p w14:paraId="71678BA1">
      <w:pPr>
        <w:pStyle w:val="3"/>
        <w:jc w:val="center"/>
        <w:rPr>
          <w:sz w:val="36"/>
          <w:szCs w:val="36"/>
        </w:rPr>
      </w:pPr>
      <w:r>
        <w:rPr>
          <w:rFonts w:hint="eastAsia"/>
          <w:sz w:val="36"/>
          <w:szCs w:val="36"/>
        </w:rPr>
        <w:t>书</w:t>
      </w:r>
    </w:p>
    <w:p w14:paraId="78214F3E">
      <w:pPr>
        <w:pStyle w:val="4"/>
        <w:jc w:val="center"/>
        <w:rPr>
          <w:sz w:val="36"/>
          <w:szCs w:val="36"/>
        </w:rPr>
      </w:pPr>
    </w:p>
    <w:p w14:paraId="15D363B2"/>
    <w:p w14:paraId="23A77B74">
      <w:pPr>
        <w:pStyle w:val="2"/>
        <w:rPr>
          <w:sz w:val="36"/>
          <w:szCs w:val="36"/>
        </w:rPr>
      </w:pPr>
    </w:p>
    <w:p w14:paraId="66809E12"/>
    <w:p w14:paraId="142A0C27">
      <w:pPr>
        <w:pStyle w:val="2"/>
        <w:rPr>
          <w:sz w:val="36"/>
          <w:szCs w:val="36"/>
        </w:rPr>
      </w:pPr>
    </w:p>
    <w:p w14:paraId="04C05357">
      <w:pPr>
        <w:jc w:val="center"/>
        <w:rPr>
          <w:b/>
          <w:bCs/>
          <w:sz w:val="36"/>
          <w:szCs w:val="36"/>
        </w:rPr>
      </w:pPr>
      <w:r>
        <w:rPr>
          <w:rFonts w:hint="eastAsia"/>
          <w:b/>
          <w:bCs/>
          <w:sz w:val="36"/>
          <w:szCs w:val="36"/>
        </w:rPr>
        <w:t>广东海上丝绸之路博物馆</w:t>
      </w:r>
    </w:p>
    <w:p w14:paraId="4B09320F">
      <w:pPr>
        <w:pStyle w:val="2"/>
        <w:jc w:val="center"/>
        <w:rPr>
          <w:rFonts w:hint="eastAsia"/>
          <w:b/>
          <w:bCs/>
          <w:sz w:val="36"/>
          <w:szCs w:val="36"/>
        </w:rPr>
      </w:pPr>
      <w:r>
        <w:rPr>
          <w:rFonts w:hint="eastAsia"/>
          <w:b/>
          <w:bCs/>
          <w:sz w:val="36"/>
          <w:szCs w:val="36"/>
        </w:rPr>
        <w:t>二零二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四</w:t>
      </w:r>
      <w:r>
        <w:rPr>
          <w:rFonts w:hint="eastAsia"/>
          <w:b/>
          <w:bCs/>
          <w:sz w:val="36"/>
          <w:szCs w:val="36"/>
        </w:rPr>
        <w:t>月</w:t>
      </w:r>
    </w:p>
    <w:p w14:paraId="5DEFA302">
      <w:pPr>
        <w:rPr>
          <w:rFonts w:hint="eastAsia"/>
          <w:b/>
          <w:bCs/>
          <w:sz w:val="36"/>
          <w:szCs w:val="36"/>
        </w:rPr>
      </w:pPr>
    </w:p>
    <w:p w14:paraId="38467479">
      <w:pPr>
        <w:pStyle w:val="2"/>
      </w:pPr>
    </w:p>
    <w:p w14:paraId="127419B0">
      <w:pPr>
        <w:pStyle w:val="4"/>
        <w:jc w:val="center"/>
      </w:pPr>
      <w:r>
        <w:rPr>
          <w:rFonts w:hint="eastAsia"/>
        </w:rPr>
        <w:t xml:space="preserve">A </w:t>
      </w:r>
      <w:bookmarkStart w:id="0" w:name="_Toc11981"/>
      <w:r>
        <w:rPr>
          <w:rFonts w:hint="eastAsia"/>
        </w:rPr>
        <w:t>资格及商务要求</w:t>
      </w:r>
      <w:bookmarkEnd w:id="0"/>
    </w:p>
    <w:p w14:paraId="3D43AB82">
      <w:pPr>
        <w:jc w:val="both"/>
        <w:rPr>
          <w:rFonts w:hint="eastAsia" w:ascii="宋体" w:hAnsi="宋体" w:eastAsia="宋体" w:cs="宋体"/>
          <w:b/>
          <w:bCs/>
          <w:sz w:val="28"/>
          <w:szCs w:val="28"/>
        </w:rPr>
      </w:pPr>
      <w:r>
        <w:rPr>
          <w:rFonts w:hint="eastAsia" w:ascii="宋体" w:hAnsi="宋体" w:eastAsia="宋体" w:cs="宋体"/>
          <w:b/>
          <w:bCs/>
          <w:sz w:val="28"/>
          <w:szCs w:val="28"/>
        </w:rPr>
        <w:t>1.申请人资格要求</w:t>
      </w:r>
    </w:p>
    <w:p w14:paraId="317BB3CB">
      <w:pPr>
        <w:jc w:val="both"/>
        <w:rPr>
          <w:rFonts w:hint="eastAsia" w:ascii="宋体" w:hAnsi="宋体" w:eastAsia="宋体" w:cs="宋体"/>
          <w:sz w:val="28"/>
          <w:szCs w:val="28"/>
          <w:highlight w:val="none"/>
        </w:rPr>
      </w:pPr>
      <w:r>
        <w:rPr>
          <w:rFonts w:hint="eastAsia" w:ascii="宋体" w:hAnsi="宋体" w:eastAsia="宋体" w:cs="宋体"/>
          <w:b/>
          <w:sz w:val="28"/>
          <w:szCs w:val="28"/>
          <w:highlight w:val="none"/>
        </w:rPr>
        <w:t>（1）满足《中华人民共和国政府采购法》第二十二条规定，提供下列材料：</w:t>
      </w:r>
    </w:p>
    <w:p w14:paraId="55FE0111">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17641CB1">
      <w:pPr>
        <w:pStyle w:val="17"/>
        <w:rPr>
          <w:rFonts w:hint="eastAsia" w:ascii="宋体" w:hAnsi="宋体" w:eastAsia="宋体" w:cs="宋体"/>
          <w:sz w:val="28"/>
          <w:szCs w:val="28"/>
          <w:highlight w:val="none"/>
        </w:rPr>
      </w:pPr>
      <w:r>
        <w:rPr>
          <w:rFonts w:hint="eastAsia" w:ascii="宋体" w:hAnsi="宋体" w:eastAsia="宋体" w:cs="宋体"/>
          <w:sz w:val="28"/>
          <w:szCs w:val="28"/>
          <w:highlight w:val="none"/>
        </w:rPr>
        <w:t>2）有依法缴纳税收和社会保障资金的良好记录：</w:t>
      </w:r>
      <w:r>
        <w:rPr>
          <w:rFonts w:hint="eastAsia" w:ascii="宋体" w:hAnsi="宋体" w:eastAsia="宋体" w:cs="宋体"/>
          <w:sz w:val="28"/>
          <w:szCs w:val="28"/>
          <w:highlight w:val="none"/>
          <w:lang w:eastAsia="zh-CN"/>
        </w:rPr>
        <w:t>提供《阳江市政府采购供应商资格信用承诺函》（格式详见采购公告附件）。</w:t>
      </w:r>
    </w:p>
    <w:p w14:paraId="7DD83F67">
      <w:pPr>
        <w:pStyle w:val="17"/>
        <w:rPr>
          <w:rFonts w:hint="eastAsia" w:ascii="宋体" w:hAnsi="宋体" w:eastAsia="宋体" w:cs="宋体"/>
          <w:sz w:val="28"/>
          <w:szCs w:val="28"/>
          <w:highlight w:val="none"/>
        </w:rPr>
      </w:pPr>
      <w:r>
        <w:rPr>
          <w:rFonts w:hint="eastAsia" w:ascii="宋体" w:hAnsi="宋体" w:eastAsia="宋体" w:cs="宋体"/>
          <w:sz w:val="28"/>
          <w:szCs w:val="28"/>
          <w:highlight w:val="none"/>
        </w:rPr>
        <w:t>3）具有良好的商业信誉和健全的财务会计制度：</w:t>
      </w:r>
      <w:r>
        <w:rPr>
          <w:rFonts w:hint="eastAsia" w:ascii="宋体" w:hAnsi="宋体" w:eastAsia="宋体" w:cs="宋体"/>
          <w:sz w:val="28"/>
          <w:szCs w:val="28"/>
          <w:highlight w:val="none"/>
          <w:lang w:eastAsia="zh-CN"/>
        </w:rPr>
        <w:t>提供《阳江市政府采购供应商资格信用承诺函》（格式详见采购公告附件）。</w:t>
      </w:r>
    </w:p>
    <w:p w14:paraId="2232F8DB">
      <w:pPr>
        <w:pStyle w:val="17"/>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4）履行合同所必需的设备和专业技术能力：</w:t>
      </w:r>
      <w:r>
        <w:rPr>
          <w:rFonts w:hint="eastAsia" w:ascii="宋体" w:hAnsi="宋体" w:eastAsia="宋体" w:cs="宋体"/>
          <w:sz w:val="28"/>
          <w:szCs w:val="28"/>
          <w:highlight w:val="none"/>
          <w:lang w:eastAsia="zh-CN"/>
        </w:rPr>
        <w:t>提供《阳江市政府采购供应商资格信用承诺函》（格式详见采购公告附件）。</w:t>
      </w:r>
    </w:p>
    <w:p w14:paraId="4911DB02">
      <w:pPr>
        <w:pStyle w:val="17"/>
        <w:rPr>
          <w:rFonts w:hint="eastAsia" w:ascii="宋体" w:hAnsi="宋体" w:eastAsia="宋体" w:cs="宋体"/>
          <w:sz w:val="28"/>
          <w:szCs w:val="28"/>
          <w:highlight w:val="none"/>
        </w:rPr>
      </w:pPr>
      <w:r>
        <w:rPr>
          <w:rFonts w:hint="eastAsia" w:ascii="宋体" w:hAnsi="宋体" w:eastAsia="宋体" w:cs="宋体"/>
          <w:sz w:val="28"/>
          <w:szCs w:val="28"/>
          <w:highlight w:val="none"/>
        </w:rPr>
        <w:t>5）参加采购活动前3年内，在经营活动中没有重大违法记录：</w:t>
      </w:r>
      <w:r>
        <w:rPr>
          <w:rFonts w:hint="eastAsia" w:ascii="宋体" w:hAnsi="宋体" w:eastAsia="宋体" w:cs="宋体"/>
          <w:sz w:val="28"/>
          <w:szCs w:val="28"/>
          <w:highlight w:val="none"/>
          <w:lang w:eastAsia="zh-CN"/>
        </w:rPr>
        <w:t>提供《阳江市政府采购供应商资格信用承诺函》（格式详见采购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25D486A">
      <w:pPr>
        <w:jc w:val="both"/>
        <w:rPr>
          <w:rFonts w:hint="eastAsia" w:ascii="宋体" w:hAnsi="宋体" w:eastAsia="宋体" w:cs="宋体"/>
          <w:sz w:val="28"/>
          <w:szCs w:val="28"/>
          <w:highlight w:val="none"/>
        </w:rPr>
      </w:pPr>
      <w:r>
        <w:rPr>
          <w:rFonts w:hint="eastAsia" w:ascii="宋体" w:hAnsi="宋体" w:eastAsia="宋体" w:cs="宋体"/>
          <w:b/>
          <w:sz w:val="28"/>
          <w:szCs w:val="28"/>
          <w:highlight w:val="none"/>
        </w:rPr>
        <w:t>2.落实政府采购政策需满足的资格要求：</w:t>
      </w:r>
      <w:r>
        <w:rPr>
          <w:rFonts w:hint="eastAsia" w:ascii="宋体" w:hAnsi="宋体" w:eastAsia="宋体" w:cs="宋体"/>
          <w:sz w:val="28"/>
          <w:szCs w:val="28"/>
          <w:highlight w:val="none"/>
        </w:rPr>
        <w:t>本项目不属于专门面向中小企业采购的项目。</w:t>
      </w:r>
    </w:p>
    <w:p w14:paraId="6161AE64">
      <w:pPr>
        <w:jc w:val="both"/>
        <w:rPr>
          <w:rFonts w:hint="eastAsia" w:ascii="宋体" w:hAnsi="宋体" w:eastAsia="宋体" w:cs="宋体"/>
          <w:sz w:val="28"/>
          <w:szCs w:val="28"/>
          <w:highlight w:val="none"/>
        </w:rPr>
      </w:pPr>
      <w:r>
        <w:rPr>
          <w:rFonts w:hint="eastAsia" w:ascii="宋体" w:hAnsi="宋体" w:eastAsia="宋体" w:cs="宋体"/>
          <w:b/>
          <w:sz w:val="28"/>
          <w:szCs w:val="28"/>
          <w:highlight w:val="none"/>
        </w:rPr>
        <w:t>3.本项目的特定资格要求：</w:t>
      </w:r>
    </w:p>
    <w:p w14:paraId="634AED0C">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CB288C4">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2)单位负责人为同一人或者存在直接控股、管理关系的不同供应商，不得同时参加本采购项目（或采购包）投标（响应）。投标（报价）函相关承诺要求内容。</w:t>
      </w:r>
    </w:p>
    <w:p w14:paraId="3B475740">
      <w:pPr>
        <w:jc w:val="both"/>
        <w:rPr>
          <w:rFonts w:hint="eastAsia" w:ascii="宋体" w:hAnsi="宋体" w:eastAsia="宋体" w:cs="宋体"/>
          <w:b/>
          <w:sz w:val="28"/>
          <w:szCs w:val="28"/>
          <w:highlight w:val="none"/>
        </w:rPr>
      </w:pPr>
      <w:r>
        <w:rPr>
          <w:rFonts w:hint="eastAsia" w:ascii="宋体" w:hAnsi="宋体" w:eastAsia="宋体" w:cs="宋体"/>
          <w:sz w:val="28"/>
          <w:szCs w:val="28"/>
          <w:highlight w:val="none"/>
        </w:rPr>
        <w:t>3) ①供应商具有可移动文物修复资质证书，业务范围包括：玉石器、宝石、陶器、瓷器、铜器、金银器、铁器、其他金属器、漆器、竹木雕类文物修复。 ②供应商在出水沉船保护工作中积累了丰富经验，同时具备整合全国相关机构和专业人员的条件和能力。（提供相关承诺或证明文件） ③供应商须从事过水下文物考古保护发掘项目的方案制订、论证和前期的保护修复工作，拥有丰富的现场文物保护工作经验,且近期具有设计和实施水下沉船保护项目的案例。</w:t>
      </w:r>
      <w:r>
        <w:rPr>
          <w:rFonts w:hint="eastAsia" w:ascii="宋体" w:hAnsi="宋体" w:eastAsia="宋体" w:cs="宋体"/>
          <w:b/>
          <w:sz w:val="28"/>
          <w:szCs w:val="28"/>
          <w:highlight w:val="none"/>
        </w:rPr>
        <w:t>（提供相关证明文件）</w:t>
      </w:r>
    </w:p>
    <w:p w14:paraId="2F2B0A0B">
      <w:pPr>
        <w:pStyle w:val="2"/>
        <w:rPr>
          <w:rFonts w:hint="eastAsia" w:ascii="宋体" w:hAnsi="宋体" w:eastAsia="宋体" w:cs="宋体"/>
          <w:sz w:val="28"/>
          <w:szCs w:val="28"/>
          <w:highlight w:val="none"/>
        </w:rPr>
      </w:pPr>
      <w:r>
        <w:rPr>
          <w:rFonts w:hint="eastAsia" w:ascii="宋体" w:hAnsi="宋体" w:eastAsia="宋体" w:cs="宋体"/>
          <w:sz w:val="28"/>
          <w:szCs w:val="28"/>
          <w:highlight w:val="none"/>
        </w:rPr>
        <w:t>4.采购预算金额：</w:t>
      </w:r>
      <w:r>
        <w:rPr>
          <w:rFonts w:hint="eastAsia" w:ascii="宋体" w:hAnsi="宋体" w:eastAsia="宋体" w:cs="宋体"/>
          <w:sz w:val="28"/>
          <w:szCs w:val="28"/>
          <w:highlight w:val="none"/>
          <w:lang w:eastAsia="zh-CN"/>
        </w:rPr>
        <w:t>1</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eastAsia="zh-CN"/>
        </w:rPr>
        <w:t>120000.00</w:t>
      </w:r>
      <w:r>
        <w:rPr>
          <w:rFonts w:hint="eastAsia" w:ascii="宋体" w:hAnsi="宋体" w:eastAsia="宋体" w:cs="宋体"/>
          <w:sz w:val="28"/>
          <w:szCs w:val="28"/>
          <w:highlight w:val="none"/>
        </w:rPr>
        <w:t>元</w:t>
      </w:r>
    </w:p>
    <w:p w14:paraId="672C6C4C">
      <w:pPr>
        <w:jc w:val="both"/>
        <w:rPr>
          <w:rFonts w:hint="eastAsia" w:ascii="宋体" w:hAnsi="宋体" w:eastAsia="宋体" w:cs="宋体"/>
          <w:sz w:val="28"/>
          <w:szCs w:val="28"/>
          <w:highlight w:val="none"/>
          <w:u w:val="none"/>
        </w:rPr>
      </w:pPr>
      <w:r>
        <w:rPr>
          <w:rFonts w:hint="eastAsia" w:ascii="宋体" w:hAnsi="宋体" w:eastAsia="宋体" w:cs="宋体"/>
          <w:b/>
          <w:bCs/>
          <w:sz w:val="28"/>
          <w:szCs w:val="28"/>
          <w:highlight w:val="none"/>
        </w:rPr>
        <w:t>5</w:t>
      </w:r>
      <w:r>
        <w:rPr>
          <w:rFonts w:hint="eastAsia" w:ascii="宋体" w:hAnsi="宋体" w:eastAsia="宋体" w:cs="宋体"/>
          <w:b/>
          <w:bCs/>
          <w:sz w:val="28"/>
          <w:szCs w:val="28"/>
          <w:highlight w:val="none"/>
          <w:u w:val="none"/>
        </w:rPr>
        <w:t>.合同履约期限</w:t>
      </w:r>
      <w:r>
        <w:rPr>
          <w:rFonts w:hint="eastAsia" w:ascii="宋体" w:hAnsi="宋体" w:eastAsia="宋体" w:cs="宋体"/>
          <w:sz w:val="28"/>
          <w:szCs w:val="28"/>
          <w:highlight w:val="none"/>
          <w:u w:val="none"/>
        </w:rPr>
        <w:t>：合同签订后365个日历日内完工。</w:t>
      </w:r>
    </w:p>
    <w:p w14:paraId="0E58F14C">
      <w:pPr>
        <w:jc w:val="both"/>
        <w:rPr>
          <w:rFonts w:hint="eastAsia" w:ascii="宋体" w:hAnsi="宋体" w:eastAsia="宋体" w:cs="宋体"/>
          <w:sz w:val="28"/>
          <w:szCs w:val="28"/>
          <w:highlight w:val="none"/>
          <w:u w:val="none"/>
        </w:rPr>
      </w:pPr>
      <w:r>
        <w:rPr>
          <w:rFonts w:hint="eastAsia" w:ascii="宋体" w:hAnsi="宋体" w:eastAsia="宋体" w:cs="宋体"/>
          <w:b/>
          <w:bCs/>
          <w:sz w:val="28"/>
          <w:szCs w:val="28"/>
          <w:highlight w:val="none"/>
          <w:u w:val="none"/>
        </w:rPr>
        <w:t>6.地点</w:t>
      </w:r>
      <w:r>
        <w:rPr>
          <w:rFonts w:hint="eastAsia" w:ascii="宋体" w:hAnsi="宋体" w:eastAsia="宋体" w:cs="宋体"/>
          <w:sz w:val="28"/>
          <w:szCs w:val="28"/>
          <w:highlight w:val="none"/>
          <w:u w:val="none"/>
        </w:rPr>
        <w:t>：采购人指定地点。</w:t>
      </w:r>
    </w:p>
    <w:p w14:paraId="4C510B10">
      <w:pPr>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7.付款进度和方式：</w:t>
      </w:r>
    </w:p>
    <w:p w14:paraId="135EE18B">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1期：支付比例50%，签订合同后，在成交供应商提出申请之日起7个工作日内支付合同承包价的50%作为预付款；</w:t>
      </w:r>
    </w:p>
    <w:p w14:paraId="0C0A04D9">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2期：支付比例45%，项目开始启动实施一个月后，在成交供应商提出申请之日起7个工作日内支付至合同金额的95%；</w:t>
      </w:r>
    </w:p>
    <w:p w14:paraId="60355C22">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3期：支付比例5%，项目验收通过后，在成交供应商提出申请之日起7个工作日内支付至合同金额的100%。</w:t>
      </w:r>
    </w:p>
    <w:p w14:paraId="65C0A0C2">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注：采购人付款前，成交供应商必须向采购人提供相应款项的正式发票，收款方、出具发票方、合同乙方均必须与成交供应商名称一致。支付款时间为采购人向政府采购相关部门提出支付申请的时间(不含政府采购相关部门的审核和支付时间)，在规定时间内提交付款申请即视采购人已履行。</w:t>
      </w:r>
    </w:p>
    <w:p w14:paraId="389C6F2E">
      <w:pPr>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8.报价包括：</w:t>
      </w:r>
      <w:r>
        <w:rPr>
          <w:rFonts w:hint="eastAsia" w:ascii="宋体" w:hAnsi="宋体" w:eastAsia="宋体" w:cs="宋体"/>
          <w:sz w:val="28"/>
          <w:szCs w:val="28"/>
          <w:highlight w:val="none"/>
        </w:rPr>
        <w:t>供应商报价应包括船体及构件保护费用、陶瓷文物保护费用、漆器及其他有机质文物保护费用、金属文物保护费用、凝结物的保护费用，采购人不再支付其它费用。成交总价为完成本项目所需费用的总和，即含税全包价。不管投标供应商是否在报价表中单列，均视为报价总价中已包括全部费用。</w:t>
      </w:r>
      <w:r>
        <w:rPr>
          <w:rFonts w:hint="eastAsia" w:ascii="宋体" w:hAnsi="宋体" w:eastAsia="宋体" w:cs="宋体"/>
          <w:b/>
          <w:bCs/>
          <w:sz w:val="28"/>
          <w:szCs w:val="28"/>
          <w:highlight w:val="none"/>
        </w:rPr>
        <w:t>（提供承诺函，格式自拟）</w:t>
      </w:r>
    </w:p>
    <w:p w14:paraId="60054A2B">
      <w:pPr>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9.合同签订要求：</w:t>
      </w:r>
      <w:r>
        <w:rPr>
          <w:rFonts w:hint="eastAsia" w:ascii="宋体" w:hAnsi="宋体" w:eastAsia="宋体" w:cs="宋体"/>
          <w:sz w:val="28"/>
          <w:szCs w:val="28"/>
          <w:highlight w:val="none"/>
        </w:rPr>
        <w:t>采购合同由成交供应商与采购人双方签订，签订时间为《成交通知书》发出后30个日历天内。</w:t>
      </w:r>
    </w:p>
    <w:p w14:paraId="3F685A8C">
      <w:pPr>
        <w:jc w:val="both"/>
        <w:rPr>
          <w:rFonts w:hint="eastAsia" w:ascii="宋体" w:hAnsi="宋体" w:eastAsia="宋体" w:cs="宋体"/>
          <w:sz w:val="28"/>
          <w:szCs w:val="28"/>
          <w:highlight w:val="none"/>
        </w:rPr>
      </w:pPr>
      <w:r>
        <w:rPr>
          <w:rFonts w:hint="eastAsia" w:ascii="宋体" w:hAnsi="宋体" w:eastAsia="宋体" w:cs="宋体"/>
          <w:b/>
          <w:bCs/>
          <w:sz w:val="28"/>
          <w:szCs w:val="28"/>
          <w:highlight w:val="none"/>
        </w:rPr>
        <w:t>10.验收要求：</w:t>
      </w:r>
      <w:r>
        <w:rPr>
          <w:rFonts w:hint="eastAsia" w:ascii="宋体" w:hAnsi="宋体" w:eastAsia="宋体" w:cs="宋体"/>
          <w:sz w:val="28"/>
          <w:szCs w:val="28"/>
          <w:highlight w:val="none"/>
          <w:lang w:eastAsia="zh-CN"/>
        </w:rPr>
        <w:t>“南海 I号”沉船船体及出水文物2025年度保护工作项目</w:t>
      </w:r>
      <w:r>
        <w:rPr>
          <w:rFonts w:hint="eastAsia" w:ascii="宋体" w:hAnsi="宋体" w:eastAsia="宋体" w:cs="宋体"/>
          <w:sz w:val="28"/>
          <w:szCs w:val="28"/>
          <w:highlight w:val="none"/>
        </w:rPr>
        <w:t>实施完毕，经采购人认可后，按照国家及行业相关规定、规范与招标文件、合同的技术指标及已获批复的《</w:t>
      </w:r>
      <w:r>
        <w:rPr>
          <w:rFonts w:hint="eastAsia" w:ascii="宋体" w:hAnsi="宋体" w:eastAsia="宋体" w:cs="宋体"/>
          <w:sz w:val="28"/>
          <w:szCs w:val="28"/>
          <w:highlight w:val="none"/>
          <w:lang w:eastAsia="zh-CN"/>
        </w:rPr>
        <w:t>“南海 I号”沉船船体及出水文物2025年度保护</w:t>
      </w:r>
      <w:r>
        <w:rPr>
          <w:rFonts w:hint="eastAsia" w:ascii="宋体" w:hAnsi="宋体" w:eastAsia="宋体" w:cs="宋体"/>
          <w:sz w:val="28"/>
          <w:szCs w:val="28"/>
          <w:highlight w:val="none"/>
        </w:rPr>
        <w:t>计划》一起作为验收标准，组织一次性验收。成交供应商应提交202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度工作报告作为正式的工作成果，采购人对产品验收合格后，双方共同签署验收合格证书，验收中发现货物达不到验收标准或合同规定的技术指标，成交供应商必须更换，并负担由此给采购单位造成的损失，直到验收合格为止。</w:t>
      </w:r>
    </w:p>
    <w:p w14:paraId="31FF6E9F">
      <w:pPr>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11.售后服务：</w:t>
      </w:r>
    </w:p>
    <w:p w14:paraId="0E417435">
      <w:pPr>
        <w:ind w:firstLine="280" w:firstLineChars="1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（1）质量保证期自项目完工验收合格之日起1年。质保期内免费保修。 </w:t>
      </w:r>
    </w:p>
    <w:p w14:paraId="574499D3">
      <w:pPr>
        <w:ind w:firstLine="280" w:firstLineChars="1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（2）售后服务内容   </w:t>
      </w:r>
    </w:p>
    <w:p w14:paraId="12D700C0">
      <w:pPr>
        <w:ind w:firstLine="280" w:firstLineChars="1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1）成交供应商在质量保证期内应当为采购人提供以下技术支持和服务。  </w:t>
      </w:r>
    </w:p>
    <w:p w14:paraId="27317AF4">
      <w:pPr>
        <w:ind w:firstLine="280" w:firstLineChars="1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①电话咨询  成交供应商应当为采购人提供技术援助电话，解答采购人在使用中遇到的问题，及时为采购人提出解决问题的建议。 </w:t>
      </w:r>
    </w:p>
    <w:p w14:paraId="6A9102FF">
      <w:pPr>
        <w:ind w:firstLine="280" w:firstLineChars="1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②现场响应  如需到达现场解答的，需72小时内到达现场。</w:t>
      </w:r>
    </w:p>
    <w:p w14:paraId="512321B4">
      <w:pPr>
        <w:ind w:firstLine="280" w:firstLineChars="1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2）质保期外服务要求 </w:t>
      </w:r>
    </w:p>
    <w:p w14:paraId="23FB4E16">
      <w:pPr>
        <w:ind w:firstLine="280" w:firstLineChars="1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①质量保证期过后，成交供应商应同样提供免费电话咨询服务，并应承诺提供上门维护服务。  </w:t>
      </w:r>
    </w:p>
    <w:p w14:paraId="3FF89017">
      <w:pPr>
        <w:ind w:firstLine="280" w:firstLineChars="1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②质量保证期过后，采购人需要继续由原供应商和制造商提供售后服务的，成交供应商应以优惠价格提供售后服务。</w:t>
      </w:r>
    </w:p>
    <w:p w14:paraId="64FB2A83">
      <w:pPr>
        <w:numPr>
          <w:ilvl w:val="0"/>
          <w:numId w:val="1"/>
        </w:numPr>
        <w:bidi w:val="0"/>
        <w:rPr>
          <w:b/>
          <w:bCs/>
          <w:sz w:val="28"/>
          <w:szCs w:val="28"/>
          <w:highlight w:val="none"/>
        </w:rPr>
      </w:pPr>
      <w:r>
        <w:rPr>
          <w:rFonts w:hint="default"/>
          <w:b/>
          <w:bCs/>
          <w:sz w:val="28"/>
          <w:szCs w:val="28"/>
          <w:highlight w:val="none"/>
        </w:rPr>
        <w:t>应急预案</w:t>
      </w:r>
    </w:p>
    <w:p w14:paraId="6F21E1FD">
      <w:pPr>
        <w:numPr>
          <w:ilvl w:val="0"/>
          <w:numId w:val="0"/>
        </w:numPr>
        <w:bidi w:val="0"/>
        <w:ind w:firstLine="280" w:firstLineChars="100"/>
        <w:rPr>
          <w:rFonts w:hint="default" w:eastAsia="宋体"/>
          <w:highlight w:val="none"/>
          <w:lang w:val="en-US" w:eastAsia="zh-CN"/>
        </w:rPr>
      </w:pPr>
      <w:r>
        <w:rPr>
          <w:sz w:val="28"/>
          <w:szCs w:val="28"/>
          <w:highlight w:val="none"/>
        </w:rPr>
        <w:t>供应商需在</w:t>
      </w:r>
      <w:r>
        <w:rPr>
          <w:rFonts w:hint="eastAsia"/>
          <w:sz w:val="28"/>
          <w:szCs w:val="28"/>
          <w:highlight w:val="none"/>
          <w:lang w:val="en-US" w:eastAsia="zh-CN"/>
        </w:rPr>
        <w:t>响应</w:t>
      </w:r>
      <w:r>
        <w:rPr>
          <w:sz w:val="28"/>
          <w:szCs w:val="28"/>
          <w:highlight w:val="none"/>
        </w:rPr>
        <w:t>文件中提交《文物保护突发事件应急预案》，包括但不限于：</w:t>
      </w:r>
      <w:r>
        <w:rPr>
          <w:rFonts w:hint="default"/>
          <w:sz w:val="28"/>
          <w:szCs w:val="28"/>
          <w:highlight w:val="none"/>
        </w:rPr>
        <w:br w:type="textWrapping"/>
      </w:r>
      <w:r>
        <w:rPr>
          <w:rFonts w:hint="eastAsia"/>
          <w:sz w:val="28"/>
          <w:szCs w:val="28"/>
          <w:highlight w:val="none"/>
          <w:lang w:val="en-US" w:eastAsia="zh-CN"/>
        </w:rPr>
        <w:t>1）</w:t>
      </w:r>
      <w:r>
        <w:rPr>
          <w:rFonts w:hint="default"/>
          <w:sz w:val="28"/>
          <w:szCs w:val="28"/>
          <w:highlight w:val="none"/>
        </w:rPr>
        <w:t>文物突发开裂/腐蚀的紧急处理流程；</w:t>
      </w:r>
      <w:r>
        <w:rPr>
          <w:rFonts w:hint="default"/>
          <w:sz w:val="28"/>
          <w:szCs w:val="28"/>
          <w:highlight w:val="none"/>
        </w:rPr>
        <w:br w:type="textWrapping"/>
      </w:r>
      <w:r>
        <w:rPr>
          <w:rFonts w:hint="eastAsia"/>
          <w:sz w:val="28"/>
          <w:szCs w:val="28"/>
          <w:highlight w:val="none"/>
          <w:lang w:val="en-US" w:eastAsia="zh-CN"/>
        </w:rPr>
        <w:t>2）</w:t>
      </w:r>
      <w:r>
        <w:rPr>
          <w:rFonts w:hint="default"/>
          <w:sz w:val="28"/>
          <w:szCs w:val="28"/>
          <w:highlight w:val="none"/>
        </w:rPr>
        <w:t xml:space="preserve"> 环境监测系统故障的应急替代方案；</w:t>
      </w:r>
      <w:r>
        <w:rPr>
          <w:rFonts w:hint="default"/>
          <w:sz w:val="28"/>
          <w:szCs w:val="28"/>
          <w:highlight w:val="none"/>
        </w:rPr>
        <w:br w:type="textWrapping"/>
      </w:r>
      <w:r>
        <w:rPr>
          <w:rFonts w:hint="eastAsia"/>
          <w:sz w:val="28"/>
          <w:szCs w:val="28"/>
          <w:highlight w:val="none"/>
          <w:lang w:val="en-US" w:eastAsia="zh-CN"/>
        </w:rPr>
        <w:t>3）</w:t>
      </w:r>
      <w:r>
        <w:rPr>
          <w:rFonts w:hint="default"/>
          <w:sz w:val="28"/>
          <w:szCs w:val="28"/>
          <w:highlight w:val="none"/>
        </w:rPr>
        <w:t>72小时内响应的人员及物资调配机制。</w:t>
      </w:r>
    </w:p>
    <w:p w14:paraId="753AC495">
      <w:pPr>
        <w:jc w:val="both"/>
        <w:rPr>
          <w:rFonts w:hint="eastAsia" w:ascii="宋体" w:hAnsi="宋体" w:eastAsia="宋体" w:cs="宋体"/>
          <w:sz w:val="28"/>
          <w:szCs w:val="28"/>
          <w:highlight w:val="none"/>
        </w:rPr>
      </w:pP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.知识产权：</w:t>
      </w:r>
      <w:r>
        <w:rPr>
          <w:rFonts w:hint="eastAsia" w:ascii="宋体" w:hAnsi="宋体" w:eastAsia="宋体" w:cs="宋体"/>
          <w:sz w:val="28"/>
          <w:szCs w:val="28"/>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63CA8D7">
      <w:pPr>
        <w:pStyle w:val="2"/>
        <w:rPr>
          <w:rFonts w:hint="eastAsia" w:ascii="宋体" w:hAnsi="宋体" w:eastAsia="宋体" w:cs="宋体"/>
          <w:sz w:val="28"/>
          <w:szCs w:val="28"/>
        </w:rPr>
      </w:pPr>
    </w:p>
    <w:p w14:paraId="0C9A4DDE">
      <w:pPr>
        <w:rPr>
          <w:rFonts w:hint="eastAsia" w:ascii="宋体" w:hAnsi="宋体" w:eastAsia="宋体" w:cs="宋体"/>
          <w:sz w:val="28"/>
          <w:szCs w:val="28"/>
        </w:rPr>
      </w:pPr>
    </w:p>
    <w:p w14:paraId="39A74ACA">
      <w:pPr>
        <w:pStyle w:val="2"/>
        <w:rPr>
          <w:rFonts w:hint="eastAsia" w:ascii="宋体" w:hAnsi="宋体" w:eastAsia="宋体" w:cs="宋体"/>
          <w:sz w:val="28"/>
          <w:szCs w:val="28"/>
        </w:rPr>
      </w:pPr>
    </w:p>
    <w:p w14:paraId="23E0AA48">
      <w:pPr>
        <w:rPr>
          <w:rFonts w:hint="eastAsia" w:ascii="宋体" w:hAnsi="宋体" w:eastAsia="宋体" w:cs="宋体"/>
          <w:sz w:val="28"/>
          <w:szCs w:val="28"/>
        </w:rPr>
      </w:pPr>
    </w:p>
    <w:p w14:paraId="70960B64">
      <w:pPr>
        <w:pStyle w:val="2"/>
        <w:rPr>
          <w:rFonts w:hint="eastAsia" w:ascii="宋体" w:hAnsi="宋体" w:eastAsia="宋体" w:cs="宋体"/>
          <w:sz w:val="28"/>
          <w:szCs w:val="28"/>
        </w:rPr>
      </w:pPr>
    </w:p>
    <w:p w14:paraId="0842D321">
      <w:pPr>
        <w:rPr>
          <w:rFonts w:hint="eastAsia" w:ascii="宋体" w:hAnsi="宋体" w:eastAsia="宋体" w:cs="宋体"/>
          <w:sz w:val="28"/>
          <w:szCs w:val="28"/>
        </w:rPr>
      </w:pPr>
    </w:p>
    <w:p w14:paraId="2A06E7A1">
      <w:pPr>
        <w:pStyle w:val="2"/>
        <w:rPr>
          <w:rFonts w:hint="eastAsia" w:ascii="宋体" w:hAnsi="宋体" w:eastAsia="宋体" w:cs="宋体"/>
          <w:sz w:val="28"/>
          <w:szCs w:val="28"/>
        </w:rPr>
      </w:pPr>
    </w:p>
    <w:p w14:paraId="02BC6601">
      <w:pPr>
        <w:rPr>
          <w:rFonts w:hint="eastAsia"/>
        </w:rPr>
      </w:pPr>
    </w:p>
    <w:p w14:paraId="385A4B64">
      <w:pPr>
        <w:pStyle w:val="2"/>
        <w:rPr>
          <w:rFonts w:hint="eastAsia" w:ascii="宋体" w:hAnsi="宋体" w:eastAsia="宋体" w:cs="宋体"/>
          <w:sz w:val="28"/>
          <w:szCs w:val="28"/>
        </w:rPr>
      </w:pPr>
    </w:p>
    <w:p w14:paraId="56C2D030">
      <w:pPr>
        <w:jc w:val="center"/>
        <w:outlineLvl w:val="1"/>
        <w:rPr>
          <w:rStyle w:val="13"/>
          <w:rFonts w:hint="eastAsia" w:ascii="宋体" w:hAnsi="宋体" w:eastAsia="宋体" w:cs="宋体"/>
          <w:sz w:val="28"/>
          <w:szCs w:val="28"/>
        </w:rPr>
      </w:pPr>
      <w:bookmarkStart w:id="1" w:name="_Toc30150"/>
      <w:r>
        <w:rPr>
          <w:rStyle w:val="13"/>
          <w:rFonts w:hint="eastAsia" w:ascii="宋体" w:hAnsi="宋体" w:eastAsia="宋体" w:cs="宋体"/>
          <w:sz w:val="28"/>
          <w:szCs w:val="28"/>
        </w:rPr>
        <w:t>B技术要求</w:t>
      </w:r>
      <w:bookmarkEnd w:id="1"/>
    </w:p>
    <w:p w14:paraId="31F460A0">
      <w:pPr>
        <w:jc w:val="both"/>
        <w:rPr>
          <w:rFonts w:hint="eastAsia" w:ascii="宋体" w:hAnsi="宋体" w:eastAsia="宋体" w:cs="宋体"/>
          <w:b/>
          <w:sz w:val="28"/>
          <w:szCs w:val="28"/>
        </w:rPr>
      </w:pPr>
      <w:r>
        <w:rPr>
          <w:rFonts w:hint="eastAsia" w:ascii="宋体" w:hAnsi="宋体" w:eastAsia="宋体" w:cs="宋体"/>
          <w:b/>
          <w:sz w:val="28"/>
          <w:szCs w:val="28"/>
        </w:rPr>
        <w:t>一、项目概况</w:t>
      </w:r>
    </w:p>
    <w:p w14:paraId="09A437ED">
      <w:pPr>
        <w:ind w:firstLine="480"/>
        <w:jc w:val="both"/>
        <w:rPr>
          <w:rFonts w:hint="eastAsia" w:ascii="宋体" w:hAnsi="宋体" w:eastAsia="宋体" w:cs="宋体"/>
          <w:sz w:val="28"/>
          <w:szCs w:val="28"/>
        </w:rPr>
      </w:pPr>
      <w:r>
        <w:rPr>
          <w:rFonts w:hint="eastAsia" w:ascii="宋体" w:hAnsi="宋体" w:eastAsia="宋体" w:cs="宋体"/>
          <w:sz w:val="28"/>
          <w:szCs w:val="28"/>
        </w:rPr>
        <w:t>“南海I号”是发现于广东省阳江海域的一条南宋中期木质沉船。2007年，广东省文化厅组织广东省文物考古研究所、交通部广州打捞局等单位成功实施了对沉船的整体打捞，整体打捞出水的沉船放置在广东海上丝绸之路博物馆内的水晶宫进行长期保存和保护。</w:t>
      </w:r>
    </w:p>
    <w:p w14:paraId="61EAA746">
      <w:pPr>
        <w:ind w:firstLine="480"/>
        <w:jc w:val="both"/>
        <w:rPr>
          <w:rFonts w:hint="eastAsia" w:ascii="宋体" w:hAnsi="宋体" w:eastAsia="宋体" w:cs="宋体"/>
          <w:sz w:val="28"/>
          <w:szCs w:val="28"/>
        </w:rPr>
      </w:pPr>
      <w:r>
        <w:rPr>
          <w:rFonts w:hint="eastAsia" w:ascii="宋体" w:hAnsi="宋体" w:eastAsia="宋体" w:cs="宋体"/>
          <w:sz w:val="28"/>
          <w:szCs w:val="28"/>
        </w:rPr>
        <w:t>“南海I号”沉船打捞出水后，其全面保护发掘项目于2013年11月份启动。2023年8月初，“南海I号”沉船遗址考古发掘工作结束，开始进入“南海I号”沉船船体及出水文物全面保护阶段。</w:t>
      </w:r>
    </w:p>
    <w:p w14:paraId="34506A1F">
      <w:pPr>
        <w:ind w:firstLine="480"/>
        <w:jc w:val="both"/>
        <w:rPr>
          <w:rFonts w:hint="eastAsia" w:ascii="宋体" w:hAnsi="宋体" w:eastAsia="宋体" w:cs="宋体"/>
          <w:sz w:val="28"/>
          <w:szCs w:val="28"/>
        </w:rPr>
      </w:pPr>
      <w:r>
        <w:rPr>
          <w:rFonts w:hint="eastAsia" w:ascii="宋体" w:hAnsi="宋体" w:eastAsia="宋体" w:cs="宋体"/>
          <w:sz w:val="28"/>
          <w:szCs w:val="28"/>
        </w:rPr>
        <w:t>“南海I号”沉船船体现存长度约23米，最大宽度9.8米，型深约2.5米，现存14个隔舱（包括尾部的尾间舱）。截止至2019年统计，共发掘文物近18万件套，其中瓷器约17万件套，铁器凝结物124吨，还有一些金器、银器、铜器、锡器、铅器等金属器，漆器、竹器、木器、动物骨骼、种子果核等有机质文物。瓷器主要来源于景德镇窑、龙泉窑、德化窑、磁灶窑、义窑等南宋时期南方主要瓷器烧造窑口，铁器凝结物主要为成捆铁条或成摞铁锅组成。</w:t>
      </w:r>
    </w:p>
    <w:p w14:paraId="0F6CCAE1">
      <w:pPr>
        <w:pStyle w:val="2"/>
        <w:rPr>
          <w:rFonts w:hint="eastAsia" w:ascii="宋体" w:hAnsi="宋体" w:eastAsia="宋体" w:cs="宋体"/>
          <w:sz w:val="28"/>
          <w:szCs w:val="28"/>
        </w:rPr>
      </w:pPr>
    </w:p>
    <w:p w14:paraId="4F283768">
      <w:pPr>
        <w:jc w:val="both"/>
        <w:rPr>
          <w:rFonts w:hint="eastAsia" w:ascii="宋体" w:hAnsi="宋体" w:eastAsia="宋体" w:cs="宋体"/>
          <w:b/>
          <w:sz w:val="28"/>
          <w:szCs w:val="28"/>
        </w:rPr>
      </w:pPr>
      <w:r>
        <w:rPr>
          <w:rFonts w:hint="eastAsia" w:ascii="宋体" w:hAnsi="宋体" w:eastAsia="宋体" w:cs="宋体"/>
          <w:b/>
          <w:sz w:val="28"/>
          <w:szCs w:val="28"/>
        </w:rPr>
        <w:t>二、技术需求</w:t>
      </w:r>
    </w:p>
    <w:p w14:paraId="18D94FA0">
      <w:pPr>
        <w:jc w:val="both"/>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sz w:val="28"/>
          <w:szCs w:val="28"/>
        </w:rPr>
        <w:t xml:space="preserve"> </w:t>
      </w:r>
      <w:r>
        <w:rPr>
          <w:rFonts w:hint="eastAsia" w:ascii="宋体" w:hAnsi="宋体" w:eastAsia="宋体" w:cs="宋体"/>
          <w:b/>
          <w:sz w:val="28"/>
          <w:szCs w:val="28"/>
        </w:rPr>
        <w:t>“南海I号”船体保护</w:t>
      </w:r>
    </w:p>
    <w:p w14:paraId="75A85D81">
      <w:pPr>
        <w:jc w:val="both"/>
        <w:rPr>
          <w:rFonts w:hint="eastAsia" w:ascii="宋体" w:hAnsi="宋体" w:eastAsia="宋体" w:cs="宋体"/>
          <w:b/>
          <w:sz w:val="28"/>
          <w:szCs w:val="28"/>
        </w:rPr>
      </w:pPr>
      <w:r>
        <w:rPr>
          <w:rFonts w:hint="eastAsia" w:ascii="宋体" w:hAnsi="宋体" w:eastAsia="宋体" w:cs="宋体"/>
          <w:b/>
          <w:sz w:val="28"/>
          <w:szCs w:val="28"/>
        </w:rPr>
        <w:t>1.1 喷淋系统搭建</w:t>
      </w:r>
    </w:p>
    <w:p w14:paraId="7D2FEE62">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依据现场条件着手开展搭建喷淋系统装置，依托支护结构铺设基础管路，以满足最基础的船体保护工作。</w:t>
      </w:r>
    </w:p>
    <w:p w14:paraId="17F25815">
      <w:pPr>
        <w:jc w:val="both"/>
        <w:rPr>
          <w:rFonts w:hint="eastAsia" w:ascii="宋体" w:hAnsi="宋体" w:eastAsia="宋体" w:cs="宋体"/>
          <w:b/>
          <w:sz w:val="28"/>
          <w:szCs w:val="28"/>
        </w:rPr>
      </w:pPr>
      <w:r>
        <w:rPr>
          <w:rFonts w:hint="eastAsia" w:ascii="宋体" w:hAnsi="宋体" w:eastAsia="宋体" w:cs="宋体"/>
          <w:b/>
          <w:sz w:val="28"/>
          <w:szCs w:val="28"/>
        </w:rPr>
        <w:t>1.2船体清理</w:t>
      </w:r>
    </w:p>
    <w:p w14:paraId="7655D48A">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采取机械剔除、水流冲刷和抽吸等方法，及时将木船表面的沉积物以及泥沙等生物和微生物赖以生存的条件去除。</w:t>
      </w:r>
    </w:p>
    <w:p w14:paraId="5029B640">
      <w:pPr>
        <w:jc w:val="both"/>
        <w:rPr>
          <w:rFonts w:hint="eastAsia" w:ascii="宋体" w:hAnsi="宋体" w:eastAsia="宋体" w:cs="宋体"/>
          <w:b/>
          <w:sz w:val="28"/>
          <w:szCs w:val="28"/>
        </w:rPr>
      </w:pPr>
      <w:r>
        <w:rPr>
          <w:rFonts w:hint="eastAsia" w:ascii="宋体" w:hAnsi="宋体" w:eastAsia="宋体" w:cs="宋体"/>
          <w:b/>
          <w:sz w:val="28"/>
          <w:szCs w:val="28"/>
        </w:rPr>
        <w:t>1.3保湿抑菌</w:t>
      </w:r>
    </w:p>
    <w:p w14:paraId="1F1943FB">
      <w:pPr>
        <w:autoSpaceDE w:val="0"/>
        <w:autoSpaceDN w:val="0"/>
        <w:adjustRightInd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采用人工喷淋与喷淋设备相结合的方式，持续对沉船船体进行喷淋保湿、抑菌防霉及白蚁防治。</w:t>
      </w:r>
    </w:p>
    <w:p w14:paraId="70F6583B">
      <w:pPr>
        <w:jc w:val="both"/>
        <w:rPr>
          <w:rFonts w:hint="eastAsia" w:ascii="宋体" w:hAnsi="宋体" w:eastAsia="宋体" w:cs="宋体"/>
          <w:b/>
          <w:sz w:val="28"/>
          <w:szCs w:val="28"/>
        </w:rPr>
      </w:pPr>
      <w:r>
        <w:rPr>
          <w:rFonts w:hint="eastAsia" w:ascii="宋体" w:hAnsi="宋体" w:eastAsia="宋体" w:cs="宋体"/>
          <w:b/>
          <w:sz w:val="28"/>
          <w:szCs w:val="28"/>
        </w:rPr>
        <w:t>1.4船体监测</w:t>
      </w:r>
    </w:p>
    <w:p w14:paraId="3431AB18">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保护过程中围绕船体定期开展船木监测与分析检测，评估船体保存状态与保护效果。</w:t>
      </w:r>
    </w:p>
    <w:p w14:paraId="0B98D96E">
      <w:pPr>
        <w:jc w:val="both"/>
        <w:rPr>
          <w:rFonts w:hint="eastAsia" w:ascii="宋体" w:hAnsi="宋体" w:eastAsia="宋体" w:cs="宋体"/>
          <w:b/>
          <w:sz w:val="28"/>
          <w:szCs w:val="28"/>
        </w:rPr>
      </w:pPr>
      <w:r>
        <w:rPr>
          <w:rFonts w:hint="eastAsia" w:ascii="宋体" w:hAnsi="宋体" w:eastAsia="宋体" w:cs="宋体"/>
          <w:b/>
          <w:sz w:val="28"/>
          <w:szCs w:val="28"/>
        </w:rPr>
        <w:t>1.5船体构件</w:t>
      </w:r>
    </w:p>
    <w:p w14:paraId="08D9D629">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采用机械或化学软化的方法去除表面硬结物和可溶盐类等附着物。开展船体构件浸泡脱盐、防腐蚀处理以及脱盐效果监测评估。</w:t>
      </w:r>
    </w:p>
    <w:p w14:paraId="75E38329">
      <w:pPr>
        <w:jc w:val="both"/>
        <w:rPr>
          <w:rFonts w:hint="eastAsia" w:ascii="宋体" w:hAnsi="宋体" w:eastAsia="宋体" w:cs="宋体"/>
          <w:b/>
          <w:sz w:val="28"/>
          <w:szCs w:val="28"/>
        </w:rPr>
      </w:pPr>
      <w:r>
        <w:rPr>
          <w:rFonts w:hint="eastAsia" w:ascii="宋体" w:hAnsi="宋体" w:eastAsia="宋体" w:cs="宋体"/>
          <w:b/>
          <w:sz w:val="28"/>
          <w:szCs w:val="28"/>
        </w:rPr>
        <w:t>2. 出水文物保护</w:t>
      </w:r>
    </w:p>
    <w:p w14:paraId="2694B5B5">
      <w:pPr>
        <w:jc w:val="both"/>
        <w:rPr>
          <w:rFonts w:hint="eastAsia" w:ascii="宋体" w:hAnsi="宋体" w:eastAsia="宋体" w:cs="宋体"/>
          <w:b/>
          <w:sz w:val="28"/>
          <w:szCs w:val="28"/>
        </w:rPr>
      </w:pPr>
      <w:r>
        <w:rPr>
          <w:rFonts w:hint="eastAsia" w:ascii="宋体" w:hAnsi="宋体" w:eastAsia="宋体" w:cs="宋体"/>
          <w:b/>
          <w:sz w:val="28"/>
          <w:szCs w:val="28"/>
        </w:rPr>
        <w:t>2.1陶瓷文物保护</w:t>
      </w:r>
    </w:p>
    <w:p w14:paraId="04198BB7">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根据文物保存情况，可以采用静水、脱盐池循环水或超声波清洗 机等设备对5000 件陶瓷器进行深度脱盐保护处理，并做好监测工作。保护修复典型陶瓷器200件。</w:t>
      </w:r>
    </w:p>
    <w:p w14:paraId="0B2AC045">
      <w:pPr>
        <w:jc w:val="both"/>
        <w:rPr>
          <w:rFonts w:hint="eastAsia" w:ascii="宋体" w:hAnsi="宋体" w:eastAsia="宋体" w:cs="宋体"/>
          <w:b/>
          <w:sz w:val="28"/>
          <w:szCs w:val="28"/>
        </w:rPr>
      </w:pPr>
      <w:r>
        <w:rPr>
          <w:rFonts w:hint="eastAsia" w:ascii="宋体" w:hAnsi="宋体" w:eastAsia="宋体" w:cs="宋体"/>
          <w:b/>
          <w:sz w:val="28"/>
          <w:szCs w:val="28"/>
        </w:rPr>
        <w:t>2.2漆器及其他有机质文物保护</w:t>
      </w:r>
    </w:p>
    <w:p w14:paraId="32D5A91E">
      <w:pPr>
        <w:ind w:firstLine="560" w:firstLineChars="200"/>
        <w:jc w:val="both"/>
        <w:rPr>
          <w:rFonts w:hint="eastAsia" w:ascii="宋体" w:hAnsi="宋体" w:eastAsia="宋体" w:cs="宋体"/>
          <w:color w:val="0000FF"/>
          <w:sz w:val="28"/>
          <w:szCs w:val="28"/>
          <w:lang w:val="en-US"/>
        </w:rPr>
      </w:pPr>
      <w:r>
        <w:rPr>
          <w:rFonts w:hint="eastAsia" w:ascii="宋体" w:hAnsi="宋体" w:eastAsia="宋体" w:cs="宋体"/>
          <w:sz w:val="28"/>
          <w:szCs w:val="28"/>
        </w:rPr>
        <w:t>完成18件/组漆器</w:t>
      </w:r>
      <w:r>
        <w:rPr>
          <w:rFonts w:hint="eastAsia" w:ascii="宋体" w:hAnsi="宋体" w:eastAsia="宋体" w:cs="宋体"/>
          <w:sz w:val="28"/>
          <w:szCs w:val="28"/>
          <w:lang w:val="en-US" w:eastAsia="zh-CN"/>
        </w:rPr>
        <w:t>脱水定型保护工作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其余竹木漆器持续进行日常换水及加水工作。</w:t>
      </w:r>
    </w:p>
    <w:p w14:paraId="40AFB8FA">
      <w:pPr>
        <w:jc w:val="both"/>
        <w:rPr>
          <w:rFonts w:hint="eastAsia" w:ascii="宋体" w:hAnsi="宋体" w:eastAsia="宋体" w:cs="宋体"/>
          <w:b/>
          <w:sz w:val="28"/>
          <w:szCs w:val="28"/>
        </w:rPr>
      </w:pPr>
      <w:r>
        <w:rPr>
          <w:rFonts w:hint="eastAsia" w:ascii="宋体" w:hAnsi="宋体" w:eastAsia="宋体" w:cs="宋体"/>
          <w:b/>
          <w:sz w:val="28"/>
          <w:szCs w:val="28"/>
        </w:rPr>
        <w:t>2.3金属文物保护</w:t>
      </w:r>
    </w:p>
    <w:p w14:paraId="5319846A">
      <w:pPr>
        <w:ind w:firstLine="560" w:firstLineChars="200"/>
        <w:jc w:val="both"/>
        <w:rPr>
          <w:rFonts w:hint="eastAsia" w:ascii="宋体" w:hAnsi="宋体" w:eastAsia="宋体" w:cs="宋体"/>
          <w:color w:val="0000FF"/>
          <w:sz w:val="28"/>
          <w:szCs w:val="28"/>
          <w:lang w:val="en-US" w:eastAsia="zh-CN"/>
        </w:rPr>
      </w:pPr>
      <w:r>
        <w:rPr>
          <w:rFonts w:hint="eastAsia" w:ascii="宋体" w:hAnsi="宋体" w:eastAsia="宋体" w:cs="宋体"/>
          <w:sz w:val="28"/>
          <w:szCs w:val="28"/>
        </w:rPr>
        <w:t>对于金属文物（铁器、铜器等），采用持续稳定性保护处理，更换浸泡溶液，定期检测浸泡液电导率等脱盐指标</w:t>
      </w:r>
      <w:r>
        <w:rPr>
          <w:rFonts w:hint="eastAsia" w:ascii="宋体" w:hAnsi="宋体" w:eastAsia="宋体" w:cs="宋体"/>
          <w:sz w:val="28"/>
          <w:szCs w:val="28"/>
          <w:lang w:val="en-US" w:eastAsia="zh-CN"/>
        </w:rPr>
        <w:t>。</w:t>
      </w:r>
    </w:p>
    <w:p w14:paraId="669B2DD4">
      <w:pPr>
        <w:jc w:val="both"/>
        <w:rPr>
          <w:rFonts w:hint="eastAsia" w:ascii="宋体" w:hAnsi="宋体" w:eastAsia="宋体" w:cs="宋体"/>
          <w:b/>
          <w:sz w:val="28"/>
          <w:szCs w:val="28"/>
        </w:rPr>
      </w:pPr>
      <w:r>
        <w:rPr>
          <w:rFonts w:hint="eastAsia" w:ascii="宋体" w:hAnsi="宋体" w:eastAsia="宋体" w:cs="宋体"/>
          <w:b/>
          <w:sz w:val="28"/>
          <w:szCs w:val="28"/>
        </w:rPr>
        <w:t>2.4凝结物及其他文物保护</w:t>
      </w:r>
    </w:p>
    <w:p w14:paraId="6C7DFF54">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对凝结物进行稳定性保护，定期监测保存状态，更换浸泡溶液。</w:t>
      </w:r>
    </w:p>
    <w:p w14:paraId="6B27AA05">
      <w:pPr>
        <w:jc w:val="both"/>
        <w:rPr>
          <w:rFonts w:hint="eastAsia" w:ascii="宋体" w:hAnsi="宋体" w:eastAsia="宋体" w:cs="宋体"/>
          <w:b/>
          <w:sz w:val="28"/>
          <w:szCs w:val="28"/>
        </w:rPr>
      </w:pPr>
      <w:r>
        <w:rPr>
          <w:rFonts w:hint="eastAsia" w:ascii="宋体" w:hAnsi="宋体" w:eastAsia="宋体" w:cs="宋体"/>
          <w:b/>
          <w:bCs/>
          <w:color w:val="auto"/>
          <w:sz w:val="28"/>
          <w:szCs w:val="28"/>
        </w:rPr>
        <w:t>★</w:t>
      </w:r>
      <w:r>
        <w:rPr>
          <w:rFonts w:hint="eastAsia" w:ascii="宋体" w:hAnsi="宋体" w:eastAsia="宋体" w:cs="宋体"/>
          <w:b/>
          <w:sz w:val="28"/>
          <w:szCs w:val="28"/>
        </w:rPr>
        <w:t>3.项目实施人员要求</w:t>
      </w:r>
    </w:p>
    <w:p w14:paraId="7CDFB53F">
      <w:pPr>
        <w:ind w:firstLine="560" w:firstLineChars="200"/>
        <w:jc w:val="both"/>
        <w:rPr>
          <w:rFonts w:hint="eastAsia" w:ascii="宋体" w:hAnsi="宋体" w:eastAsia="宋体" w:cs="宋体"/>
          <w:b/>
          <w:bCs/>
          <w:sz w:val="28"/>
          <w:szCs w:val="28"/>
          <w:lang w:eastAsia="zh-CN"/>
        </w:rPr>
      </w:pPr>
      <w:r>
        <w:rPr>
          <w:rFonts w:hint="eastAsia" w:ascii="宋体" w:hAnsi="宋体" w:eastAsia="宋体" w:cs="宋体"/>
          <w:sz w:val="28"/>
          <w:szCs w:val="28"/>
        </w:rPr>
        <w:t>项目实施人员必须具有大型海洋木质沉船类文物保护工程实施经验，项目负责人具有正高级文博职称，团队成员具有博士学位或省级及以上文物主管部门颁发的中级以上文博职称。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需列明拟投入本项目的主要实施人员的名单</w:t>
      </w:r>
      <w:r>
        <w:rPr>
          <w:rFonts w:hint="eastAsia" w:ascii="宋体" w:hAnsi="宋体" w:eastAsia="宋体" w:cs="宋体"/>
          <w:b/>
          <w:bCs/>
          <w:sz w:val="28"/>
          <w:szCs w:val="28"/>
          <w:lang w:eastAsia="zh-CN"/>
        </w:rPr>
        <w:t>）</w:t>
      </w:r>
    </w:p>
    <w:p w14:paraId="4FEF6F4A">
      <w:pPr>
        <w:ind w:firstLine="560" w:firstLineChars="200"/>
        <w:jc w:val="both"/>
        <w:rPr>
          <w:rFonts w:hint="eastAsia" w:ascii="宋体" w:hAnsi="宋体" w:eastAsia="宋体" w:cs="宋体"/>
          <w:sz w:val="28"/>
          <w:szCs w:val="28"/>
          <w:lang w:eastAsia="zh-CN"/>
        </w:rPr>
      </w:pPr>
    </w:p>
    <w:p w14:paraId="22F03205">
      <w:pPr>
        <w:jc w:val="both"/>
        <w:rPr>
          <w:rFonts w:hint="eastAsia" w:ascii="宋体" w:hAnsi="宋体" w:eastAsia="宋体" w:cs="宋体"/>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AAE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B586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76B586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C0FA8"/>
    <w:multiLevelType w:val="singleLevel"/>
    <w:tmpl w:val="A4AC0FA8"/>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mMjcwOGQ0NzIyYTdjMTUxZTI1YThhMzBiZTdmNTcifQ=="/>
  </w:docVars>
  <w:rsids>
    <w:rsidRoot w:val="1B6D6FFB"/>
    <w:rsid w:val="00076900"/>
    <w:rsid w:val="000A08FA"/>
    <w:rsid w:val="00300C1E"/>
    <w:rsid w:val="00342222"/>
    <w:rsid w:val="0038273E"/>
    <w:rsid w:val="00391F22"/>
    <w:rsid w:val="003D6BD2"/>
    <w:rsid w:val="003F340C"/>
    <w:rsid w:val="00535C2D"/>
    <w:rsid w:val="00632845"/>
    <w:rsid w:val="006745B7"/>
    <w:rsid w:val="00796199"/>
    <w:rsid w:val="009D7504"/>
    <w:rsid w:val="00AC0B9E"/>
    <w:rsid w:val="00BE481C"/>
    <w:rsid w:val="00DA473A"/>
    <w:rsid w:val="00EC62D3"/>
    <w:rsid w:val="04041965"/>
    <w:rsid w:val="05285BC9"/>
    <w:rsid w:val="07954235"/>
    <w:rsid w:val="084560A8"/>
    <w:rsid w:val="0B122507"/>
    <w:rsid w:val="0D093B48"/>
    <w:rsid w:val="0FF60B31"/>
    <w:rsid w:val="168626AD"/>
    <w:rsid w:val="19377383"/>
    <w:rsid w:val="19401538"/>
    <w:rsid w:val="1B6D6FFB"/>
    <w:rsid w:val="24EE7D9B"/>
    <w:rsid w:val="27F97F2F"/>
    <w:rsid w:val="2ACE1AD5"/>
    <w:rsid w:val="2D9134D3"/>
    <w:rsid w:val="2F194390"/>
    <w:rsid w:val="31245657"/>
    <w:rsid w:val="313308E4"/>
    <w:rsid w:val="35924969"/>
    <w:rsid w:val="3AE071F1"/>
    <w:rsid w:val="3DF941A6"/>
    <w:rsid w:val="42AE3CC9"/>
    <w:rsid w:val="42CE66BF"/>
    <w:rsid w:val="44223F83"/>
    <w:rsid w:val="46672EB5"/>
    <w:rsid w:val="4AB53556"/>
    <w:rsid w:val="4B2C6678"/>
    <w:rsid w:val="4B4B38D6"/>
    <w:rsid w:val="4B5B636A"/>
    <w:rsid w:val="4D0B0C3B"/>
    <w:rsid w:val="4E4F4B57"/>
    <w:rsid w:val="525A582C"/>
    <w:rsid w:val="53C472FE"/>
    <w:rsid w:val="55977EAB"/>
    <w:rsid w:val="563118D1"/>
    <w:rsid w:val="59407AF5"/>
    <w:rsid w:val="59410B3C"/>
    <w:rsid w:val="59927FEE"/>
    <w:rsid w:val="5B183B0E"/>
    <w:rsid w:val="5C33783B"/>
    <w:rsid w:val="61C176C2"/>
    <w:rsid w:val="61EF2482"/>
    <w:rsid w:val="64662009"/>
    <w:rsid w:val="6FA2687A"/>
    <w:rsid w:val="6FE23EF7"/>
    <w:rsid w:val="70992499"/>
    <w:rsid w:val="77C964D9"/>
    <w:rsid w:val="794E5888"/>
    <w:rsid w:val="7A1D2042"/>
    <w:rsid w:val="7DB67EA0"/>
    <w:rsid w:val="7FEE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4"/>
      <w:szCs w:val="24"/>
      <w:lang w:val="en-US" w:eastAsia="zh-CN" w:bidi="ar-SA"/>
    </w:rPr>
  </w:style>
  <w:style w:type="paragraph" w:styleId="3">
    <w:name w:val="heading 2"/>
    <w:basedOn w:val="1"/>
    <w:next w:val="1"/>
    <w:link w:val="13"/>
    <w:unhideWhenUsed/>
    <w:qFormat/>
    <w:uiPriority w:val="0"/>
    <w:pPr>
      <w:keepNext/>
      <w:keepLines/>
      <w:spacing w:before="260" w:after="260" w:line="413" w:lineRule="auto"/>
      <w:outlineLvl w:val="1"/>
    </w:pPr>
    <w:rPr>
      <w:rFonts w:ascii="Arial" w:hAnsi="Arial"/>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alutation"/>
    <w:next w:val="1"/>
    <w:link w:val="16"/>
    <w:qFormat/>
    <w:uiPriority w:val="99"/>
    <w:pPr>
      <w:widowControl w:val="0"/>
      <w:jc w:val="both"/>
    </w:pPr>
    <w:rPr>
      <w:rFonts w:ascii="Calibri" w:hAnsi="Calibri" w:eastAsia="宋体" w:cs="Times New Roman"/>
      <w:kern w:val="2"/>
      <w:sz w:val="21"/>
      <w:lang w:val="en-US" w:eastAsia="zh-CN" w:bidi="ar-SA"/>
    </w:rPr>
  </w:style>
  <w:style w:type="paragraph" w:styleId="5">
    <w:name w:val="annotation text"/>
    <w:basedOn w:val="1"/>
    <w:qFormat/>
    <w:uiPriority w:val="0"/>
  </w:style>
  <w:style w:type="paragraph" w:styleId="6">
    <w:name w:val="Balloon Text"/>
    <w:basedOn w:val="1"/>
    <w:link w:val="18"/>
    <w:qFormat/>
    <w:uiPriority w:val="0"/>
    <w:pPr>
      <w:spacing w:line="240" w:lineRule="auto"/>
    </w:pPr>
    <w:rPr>
      <w:sz w:val="18"/>
      <w:szCs w:val="18"/>
    </w:rPr>
  </w:style>
  <w:style w:type="paragraph" w:styleId="7">
    <w:name w:val="footer"/>
    <w:basedOn w:val="1"/>
    <w:link w:val="15"/>
    <w:qFormat/>
    <w:uiPriority w:val="0"/>
    <w:pPr>
      <w:tabs>
        <w:tab w:val="center" w:pos="4153"/>
        <w:tab w:val="right" w:pos="8306"/>
      </w:tabs>
      <w:snapToGrid w:val="0"/>
      <w:spacing w:line="240" w:lineRule="auto"/>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标题 2 字符"/>
    <w:link w:val="3"/>
    <w:qFormat/>
    <w:uiPriority w:val="0"/>
    <w:rPr>
      <w:rFonts w:ascii="Arial" w:hAnsi="Arial" w:eastAsia="宋体"/>
      <w:b/>
      <w:sz w:val="32"/>
    </w:rPr>
  </w:style>
  <w:style w:type="character" w:customStyle="1" w:styleId="14">
    <w:name w:val="页眉 字符"/>
    <w:basedOn w:val="11"/>
    <w:link w:val="8"/>
    <w:qFormat/>
    <w:uiPriority w:val="0"/>
    <w:rPr>
      <w:rFonts w:eastAsia="宋体"/>
      <w:kern w:val="2"/>
      <w:sz w:val="18"/>
      <w:szCs w:val="18"/>
    </w:rPr>
  </w:style>
  <w:style w:type="character" w:customStyle="1" w:styleId="15">
    <w:name w:val="页脚 字符"/>
    <w:basedOn w:val="11"/>
    <w:link w:val="7"/>
    <w:qFormat/>
    <w:uiPriority w:val="0"/>
    <w:rPr>
      <w:rFonts w:eastAsia="宋体"/>
      <w:kern w:val="2"/>
      <w:sz w:val="18"/>
      <w:szCs w:val="18"/>
    </w:rPr>
  </w:style>
  <w:style w:type="character" w:customStyle="1" w:styleId="16">
    <w:name w:val="称呼 字符"/>
    <w:basedOn w:val="11"/>
    <w:link w:val="2"/>
    <w:qFormat/>
    <w:uiPriority w:val="99"/>
    <w:rPr>
      <w:rFonts w:ascii="Calibri" w:hAnsi="Calibri" w:eastAsia="宋体" w:cs="Times New Roman"/>
      <w:kern w:val="2"/>
      <w:sz w:val="21"/>
    </w:rPr>
  </w:style>
  <w:style w:type="paragraph" w:customStyle="1" w:styleId="17">
    <w:name w:val="null3"/>
    <w:qFormat/>
    <w:uiPriority w:val="0"/>
    <w:rPr>
      <w:rFonts w:hint="eastAsia" w:ascii="Calibri" w:hAnsi="Calibri" w:eastAsia="宋体" w:cs="Times New Roman"/>
      <w:lang w:val="en-US" w:eastAsia="zh-Hans" w:bidi="ar-SA"/>
    </w:rPr>
  </w:style>
  <w:style w:type="character" w:customStyle="1" w:styleId="18">
    <w:name w:val="批注框文本 字符"/>
    <w:basedOn w:val="11"/>
    <w:link w:val="6"/>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3A8F94-02C3-4C9C-A412-E92EA2D4B1DE}">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3415</Words>
  <Characters>3611</Characters>
  <Lines>25</Lines>
  <Paragraphs>7</Paragraphs>
  <TotalTime>31</TotalTime>
  <ScaleCrop>false</ScaleCrop>
  <LinksUpToDate>false</LinksUpToDate>
  <CharactersWithSpaces>3638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2024-07-05T02:03:00Z</dcterms:created>
  <dc:creator>.</dc:creator>
  <cp:lastModifiedBy>刀锋艾吉</cp:lastModifiedBy>
  <cp:lastPrinted>2024-06-19T07:32:00Z</cp:lastPrinted>
  <dcterms:modified xsi:type="dcterms:W3CDTF">2025-04-24T08:33:50Z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32EC244E55A840308E3244AB0D27DD01_13</vt:lpwstr>
  </property>
  <property fmtid="{D5CDD505-2E9C-101B-9397-08002B2CF9AE}" pid="4" name="KSOTemplateDocerSaveRecord">
    <vt:lpwstr>eyJoZGlkIjoiY2MwMmJiZWRiMzM0MDI2MGQ3M2Q0ZWQ4MDBmOGYzNGIiLCJ1c2VySWQiOiIxMTM3MjA1MDExIn0=</vt:lpwstr>
  </property>
</Properties>
</file>