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B4" w:rsidRPr="00A62DE7" w:rsidRDefault="00BB3AB4" w:rsidP="00BB3AB4">
      <w:pPr>
        <w:jc w:val="center"/>
        <w:rPr>
          <w:rFonts w:ascii="宋体" w:hAnsi="宋体" w:cs="仿宋_GB2312" w:hint="eastAsia"/>
          <w:sz w:val="48"/>
          <w:szCs w:val="48"/>
        </w:rPr>
      </w:pPr>
      <w:bookmarkStart w:id="0" w:name="_Toc195105490"/>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BB3AB4" w:rsidRDefault="00BB3AB4" w:rsidP="00BB3AB4">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w:t>
      </w:r>
      <w:r>
        <w:rPr>
          <w:rFonts w:ascii="宋体" w:hAnsi="宋体" w:cs="仿宋_GB2312" w:hint="eastAsia"/>
          <w:sz w:val="22"/>
          <w:szCs w:val="22"/>
        </w:rPr>
        <w:t>钾肥反应炉大修配件</w:t>
      </w:r>
      <w:r w:rsidRPr="00A62DE7">
        <w:rPr>
          <w:rFonts w:ascii="宋体" w:hAnsi="宋体" w:hint="eastAsia"/>
          <w:kern w:val="0"/>
          <w:sz w:val="22"/>
          <w:szCs w:val="22"/>
        </w:rPr>
        <w:t>，具体需求如下：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3922"/>
        <w:gridCol w:w="2233"/>
        <w:gridCol w:w="745"/>
        <w:gridCol w:w="897"/>
      </w:tblGrid>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序号</w:t>
            </w:r>
          </w:p>
        </w:tc>
        <w:tc>
          <w:tcPr>
            <w:tcW w:w="2301"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类别</w:t>
            </w:r>
          </w:p>
        </w:tc>
        <w:tc>
          <w:tcPr>
            <w:tcW w:w="1310"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规格参数</w:t>
            </w:r>
          </w:p>
        </w:tc>
        <w:tc>
          <w:tcPr>
            <w:tcW w:w="437"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单位</w:t>
            </w:r>
          </w:p>
        </w:tc>
        <w:tc>
          <w:tcPr>
            <w:tcW w:w="5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数量</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1</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保持器（</w:t>
            </w:r>
            <w:proofErr w:type="gramStart"/>
            <w:r w:rsidRPr="006C05F3">
              <w:rPr>
                <w:rFonts w:ascii="宋体" w:hAnsi="宋体" w:cs="宋体" w:hint="eastAsia"/>
                <w:color w:val="000000"/>
                <w:kern w:val="0"/>
                <w:sz w:val="22"/>
                <w:szCs w:val="22"/>
              </w:rPr>
              <w:t>含垫铁</w:t>
            </w:r>
            <w:proofErr w:type="gramEnd"/>
            <w:r w:rsidRPr="006C05F3">
              <w:rPr>
                <w:rFonts w:ascii="宋体" w:hAnsi="宋体" w:cs="宋体" w:hint="eastAsia"/>
                <w:color w:val="000000"/>
                <w:kern w:val="0"/>
                <w:sz w:val="22"/>
                <w:szCs w:val="22"/>
              </w:rPr>
              <w:t>及锁紧螺栓）15组一套</w:t>
            </w:r>
          </w:p>
        </w:tc>
        <w:tc>
          <w:tcPr>
            <w:tcW w:w="1310"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低碳Cr21</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2</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搅拌手臂保护瓦（11组/套)</w:t>
            </w:r>
          </w:p>
        </w:tc>
        <w:tc>
          <w:tcPr>
            <w:tcW w:w="1310"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低碳Cr21</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3</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硫酸分布器</w:t>
            </w:r>
          </w:p>
        </w:tc>
        <w:tc>
          <w:tcPr>
            <w:tcW w:w="1310"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低碳Cr21</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台</w:t>
            </w:r>
          </w:p>
        </w:tc>
        <w:tc>
          <w:tcPr>
            <w:tcW w:w="526"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4</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氯化钾分布器</w:t>
            </w:r>
          </w:p>
        </w:tc>
        <w:tc>
          <w:tcPr>
            <w:tcW w:w="1310"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低碳Cr21</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台</w:t>
            </w:r>
          </w:p>
        </w:tc>
        <w:tc>
          <w:tcPr>
            <w:tcW w:w="526"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2</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5</w:t>
            </w:r>
          </w:p>
        </w:tc>
        <w:tc>
          <w:tcPr>
            <w:tcW w:w="2301" w:type="pct"/>
            <w:vAlign w:val="center"/>
          </w:tcPr>
          <w:p w:rsidR="00BB3AB4" w:rsidRPr="006C05F3" w:rsidRDefault="00BB3AB4" w:rsidP="00884368">
            <w:pPr>
              <w:jc w:val="center"/>
              <w:rPr>
                <w:rFonts w:ascii="宋体" w:hAnsi="宋体" w:cs="宋体"/>
                <w:color w:val="000000"/>
                <w:kern w:val="0"/>
                <w:sz w:val="22"/>
                <w:szCs w:val="22"/>
              </w:rPr>
            </w:pPr>
            <w:proofErr w:type="gramStart"/>
            <w:r w:rsidRPr="006C05F3">
              <w:rPr>
                <w:rFonts w:ascii="宋体" w:hAnsi="宋体" w:cs="宋体" w:hint="eastAsia"/>
                <w:color w:val="000000"/>
                <w:kern w:val="0"/>
                <w:sz w:val="22"/>
                <w:szCs w:val="22"/>
              </w:rPr>
              <w:t>炉芯保护瓦</w:t>
            </w:r>
            <w:proofErr w:type="gramEnd"/>
          </w:p>
        </w:tc>
        <w:tc>
          <w:tcPr>
            <w:tcW w:w="1310"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低碳Cr21</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6</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耙齿砖（15块/套）</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碳化硅</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7</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搅拌手臂（4根/套)</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ICr17</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8</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中心筒上盖</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ICr17</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3</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9</w:t>
            </w:r>
          </w:p>
        </w:tc>
        <w:tc>
          <w:tcPr>
            <w:tcW w:w="2301" w:type="pct"/>
            <w:vAlign w:val="center"/>
          </w:tcPr>
          <w:p w:rsidR="00BB3AB4" w:rsidRPr="006C05F3" w:rsidRDefault="00BB3AB4" w:rsidP="00884368">
            <w:pPr>
              <w:widowControl/>
              <w:jc w:val="center"/>
              <w:rPr>
                <w:rFonts w:ascii="宋体" w:hAnsi="宋体" w:cs="宋体"/>
                <w:color w:val="000000"/>
                <w:sz w:val="22"/>
                <w:szCs w:val="22"/>
              </w:rPr>
            </w:pPr>
            <w:proofErr w:type="gramStart"/>
            <w:r w:rsidRPr="006C05F3">
              <w:rPr>
                <w:rFonts w:ascii="宋体" w:hAnsi="宋体" w:cs="宋体" w:hint="eastAsia"/>
                <w:color w:val="000000"/>
                <w:kern w:val="0"/>
                <w:sz w:val="22"/>
                <w:szCs w:val="22"/>
              </w:rPr>
              <w:t>黑矽砖及</w:t>
            </w:r>
            <w:proofErr w:type="gramEnd"/>
            <w:r w:rsidRPr="006C05F3">
              <w:rPr>
                <w:rFonts w:ascii="宋体" w:hAnsi="宋体" w:cs="宋体" w:hint="eastAsia"/>
                <w:color w:val="000000"/>
                <w:kern w:val="0"/>
                <w:sz w:val="22"/>
                <w:szCs w:val="22"/>
              </w:rPr>
              <w:t>配套砖泥</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碳化硅含量88％</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2</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10</w:t>
            </w:r>
          </w:p>
        </w:tc>
        <w:tc>
          <w:tcPr>
            <w:tcW w:w="2301"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大顶砖及配套砖泥</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高铝砖、黏土砖</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2</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11</w:t>
            </w:r>
          </w:p>
        </w:tc>
        <w:tc>
          <w:tcPr>
            <w:tcW w:w="2301" w:type="pct"/>
            <w:vAlign w:val="center"/>
          </w:tcPr>
          <w:p w:rsidR="00BB3AB4" w:rsidRPr="006C05F3" w:rsidRDefault="00BB3AB4" w:rsidP="00884368">
            <w:pPr>
              <w:widowControl/>
              <w:jc w:val="center"/>
              <w:rPr>
                <w:rFonts w:ascii="宋体" w:hAnsi="宋体" w:cs="宋体"/>
                <w:color w:val="000000"/>
                <w:sz w:val="22"/>
                <w:szCs w:val="22"/>
              </w:rPr>
            </w:pPr>
            <w:r w:rsidRPr="006C05F3">
              <w:rPr>
                <w:rFonts w:ascii="宋体" w:hAnsi="宋体" w:cs="宋体" w:hint="eastAsia"/>
                <w:color w:val="000000"/>
                <w:kern w:val="0"/>
                <w:sz w:val="22"/>
                <w:szCs w:val="22"/>
              </w:rPr>
              <w:t>燃烧室砖及配套砖泥</w:t>
            </w:r>
          </w:p>
        </w:tc>
        <w:tc>
          <w:tcPr>
            <w:tcW w:w="1310"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高铝砖、改性砖</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套</w:t>
            </w:r>
          </w:p>
        </w:tc>
        <w:tc>
          <w:tcPr>
            <w:tcW w:w="526"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sz w:val="22"/>
                <w:szCs w:val="22"/>
              </w:rPr>
              <w:t>2</w:t>
            </w:r>
          </w:p>
        </w:tc>
      </w:tr>
      <w:tr w:rsidR="00BB3AB4" w:rsidRPr="006C05F3" w:rsidTr="00884368">
        <w:trPr>
          <w:trHeight w:val="510"/>
          <w:jc w:val="center"/>
        </w:trPr>
        <w:tc>
          <w:tcPr>
            <w:tcW w:w="426" w:type="pct"/>
            <w:vAlign w:val="center"/>
          </w:tcPr>
          <w:p w:rsidR="00BB3AB4" w:rsidRPr="006C05F3" w:rsidRDefault="00BB3AB4" w:rsidP="00884368">
            <w:pPr>
              <w:jc w:val="center"/>
              <w:rPr>
                <w:rFonts w:ascii="宋体" w:hAnsi="宋体" w:hint="eastAsia"/>
                <w:sz w:val="22"/>
                <w:szCs w:val="22"/>
              </w:rPr>
            </w:pPr>
            <w:r w:rsidRPr="006C05F3">
              <w:rPr>
                <w:rFonts w:ascii="宋体" w:hAnsi="宋体" w:hint="eastAsia"/>
                <w:sz w:val="22"/>
                <w:szCs w:val="22"/>
              </w:rPr>
              <w:t>12</w:t>
            </w:r>
          </w:p>
        </w:tc>
        <w:tc>
          <w:tcPr>
            <w:tcW w:w="2301" w:type="pct"/>
            <w:vAlign w:val="center"/>
          </w:tcPr>
          <w:p w:rsidR="00BB3AB4" w:rsidRPr="006C05F3" w:rsidRDefault="00BB3AB4" w:rsidP="00884368">
            <w:pPr>
              <w:widowControl/>
              <w:jc w:val="center"/>
              <w:rPr>
                <w:rFonts w:ascii="宋体" w:hAnsi="宋体" w:cs="宋体"/>
                <w:color w:val="000000"/>
                <w:sz w:val="22"/>
                <w:szCs w:val="22"/>
              </w:rPr>
            </w:pPr>
            <w:r w:rsidRPr="006C05F3">
              <w:rPr>
                <w:rFonts w:ascii="宋体" w:hAnsi="宋体" w:cs="宋体" w:hint="eastAsia"/>
                <w:color w:val="000000"/>
                <w:kern w:val="0"/>
                <w:sz w:val="22"/>
                <w:szCs w:val="22"/>
              </w:rPr>
              <w:t>耐高温硅酸铝</w:t>
            </w:r>
            <w:proofErr w:type="gramStart"/>
            <w:r w:rsidRPr="006C05F3">
              <w:rPr>
                <w:rFonts w:ascii="宋体" w:hAnsi="宋体" w:cs="宋体" w:hint="eastAsia"/>
                <w:color w:val="000000"/>
                <w:kern w:val="0"/>
                <w:sz w:val="22"/>
                <w:szCs w:val="22"/>
              </w:rPr>
              <w:t>毯</w:t>
            </w:r>
            <w:proofErr w:type="gramEnd"/>
          </w:p>
        </w:tc>
        <w:tc>
          <w:tcPr>
            <w:tcW w:w="1310" w:type="pct"/>
            <w:vAlign w:val="center"/>
          </w:tcPr>
          <w:p w:rsidR="00BB3AB4" w:rsidRPr="006C05F3" w:rsidRDefault="00BB3AB4" w:rsidP="00884368">
            <w:pPr>
              <w:widowControl/>
              <w:jc w:val="center"/>
              <w:rPr>
                <w:rFonts w:ascii="宋体" w:hAnsi="宋体" w:cs="宋体" w:hint="eastAsia"/>
                <w:color w:val="000000"/>
                <w:kern w:val="0"/>
                <w:sz w:val="22"/>
                <w:szCs w:val="22"/>
              </w:rPr>
            </w:pPr>
            <w:r w:rsidRPr="006C05F3">
              <w:rPr>
                <w:rFonts w:ascii="宋体" w:hAnsi="宋体" w:cs="宋体" w:hint="eastAsia"/>
                <w:color w:val="000000"/>
                <w:kern w:val="0"/>
                <w:sz w:val="22"/>
                <w:szCs w:val="22"/>
              </w:rPr>
              <w:t>耐高温硅酸铝</w:t>
            </w:r>
          </w:p>
          <w:p w:rsidR="00BB3AB4" w:rsidRPr="006C05F3" w:rsidRDefault="00BB3AB4" w:rsidP="00884368">
            <w:pPr>
              <w:widowControl/>
              <w:jc w:val="center"/>
              <w:rPr>
                <w:rFonts w:ascii="宋体" w:hAnsi="宋体" w:cs="宋体"/>
                <w:color w:val="000000"/>
                <w:sz w:val="22"/>
                <w:szCs w:val="22"/>
              </w:rPr>
            </w:pPr>
            <w:r w:rsidRPr="006C05F3">
              <w:rPr>
                <w:rFonts w:ascii="宋体" w:hAnsi="宋体" w:cs="宋体" w:hint="eastAsia"/>
                <w:color w:val="000000"/>
                <w:kern w:val="0"/>
                <w:sz w:val="22"/>
                <w:szCs w:val="22"/>
              </w:rPr>
              <w:t>（</w:t>
            </w:r>
            <w:proofErr w:type="gramStart"/>
            <w:r w:rsidRPr="006C05F3">
              <w:rPr>
                <w:rFonts w:ascii="宋体" w:hAnsi="宋体" w:cs="宋体" w:hint="eastAsia"/>
                <w:color w:val="000000"/>
                <w:kern w:val="0"/>
                <w:sz w:val="22"/>
                <w:szCs w:val="22"/>
              </w:rPr>
              <w:t>溶重180公斤</w:t>
            </w:r>
            <w:proofErr w:type="gramEnd"/>
            <w:r w:rsidRPr="006C05F3">
              <w:rPr>
                <w:rFonts w:ascii="宋体" w:hAnsi="宋体" w:cs="宋体" w:hint="eastAsia"/>
                <w:color w:val="000000"/>
                <w:kern w:val="0"/>
                <w:sz w:val="22"/>
                <w:szCs w:val="22"/>
              </w:rPr>
              <w:t>）</w:t>
            </w:r>
          </w:p>
        </w:tc>
        <w:tc>
          <w:tcPr>
            <w:tcW w:w="437" w:type="pct"/>
            <w:vAlign w:val="center"/>
          </w:tcPr>
          <w:p w:rsidR="00BB3AB4" w:rsidRPr="006C05F3" w:rsidRDefault="00BB3AB4" w:rsidP="00884368">
            <w:pPr>
              <w:jc w:val="center"/>
              <w:rPr>
                <w:rFonts w:ascii="宋体" w:hAnsi="宋体" w:cs="宋体"/>
                <w:color w:val="000000"/>
                <w:kern w:val="0"/>
                <w:sz w:val="22"/>
                <w:szCs w:val="22"/>
              </w:rPr>
            </w:pPr>
            <w:r w:rsidRPr="006C05F3">
              <w:rPr>
                <w:rFonts w:ascii="宋体" w:hAnsi="宋体" w:cs="宋体" w:hint="eastAsia"/>
                <w:color w:val="000000"/>
                <w:kern w:val="0"/>
                <w:sz w:val="22"/>
                <w:szCs w:val="22"/>
              </w:rPr>
              <w:t>m³</w:t>
            </w:r>
          </w:p>
        </w:tc>
        <w:tc>
          <w:tcPr>
            <w:tcW w:w="526" w:type="pct"/>
            <w:vAlign w:val="center"/>
          </w:tcPr>
          <w:p w:rsidR="00BB3AB4" w:rsidRPr="006C05F3" w:rsidRDefault="00BB3AB4" w:rsidP="00884368">
            <w:pPr>
              <w:jc w:val="center"/>
              <w:rPr>
                <w:rFonts w:ascii="宋体" w:hAnsi="宋体" w:cs="宋体"/>
                <w:color w:val="000000"/>
                <w:sz w:val="22"/>
                <w:szCs w:val="22"/>
              </w:rPr>
            </w:pPr>
            <w:r w:rsidRPr="006C05F3">
              <w:rPr>
                <w:rFonts w:ascii="宋体" w:hAnsi="宋体" w:cs="宋体" w:hint="eastAsia"/>
                <w:color w:val="000000"/>
                <w:sz w:val="22"/>
                <w:szCs w:val="22"/>
              </w:rPr>
              <w:t>10</w:t>
            </w:r>
          </w:p>
        </w:tc>
      </w:tr>
    </w:tbl>
    <w:p w:rsidR="00BB3AB4" w:rsidRPr="00261315" w:rsidRDefault="00BB3AB4" w:rsidP="00BB3AB4">
      <w:pPr>
        <w:spacing w:line="360" w:lineRule="auto"/>
        <w:ind w:firstLineChars="200" w:firstLine="440"/>
        <w:contextualSpacing/>
        <w:mirrorIndents/>
        <w:rPr>
          <w:rFonts w:ascii="宋体" w:hAnsi="宋体" w:hint="eastAsia"/>
          <w:color w:val="000000"/>
          <w:kern w:val="0"/>
          <w:sz w:val="22"/>
          <w:szCs w:val="22"/>
        </w:rPr>
      </w:pPr>
      <w:r w:rsidRPr="00261315">
        <w:rPr>
          <w:rFonts w:ascii="宋体" w:hAnsi="宋体" w:hint="eastAsia"/>
          <w:color w:val="000000"/>
          <w:kern w:val="0"/>
          <w:sz w:val="22"/>
          <w:szCs w:val="22"/>
        </w:rPr>
        <w:t>二、</w:t>
      </w:r>
      <w:bookmarkStart w:id="1" w:name="OLE_LINK44"/>
      <w:r>
        <w:rPr>
          <w:rFonts w:ascii="宋体" w:hAnsi="宋体" w:hint="eastAsia"/>
          <w:kern w:val="0"/>
          <w:sz w:val="22"/>
          <w:szCs w:val="22"/>
        </w:rPr>
        <w:t>到货时间：</w:t>
      </w:r>
      <w:r>
        <w:rPr>
          <w:rFonts w:ascii="宋体" w:hAnsi="宋体" w:cs="仿宋_GB2312" w:hint="eastAsia"/>
          <w:sz w:val="22"/>
          <w:szCs w:val="22"/>
        </w:rPr>
        <w:t>合同签订后45天内货物到完。</w:t>
      </w:r>
      <w:bookmarkEnd w:id="1"/>
    </w:p>
    <w:p w:rsidR="00BB3AB4" w:rsidRDefault="00BB3AB4" w:rsidP="00BB3AB4">
      <w:pPr>
        <w:spacing w:line="360" w:lineRule="auto"/>
        <w:ind w:firstLineChars="200" w:firstLine="440"/>
        <w:contextualSpacing/>
        <w:mirrorIndents/>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供货</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BB3AB4" w:rsidRPr="006360DB" w:rsidRDefault="00BB3AB4" w:rsidP="00BB3AB4">
      <w:pPr>
        <w:spacing w:line="360" w:lineRule="auto"/>
        <w:ind w:firstLineChars="200" w:firstLine="440"/>
        <w:rPr>
          <w:rFonts w:ascii="宋体" w:hAnsi="宋体" w:hint="eastAsia"/>
          <w:bCs/>
          <w:sz w:val="22"/>
          <w:szCs w:val="22"/>
        </w:rPr>
      </w:pPr>
      <w:r>
        <w:rPr>
          <w:rFonts w:ascii="宋体" w:hAnsi="宋体" w:hint="eastAsia"/>
          <w:color w:val="000000"/>
          <w:kern w:val="0"/>
          <w:sz w:val="22"/>
          <w:szCs w:val="22"/>
        </w:rPr>
        <w:t>四</w:t>
      </w:r>
      <w:r w:rsidRPr="00DB7945">
        <w:rPr>
          <w:rFonts w:ascii="宋体" w:hAnsi="宋体" w:hint="eastAsia"/>
          <w:color w:val="000000"/>
          <w:kern w:val="0"/>
          <w:sz w:val="22"/>
          <w:szCs w:val="22"/>
        </w:rPr>
        <w:t>、</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姚家港厂区</w:t>
      </w:r>
      <w:r>
        <w:rPr>
          <w:rFonts w:ascii="宋体" w:hAnsi="宋体" w:hint="eastAsia"/>
          <w:bCs/>
          <w:sz w:val="22"/>
          <w:szCs w:val="22"/>
        </w:rPr>
        <w:t>，送货运输费及责任由供应商承担。</w:t>
      </w:r>
    </w:p>
    <w:p w:rsidR="00BB3AB4" w:rsidRDefault="00BB3AB4" w:rsidP="00BB3AB4">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五</w:t>
      </w:r>
      <w:r w:rsidRPr="00BD0461">
        <w:rPr>
          <w:rFonts w:ascii="宋体" w:hAnsi="宋体" w:hint="eastAsia"/>
          <w:color w:val="000000"/>
          <w:kern w:val="0"/>
          <w:sz w:val="22"/>
          <w:szCs w:val="22"/>
        </w:rPr>
        <w:t>、质量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Pr>
          <w:rFonts w:ascii="宋体" w:hAnsi="宋体" w:hint="eastAsia"/>
          <w:color w:val="000000"/>
          <w:kern w:val="0"/>
          <w:sz w:val="22"/>
          <w:szCs w:val="22"/>
        </w:rPr>
        <w:t xml:space="preserve"> </w:t>
      </w:r>
    </w:p>
    <w:p w:rsidR="00BB3AB4" w:rsidRPr="004F3F36" w:rsidRDefault="00BB3AB4" w:rsidP="00BB3AB4">
      <w:pPr>
        <w:spacing w:line="360" w:lineRule="auto"/>
        <w:ind w:firstLineChars="200" w:firstLine="440"/>
        <w:contextualSpacing/>
        <w:mirrorIndents/>
        <w:rPr>
          <w:rFonts w:ascii="宋体" w:hAnsi="宋体" w:cs="仿宋_GB2312"/>
          <w:sz w:val="22"/>
          <w:szCs w:val="22"/>
        </w:rPr>
      </w:pPr>
      <w:bookmarkStart w:id="2" w:name="OLE_LINK21"/>
      <w:bookmarkStart w:id="3" w:name="OLE_LINK22"/>
      <w:r w:rsidRPr="004F3F36">
        <w:rPr>
          <w:rFonts w:ascii="宋体" w:hAnsi="宋体" w:cs="仿宋_GB2312" w:hint="eastAsia"/>
          <w:sz w:val="22"/>
          <w:szCs w:val="22"/>
        </w:rPr>
        <w:t>1.铁件外观表面光滑，无明显的砂眼、气孔、裂纹、夹渣等铸造缺陷；焊缝应均匀、平整，无焊瘤、咬边、气孔、未</w:t>
      </w:r>
      <w:proofErr w:type="gramStart"/>
      <w:r w:rsidRPr="004F3F36">
        <w:rPr>
          <w:rFonts w:ascii="宋体" w:hAnsi="宋体" w:cs="仿宋_GB2312" w:hint="eastAsia"/>
          <w:sz w:val="22"/>
          <w:szCs w:val="22"/>
        </w:rPr>
        <w:t>焊透等焊接</w:t>
      </w:r>
      <w:proofErr w:type="gramEnd"/>
      <w:r w:rsidRPr="004F3F36">
        <w:rPr>
          <w:rFonts w:ascii="宋体" w:hAnsi="宋体" w:cs="仿宋_GB2312" w:hint="eastAsia"/>
          <w:sz w:val="22"/>
          <w:szCs w:val="22"/>
        </w:rPr>
        <w:t>缺陷，焊缝表面的熔渣和飞溅物应清理干净；铁件的主要尺寸应符合装配要求，尺寸偏差应在规定的公差范围内，其精度应满足装配要求，确保与其他部件的良好配合，与反应炉的其他部件连接紧密，配合间隙符合设计要求。</w:t>
      </w:r>
    </w:p>
    <w:p w:rsidR="00BB3AB4" w:rsidRPr="004F3F36" w:rsidRDefault="00BB3AB4" w:rsidP="00BB3AB4">
      <w:pPr>
        <w:spacing w:line="360" w:lineRule="auto"/>
        <w:ind w:firstLineChars="200" w:firstLine="440"/>
        <w:contextualSpacing/>
        <w:mirrorIndents/>
        <w:rPr>
          <w:rFonts w:ascii="宋体" w:hAnsi="宋体" w:cs="仿宋_GB2312" w:hint="eastAsia"/>
          <w:sz w:val="22"/>
          <w:szCs w:val="22"/>
        </w:rPr>
      </w:pPr>
      <w:r w:rsidRPr="004F3F36">
        <w:rPr>
          <w:rFonts w:ascii="宋体" w:hAnsi="宋体" w:cs="仿宋_GB2312" w:hint="eastAsia"/>
          <w:sz w:val="22"/>
          <w:szCs w:val="22"/>
        </w:rPr>
        <w:t>2.</w:t>
      </w:r>
      <w:proofErr w:type="gramStart"/>
      <w:r w:rsidRPr="004F3F36">
        <w:rPr>
          <w:rFonts w:ascii="宋体" w:hAnsi="宋体" w:cs="仿宋_GB2312" w:hint="eastAsia"/>
          <w:sz w:val="22"/>
          <w:szCs w:val="22"/>
        </w:rPr>
        <w:t>曼</w:t>
      </w:r>
      <w:proofErr w:type="gramEnd"/>
      <w:r w:rsidRPr="004F3F36">
        <w:rPr>
          <w:rFonts w:ascii="宋体" w:hAnsi="宋体" w:cs="仿宋_GB2312" w:hint="eastAsia"/>
          <w:sz w:val="22"/>
          <w:szCs w:val="22"/>
        </w:rPr>
        <w:t>海</w:t>
      </w:r>
      <w:proofErr w:type="gramStart"/>
      <w:r w:rsidRPr="004F3F36">
        <w:rPr>
          <w:rFonts w:ascii="宋体" w:hAnsi="宋体" w:cs="仿宋_GB2312" w:hint="eastAsia"/>
          <w:sz w:val="22"/>
          <w:szCs w:val="22"/>
        </w:rPr>
        <w:t>姆反应炉砖表面</w:t>
      </w:r>
      <w:proofErr w:type="gramEnd"/>
      <w:r w:rsidRPr="004F3F36">
        <w:rPr>
          <w:rFonts w:ascii="宋体" w:hAnsi="宋体" w:cs="仿宋_GB2312" w:hint="eastAsia"/>
          <w:sz w:val="22"/>
          <w:szCs w:val="22"/>
        </w:rPr>
        <w:t>平整，无明显缺棱掉角、裂纹、弯曲等缺陷。边角破损处的缺棱掉角尺寸应在规定范围内，颜色应均匀一致，无明显色差、色斑及杂质。砖的尺寸</w:t>
      </w:r>
      <w:r w:rsidRPr="004F3F36">
        <w:rPr>
          <w:rFonts w:ascii="宋体" w:hAnsi="宋体" w:cs="仿宋_GB2312" w:hint="eastAsia"/>
          <w:sz w:val="22"/>
          <w:szCs w:val="22"/>
        </w:rPr>
        <w:lastRenderedPageBreak/>
        <w:t>符合设计要求，其尺寸偏差应控制在规定的公差范围内。长度、宽度方向的尺寸偏差为±2mm，厚度偏差为±1mm。表面平整度偏差不超过2mm。砖的形状规则，尺寸精度高，砖的棱角完整，在砌筑过程中不易破碎，能够保证砌筑质量和炉体的整体性。</w:t>
      </w:r>
    </w:p>
    <w:p w:rsidR="00BB3AB4" w:rsidRDefault="00BB3AB4" w:rsidP="00BB3AB4">
      <w:pPr>
        <w:spacing w:line="360" w:lineRule="auto"/>
        <w:ind w:firstLineChars="200" w:firstLine="440"/>
        <w:contextualSpacing/>
        <w:mirrorIndents/>
        <w:rPr>
          <w:rFonts w:ascii="宋体" w:hAnsi="宋体" w:cs="仿宋_GB2312" w:hint="eastAsia"/>
          <w:sz w:val="22"/>
          <w:szCs w:val="22"/>
        </w:rPr>
      </w:pPr>
      <w:r w:rsidRPr="004F3F36">
        <w:rPr>
          <w:rFonts w:ascii="宋体" w:hAnsi="宋体" w:cs="仿宋_GB2312" w:hint="eastAsia"/>
          <w:sz w:val="22"/>
          <w:szCs w:val="22"/>
        </w:rPr>
        <w:t>3.反应炉铁</w:t>
      </w:r>
      <w:proofErr w:type="gramStart"/>
      <w:r w:rsidRPr="004F3F36">
        <w:rPr>
          <w:rFonts w:ascii="宋体" w:hAnsi="宋体" w:cs="仿宋_GB2312" w:hint="eastAsia"/>
          <w:sz w:val="22"/>
          <w:szCs w:val="22"/>
        </w:rPr>
        <w:t>件及砖均</w:t>
      </w:r>
      <w:proofErr w:type="gramEnd"/>
      <w:r w:rsidRPr="004F3F36">
        <w:rPr>
          <w:rFonts w:ascii="宋体" w:hAnsi="宋体" w:cs="仿宋_GB2312" w:hint="eastAsia"/>
          <w:sz w:val="22"/>
          <w:szCs w:val="22"/>
        </w:rPr>
        <w:t>随车提供合格证及材质证明书。</w:t>
      </w:r>
    </w:p>
    <w:p w:rsidR="00BB3AB4" w:rsidRPr="004F3F36" w:rsidRDefault="00BB3AB4" w:rsidP="00BB3AB4">
      <w:pPr>
        <w:spacing w:line="360" w:lineRule="auto"/>
        <w:ind w:firstLineChars="200" w:firstLine="440"/>
        <w:contextualSpacing/>
        <w:mirrorIndents/>
        <w:rPr>
          <w:rFonts w:ascii="宋体" w:hAnsi="宋体" w:cs="仿宋_GB2312" w:hint="eastAsia"/>
          <w:sz w:val="22"/>
          <w:szCs w:val="22"/>
        </w:rPr>
      </w:pPr>
      <w:r>
        <w:rPr>
          <w:rFonts w:ascii="宋体" w:hAnsi="宋体" w:cs="仿宋_GB2312" w:hint="eastAsia"/>
          <w:sz w:val="22"/>
          <w:szCs w:val="22"/>
        </w:rPr>
        <w:t>4.</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bookmarkEnd w:id="2"/>
    <w:bookmarkEnd w:id="3"/>
    <w:p w:rsidR="00BB3AB4" w:rsidRPr="00ED6C72" w:rsidRDefault="00BB3AB4" w:rsidP="00BB3AB4">
      <w:pPr>
        <w:spacing w:line="360" w:lineRule="auto"/>
        <w:ind w:firstLineChars="200" w:firstLine="440"/>
        <w:outlineLvl w:val="1"/>
        <w:rPr>
          <w:rFonts w:ascii="宋体" w:hAnsi="宋体" w:hint="eastAsia"/>
          <w:bCs/>
          <w:sz w:val="22"/>
          <w:szCs w:val="22"/>
        </w:rPr>
      </w:pPr>
      <w:r>
        <w:rPr>
          <w:rFonts w:ascii="宋体" w:hAnsi="宋体" w:hint="eastAsia"/>
          <w:bCs/>
          <w:sz w:val="22"/>
          <w:szCs w:val="22"/>
        </w:rPr>
        <w:t>六、验收标准与时间：</w:t>
      </w:r>
    </w:p>
    <w:p w:rsidR="00BB3AB4" w:rsidRDefault="00BB3AB4" w:rsidP="00BB3AB4">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w:t>
      </w:r>
      <w:r w:rsidRPr="00DB7945">
        <w:rPr>
          <w:rFonts w:ascii="宋体" w:hAnsi="宋体" w:hint="eastAsia"/>
          <w:color w:val="000000"/>
          <w:kern w:val="0"/>
          <w:sz w:val="22"/>
          <w:szCs w:val="22"/>
        </w:rPr>
        <w:t>。</w:t>
      </w:r>
    </w:p>
    <w:p w:rsidR="00BB3AB4" w:rsidRPr="00A07CFB" w:rsidRDefault="00BB3AB4" w:rsidP="00BB3AB4">
      <w:pPr>
        <w:spacing w:line="360" w:lineRule="auto"/>
        <w:ind w:firstLineChars="200" w:firstLine="440"/>
        <w:rPr>
          <w:rFonts w:ascii="宋体" w:hAnsi="宋体" w:hint="eastAsia"/>
          <w:bCs/>
          <w:sz w:val="22"/>
          <w:szCs w:val="22"/>
        </w:rPr>
      </w:pPr>
      <w:r>
        <w:rPr>
          <w:rFonts w:ascii="宋体" w:hAnsi="宋体" w:hint="eastAsia"/>
          <w:kern w:val="0"/>
          <w:sz w:val="22"/>
          <w:szCs w:val="22"/>
        </w:rPr>
        <w:t>2.供应商将所有货物送达指定地点，双方共同核对送货清单，符合采购</w:t>
      </w:r>
      <w:proofErr w:type="gramStart"/>
      <w:r>
        <w:rPr>
          <w:rFonts w:ascii="宋体" w:hAnsi="宋体" w:hint="eastAsia"/>
          <w:kern w:val="0"/>
          <w:sz w:val="22"/>
          <w:szCs w:val="22"/>
        </w:rPr>
        <w:t>方需求</w:t>
      </w:r>
      <w:proofErr w:type="gramEnd"/>
      <w:r>
        <w:rPr>
          <w:rFonts w:ascii="宋体" w:hAnsi="宋体" w:hint="eastAsia"/>
          <w:kern w:val="0"/>
          <w:sz w:val="22"/>
          <w:szCs w:val="22"/>
        </w:rPr>
        <w:t>后双方签字确认收货；</w:t>
      </w:r>
      <w:r>
        <w:rPr>
          <w:rFonts w:ascii="宋体" w:hAnsi="宋体" w:hint="eastAsia"/>
          <w:bCs/>
          <w:sz w:val="22"/>
          <w:szCs w:val="22"/>
        </w:rPr>
        <w:t>采购</w:t>
      </w:r>
      <w:proofErr w:type="gramStart"/>
      <w:r>
        <w:rPr>
          <w:rFonts w:ascii="宋体" w:hAnsi="宋体" w:hint="eastAsia"/>
          <w:bCs/>
          <w:sz w:val="22"/>
          <w:szCs w:val="22"/>
        </w:rPr>
        <w:t>方收到</w:t>
      </w:r>
      <w:proofErr w:type="gramEnd"/>
      <w:r>
        <w:rPr>
          <w:rFonts w:ascii="宋体" w:hAnsi="宋体" w:hint="eastAsia"/>
          <w:bCs/>
          <w:sz w:val="22"/>
          <w:szCs w:val="22"/>
        </w:rPr>
        <w:t>所有货物后30日内办理验收。</w:t>
      </w:r>
    </w:p>
    <w:p w:rsidR="00BB3AB4" w:rsidRDefault="00BB3AB4" w:rsidP="00BB3AB4">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3.双方不得擅自变更本合同约定的验收要素。</w:t>
      </w:r>
    </w:p>
    <w:p w:rsidR="00BB3AB4" w:rsidRPr="00DB7945" w:rsidRDefault="00BB3AB4" w:rsidP="00BB3AB4">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七</w:t>
      </w:r>
      <w:r w:rsidRPr="00DB7945">
        <w:rPr>
          <w:rFonts w:ascii="宋体" w:hAnsi="宋体" w:hint="eastAsia"/>
          <w:color w:val="000000"/>
          <w:kern w:val="0"/>
          <w:sz w:val="22"/>
          <w:szCs w:val="22"/>
        </w:rPr>
        <w:t>、质保期：</w:t>
      </w:r>
      <w:bookmarkStart w:id="4" w:name="OLE_LINK13"/>
      <w:bookmarkStart w:id="5" w:name="OLE_LINK12"/>
      <w:r>
        <w:rPr>
          <w:rFonts w:ascii="宋体" w:hAnsi="宋体" w:hint="eastAsia"/>
          <w:color w:val="000000"/>
          <w:kern w:val="0"/>
          <w:sz w:val="22"/>
          <w:szCs w:val="22"/>
        </w:rPr>
        <w:t>自投入生产之日起1年。</w:t>
      </w:r>
      <w:bookmarkEnd w:id="4"/>
      <w:bookmarkEnd w:id="5"/>
    </w:p>
    <w:p w:rsidR="00BB3AB4" w:rsidRPr="00A62DE7" w:rsidRDefault="00BB3AB4" w:rsidP="00BB3AB4">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八</w:t>
      </w:r>
      <w:r w:rsidRPr="00A62DE7">
        <w:rPr>
          <w:rFonts w:ascii="宋体" w:hAnsi="宋体" w:hint="eastAsia"/>
          <w:color w:val="000000"/>
          <w:kern w:val="0"/>
          <w:sz w:val="22"/>
          <w:szCs w:val="22"/>
        </w:rPr>
        <w:t>、费用的支付与结算：</w:t>
      </w:r>
    </w:p>
    <w:p w:rsidR="00BB3AB4" w:rsidRPr="00DB7945" w:rsidRDefault="00BB3AB4" w:rsidP="00BB3AB4">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1年</w:t>
      </w:r>
      <w:r w:rsidRPr="00DB7945">
        <w:rPr>
          <w:rFonts w:ascii="宋体" w:hAnsi="宋体" w:hint="eastAsia"/>
          <w:color w:val="000000"/>
          <w:kern w:val="0"/>
          <w:sz w:val="22"/>
          <w:szCs w:val="22"/>
        </w:rPr>
        <w:t>后无质量问题无息付清。</w:t>
      </w:r>
    </w:p>
    <w:p w:rsidR="00BB3AB4" w:rsidRPr="00A62DE7" w:rsidRDefault="00BB3AB4" w:rsidP="00BB3AB4">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九</w:t>
      </w:r>
      <w:r w:rsidRPr="00A62DE7">
        <w:rPr>
          <w:rFonts w:ascii="宋体" w:hAnsi="宋体" w:hint="eastAsia"/>
          <w:kern w:val="0"/>
          <w:sz w:val="22"/>
          <w:szCs w:val="22"/>
        </w:rPr>
        <w:t>、供应商需知</w:t>
      </w:r>
    </w:p>
    <w:p w:rsidR="00BB3AB4" w:rsidRPr="00137A5C" w:rsidRDefault="00BB3AB4" w:rsidP="00BB3AB4">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35028A" w:rsidRPr="00BB3AB4" w:rsidRDefault="0035028A"/>
    <w:sectPr w:rsidR="0035028A" w:rsidRPr="00BB3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3AB4"/>
    <w:rsid w:val="0035028A"/>
    <w:rsid w:val="00BB3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B4"/>
    <w:pPr>
      <w:widowControl w:val="0"/>
      <w:jc w:val="both"/>
    </w:pPr>
    <w:rPr>
      <w:rFonts w:ascii="Calibri" w:eastAsia="宋体" w:hAnsi="Calibri" w:cs="Times New Roman"/>
      <w:szCs w:val="24"/>
    </w:rPr>
  </w:style>
  <w:style w:type="paragraph" w:styleId="1">
    <w:name w:val="heading 1"/>
    <w:basedOn w:val="a"/>
    <w:next w:val="a"/>
    <w:link w:val="1Char"/>
    <w:qFormat/>
    <w:rsid w:val="00BB3AB4"/>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B3AB4"/>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2025-04-10T04:09:00Z</dcterms:created>
  <dcterms:modified xsi:type="dcterms:W3CDTF">2025-04-10T04:09:00Z</dcterms:modified>
</cp:coreProperties>
</file>