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E8C21">
      <w:pPr>
        <w:pStyle w:val="38"/>
        <w:rPr>
          <w:rFonts w:hint="eastAsia" w:ascii="宋体" w:hAnsi="宋体" w:eastAsia="宋体" w:cs="宋体"/>
          <w:color w:val="auto"/>
          <w:highlight w:val="none"/>
        </w:rPr>
      </w:pPr>
    </w:p>
    <w:p w14:paraId="3A84A15D">
      <w:pPr>
        <w:jc w:val="center"/>
        <w:rPr>
          <w:rFonts w:hint="eastAsia" w:ascii="宋体" w:hAnsi="宋体" w:eastAsia="宋体" w:cs="宋体"/>
          <w:b/>
          <w:bCs/>
          <w:color w:val="auto"/>
          <w:sz w:val="52"/>
          <w:szCs w:val="60"/>
          <w:highlight w:val="none"/>
        </w:rPr>
      </w:pPr>
      <w:r>
        <w:rPr>
          <w:rFonts w:hint="eastAsia" w:ascii="宋体" w:hAnsi="宋体" w:eastAsia="宋体" w:cs="宋体"/>
          <w:b/>
          <w:bCs/>
          <w:color w:val="auto"/>
          <w:sz w:val="52"/>
          <w:szCs w:val="60"/>
          <w:highlight w:val="none"/>
        </w:rPr>
        <w:t>宣恩仙山贡水商贸有限公司供应商遴选建库</w:t>
      </w:r>
    </w:p>
    <w:p w14:paraId="772EA971">
      <w:pPr>
        <w:jc w:val="center"/>
        <w:rPr>
          <w:rFonts w:hint="eastAsia" w:ascii="宋体" w:hAnsi="宋体" w:eastAsia="宋体" w:cs="宋体"/>
          <w:b/>
          <w:bCs/>
          <w:color w:val="auto"/>
          <w:sz w:val="52"/>
          <w:szCs w:val="60"/>
          <w:highlight w:val="none"/>
        </w:rPr>
      </w:pPr>
    </w:p>
    <w:p w14:paraId="6DC65BAC">
      <w:pPr>
        <w:jc w:val="center"/>
        <w:rPr>
          <w:rFonts w:hint="eastAsia" w:ascii="宋体" w:hAnsi="宋体" w:eastAsia="宋体" w:cs="宋体"/>
          <w:b/>
          <w:bCs/>
          <w:color w:val="auto"/>
          <w:sz w:val="52"/>
          <w:szCs w:val="60"/>
          <w:highlight w:val="none"/>
        </w:rPr>
      </w:pPr>
    </w:p>
    <w:p w14:paraId="173A3645">
      <w:pPr>
        <w:jc w:val="center"/>
        <w:rPr>
          <w:rFonts w:hint="eastAsia" w:ascii="宋体" w:hAnsi="宋体" w:eastAsia="宋体" w:cs="宋体"/>
          <w:b/>
          <w:bCs/>
          <w:color w:val="auto"/>
          <w:sz w:val="96"/>
          <w:szCs w:val="144"/>
          <w:highlight w:val="none"/>
          <w:lang w:val="en-US" w:eastAsia="zh-CN"/>
        </w:rPr>
      </w:pPr>
      <w:r>
        <w:rPr>
          <w:rFonts w:hint="eastAsia" w:ascii="宋体" w:hAnsi="宋体" w:eastAsia="宋体" w:cs="宋体"/>
          <w:b/>
          <w:bCs/>
          <w:color w:val="auto"/>
          <w:sz w:val="96"/>
          <w:szCs w:val="144"/>
          <w:highlight w:val="none"/>
          <w:lang w:val="en-US" w:eastAsia="zh-CN"/>
        </w:rPr>
        <w:t>招标文件</w:t>
      </w:r>
    </w:p>
    <w:p w14:paraId="196A5FF2">
      <w:pPr>
        <w:jc w:val="center"/>
        <w:rPr>
          <w:rFonts w:hint="eastAsia" w:ascii="宋体" w:hAnsi="宋体" w:eastAsia="宋体" w:cs="宋体"/>
          <w:b w:val="0"/>
          <w:bCs w:val="0"/>
          <w:color w:val="auto"/>
          <w:sz w:val="44"/>
          <w:szCs w:val="52"/>
          <w:highlight w:val="none"/>
          <w:lang w:val="en-US" w:eastAsia="zh-CN"/>
        </w:rPr>
      </w:pPr>
    </w:p>
    <w:p w14:paraId="1230A33E">
      <w:pPr>
        <w:jc w:val="center"/>
        <w:rPr>
          <w:rFonts w:hint="eastAsia" w:ascii="宋体" w:hAnsi="宋体" w:eastAsia="宋体" w:cs="宋体"/>
          <w:b w:val="0"/>
          <w:bCs w:val="0"/>
          <w:color w:val="auto"/>
          <w:sz w:val="44"/>
          <w:szCs w:val="52"/>
          <w:highlight w:val="none"/>
          <w:lang w:val="en-US" w:eastAsia="zh-CN"/>
        </w:rPr>
      </w:pPr>
    </w:p>
    <w:p w14:paraId="7991F701">
      <w:pPr>
        <w:jc w:val="center"/>
        <w:rPr>
          <w:rFonts w:hint="eastAsia" w:ascii="宋体" w:hAnsi="宋体" w:eastAsia="宋体" w:cs="宋体"/>
          <w:b/>
          <w:bCs/>
          <w:color w:val="auto"/>
          <w:sz w:val="44"/>
          <w:szCs w:val="52"/>
          <w:highlight w:val="none"/>
          <w:lang w:val="en-US" w:eastAsia="zh-CN"/>
        </w:rPr>
      </w:pPr>
      <w:r>
        <w:rPr>
          <w:rFonts w:hint="eastAsia" w:ascii="宋体" w:hAnsi="宋体" w:eastAsia="宋体" w:cs="宋体"/>
          <w:b/>
          <w:bCs/>
          <w:color w:val="auto"/>
          <w:sz w:val="44"/>
          <w:szCs w:val="52"/>
          <w:highlight w:val="none"/>
          <w:lang w:val="en-US" w:eastAsia="zh-CN"/>
        </w:rPr>
        <w:t>项目编号：HBZX-GC-2024-ES080</w:t>
      </w:r>
    </w:p>
    <w:p w14:paraId="6C2AA4C3">
      <w:pPr>
        <w:jc w:val="center"/>
        <w:rPr>
          <w:rFonts w:hint="eastAsia" w:ascii="宋体" w:hAnsi="宋体" w:eastAsia="宋体" w:cs="宋体"/>
          <w:b w:val="0"/>
          <w:bCs w:val="0"/>
          <w:color w:val="auto"/>
          <w:sz w:val="44"/>
          <w:szCs w:val="52"/>
          <w:highlight w:val="none"/>
          <w:lang w:val="en-US" w:eastAsia="zh-CN"/>
        </w:rPr>
      </w:pPr>
    </w:p>
    <w:p w14:paraId="30DDD29E">
      <w:pPr>
        <w:jc w:val="center"/>
        <w:rPr>
          <w:rFonts w:hint="eastAsia" w:ascii="宋体" w:hAnsi="宋体" w:eastAsia="宋体" w:cs="宋体"/>
          <w:b w:val="0"/>
          <w:bCs w:val="0"/>
          <w:color w:val="auto"/>
          <w:sz w:val="44"/>
          <w:szCs w:val="52"/>
          <w:highlight w:val="none"/>
          <w:lang w:val="en-US" w:eastAsia="zh-CN"/>
        </w:rPr>
      </w:pPr>
    </w:p>
    <w:p w14:paraId="660B5F25">
      <w:pPr>
        <w:jc w:val="center"/>
        <w:rPr>
          <w:rFonts w:hint="eastAsia" w:ascii="宋体" w:hAnsi="宋体" w:eastAsia="宋体" w:cs="宋体"/>
          <w:b w:val="0"/>
          <w:bCs w:val="0"/>
          <w:color w:val="auto"/>
          <w:sz w:val="44"/>
          <w:szCs w:val="52"/>
          <w:highlight w:val="none"/>
          <w:lang w:val="en-US" w:eastAsia="zh-CN"/>
        </w:rPr>
      </w:pPr>
    </w:p>
    <w:p w14:paraId="6D33E5DE">
      <w:pPr>
        <w:jc w:val="center"/>
        <w:rPr>
          <w:rFonts w:hint="eastAsia" w:ascii="宋体" w:hAnsi="宋体" w:eastAsia="宋体" w:cs="宋体"/>
          <w:b w:val="0"/>
          <w:bCs w:val="0"/>
          <w:color w:val="auto"/>
          <w:sz w:val="44"/>
          <w:szCs w:val="52"/>
          <w:highlight w:val="none"/>
          <w:lang w:val="en-US" w:eastAsia="zh-CN"/>
        </w:rPr>
      </w:pPr>
    </w:p>
    <w:p w14:paraId="7D238731">
      <w:pPr>
        <w:jc w:val="center"/>
        <w:rPr>
          <w:rFonts w:hint="eastAsia" w:ascii="宋体" w:hAnsi="宋体" w:eastAsia="宋体" w:cs="宋体"/>
          <w:b w:val="0"/>
          <w:bCs w:val="0"/>
          <w:color w:val="auto"/>
          <w:sz w:val="44"/>
          <w:szCs w:val="52"/>
          <w:highlight w:val="none"/>
          <w:lang w:val="en-US" w:eastAsia="zh-CN"/>
        </w:rPr>
      </w:pPr>
    </w:p>
    <w:p w14:paraId="54A246A6">
      <w:pPr>
        <w:jc w:val="center"/>
        <w:rPr>
          <w:rFonts w:hint="eastAsia" w:ascii="宋体" w:hAnsi="宋体" w:eastAsia="宋体" w:cs="宋体"/>
          <w:b w:val="0"/>
          <w:bCs w:val="0"/>
          <w:color w:val="auto"/>
          <w:sz w:val="40"/>
          <w:szCs w:val="48"/>
          <w:highlight w:val="none"/>
          <w:lang w:val="en-US" w:eastAsia="zh-CN"/>
        </w:rPr>
      </w:pPr>
      <w:r>
        <w:rPr>
          <w:rFonts w:hint="eastAsia" w:ascii="宋体" w:hAnsi="宋体" w:eastAsia="宋体" w:cs="宋体"/>
          <w:b w:val="0"/>
          <w:bCs w:val="0"/>
          <w:color w:val="auto"/>
          <w:sz w:val="40"/>
          <w:szCs w:val="48"/>
          <w:highlight w:val="none"/>
          <w:lang w:val="en-US" w:eastAsia="zh-CN"/>
        </w:rPr>
        <w:t>招标人：宣恩仙山贡水商贸有限公司</w:t>
      </w:r>
    </w:p>
    <w:p w14:paraId="6EAF9ADF">
      <w:pPr>
        <w:jc w:val="center"/>
        <w:rPr>
          <w:rFonts w:hint="eastAsia" w:ascii="宋体" w:hAnsi="宋体" w:eastAsia="宋体" w:cs="宋体"/>
          <w:b w:val="0"/>
          <w:bCs w:val="0"/>
          <w:color w:val="auto"/>
          <w:sz w:val="40"/>
          <w:szCs w:val="48"/>
          <w:highlight w:val="none"/>
          <w:lang w:val="en-US" w:eastAsia="zh-CN"/>
        </w:rPr>
      </w:pPr>
      <w:r>
        <w:rPr>
          <w:rFonts w:hint="eastAsia" w:ascii="宋体" w:hAnsi="宋体" w:eastAsia="宋体" w:cs="宋体"/>
          <w:b w:val="0"/>
          <w:bCs w:val="0"/>
          <w:color w:val="auto"/>
          <w:sz w:val="40"/>
          <w:szCs w:val="48"/>
          <w:highlight w:val="none"/>
          <w:lang w:val="en-US" w:eastAsia="zh-CN"/>
        </w:rPr>
        <w:t>招标代理机构：湖北省致兴工程管理有限公司</w:t>
      </w:r>
    </w:p>
    <w:p w14:paraId="744002AA">
      <w:pPr>
        <w:jc w:val="center"/>
        <w:rPr>
          <w:rFonts w:hint="eastAsia" w:ascii="宋体" w:hAnsi="宋体" w:eastAsia="宋体" w:cs="宋体"/>
          <w:b w:val="0"/>
          <w:bCs w:val="0"/>
          <w:color w:val="auto"/>
          <w:sz w:val="40"/>
          <w:szCs w:val="48"/>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b w:val="0"/>
          <w:bCs w:val="0"/>
          <w:color w:val="auto"/>
          <w:sz w:val="40"/>
          <w:szCs w:val="48"/>
          <w:highlight w:val="none"/>
          <w:lang w:val="en-US" w:eastAsia="zh-CN"/>
        </w:rPr>
        <w:t>二〇二四年十二月</w:t>
      </w:r>
    </w:p>
    <w:p w14:paraId="6EABC351">
      <w:pPr>
        <w:bidi w:val="0"/>
        <w:jc w:val="center"/>
        <w:rPr>
          <w:rFonts w:hint="eastAsia" w:ascii="宋体" w:hAnsi="宋体" w:eastAsia="宋体" w:cs="宋体"/>
          <w:b/>
          <w:bCs/>
          <w:color w:val="auto"/>
          <w:sz w:val="36"/>
          <w:szCs w:val="44"/>
          <w:highlight w:val="none"/>
          <w:lang w:val="en-US" w:eastAsia="zh-CN"/>
        </w:rPr>
      </w:pPr>
      <w:r>
        <w:rPr>
          <w:rFonts w:hint="eastAsia" w:ascii="宋体" w:hAnsi="宋体" w:eastAsia="宋体" w:cs="宋体"/>
          <w:b/>
          <w:bCs/>
          <w:color w:val="auto"/>
          <w:sz w:val="36"/>
          <w:szCs w:val="44"/>
          <w:highlight w:val="none"/>
          <w:lang w:val="en-US" w:eastAsia="zh-CN"/>
        </w:rPr>
        <w:t>目录</w:t>
      </w:r>
    </w:p>
    <w:p w14:paraId="240F4F7E">
      <w:pPr>
        <w:pStyle w:val="18"/>
        <w:tabs>
          <w:tab w:val="right" w:leader="dot" w:pos="8306"/>
        </w:tabs>
        <w:rPr>
          <w:rFonts w:hint="eastAsia" w:ascii="宋体" w:hAnsi="宋体" w:eastAsia="宋体" w:cs="宋体"/>
          <w:color w:val="auto"/>
          <w:highlight w:val="none"/>
        </w:rPr>
      </w:pPr>
      <w:r>
        <w:rPr>
          <w:rFonts w:hint="eastAsia" w:ascii="宋体" w:hAnsi="宋体" w:eastAsia="宋体" w:cs="宋体"/>
          <w:b/>
          <w:bCs/>
          <w:color w:val="auto"/>
          <w:sz w:val="24"/>
          <w:szCs w:val="24"/>
          <w:highlight w:val="none"/>
          <w:lang w:val="en-US" w:eastAsia="zh-CN"/>
        </w:rPr>
        <w:fldChar w:fldCharType="begin"/>
      </w:r>
      <w:r>
        <w:rPr>
          <w:rFonts w:hint="eastAsia" w:ascii="宋体" w:hAnsi="宋体" w:eastAsia="宋体" w:cs="宋体"/>
          <w:b/>
          <w:bCs/>
          <w:color w:val="auto"/>
          <w:sz w:val="24"/>
          <w:szCs w:val="24"/>
          <w:highlight w:val="none"/>
          <w:lang w:val="en-US" w:eastAsia="zh-CN"/>
        </w:rPr>
        <w:instrText xml:space="preserve">TOC \o "1-3" \h \u </w:instrText>
      </w:r>
      <w:r>
        <w:rPr>
          <w:rFonts w:hint="eastAsia" w:ascii="宋体" w:hAnsi="宋体" w:eastAsia="宋体" w:cs="宋体"/>
          <w:b/>
          <w:bCs/>
          <w:color w:val="auto"/>
          <w:sz w:val="24"/>
          <w:szCs w:val="24"/>
          <w:highlight w:val="none"/>
          <w:lang w:val="en-US" w:eastAsia="zh-CN"/>
        </w:rPr>
        <w:fldChar w:fldCharType="separate"/>
      </w: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_Toc17817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bCs w:val="0"/>
          <w:color w:val="auto"/>
          <w:szCs w:val="48"/>
          <w:highlight w:val="none"/>
        </w:rPr>
        <w:t>第一章招标公告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_Toc17817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791424F8">
      <w:pPr>
        <w:pStyle w:val="21"/>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_Toc29840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color w:val="auto"/>
          <w:highlight w:val="none"/>
        </w:rPr>
        <w:t>1.招标条件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_Toc29840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14236C95">
      <w:pPr>
        <w:pStyle w:val="21"/>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_Toc6726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color w:val="auto"/>
          <w:highlight w:val="none"/>
        </w:rPr>
        <w:t>2.项目概况</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_Toc6726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30DEF60B">
      <w:pPr>
        <w:pStyle w:val="21"/>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_Toc22402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color w:val="auto"/>
          <w:highlight w:val="none"/>
          <w:lang w:val="en-US" w:eastAsia="zh-CN"/>
        </w:rPr>
        <w:t>3.供应商的资格要求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_Toc22402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1250C928">
      <w:pPr>
        <w:pStyle w:val="21"/>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_Toc551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color w:val="auto"/>
          <w:highlight w:val="none"/>
          <w:lang w:val="en-US" w:eastAsia="zh-CN"/>
        </w:rPr>
        <w:t>4.资格审查方式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_Toc551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7BAA885C">
      <w:pPr>
        <w:pStyle w:val="21"/>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_Toc21211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color w:val="auto"/>
          <w:highlight w:val="none"/>
          <w:lang w:val="en-US" w:eastAsia="zh-CN"/>
        </w:rPr>
        <w:t>5.招标文件获取</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_Toc21211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544C220D">
      <w:pPr>
        <w:pStyle w:val="21"/>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_Toc18378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color w:val="auto"/>
          <w:highlight w:val="none"/>
          <w:lang w:val="en-US" w:eastAsia="zh-CN"/>
        </w:rPr>
        <w:t>6.投标文件的递交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_Toc18378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1DABABA1">
      <w:pPr>
        <w:pStyle w:val="21"/>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_Toc26891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color w:val="auto"/>
          <w:highlight w:val="none"/>
          <w:lang w:val="en-US" w:eastAsia="zh-CN"/>
        </w:rPr>
        <w:t>7.发布公告的媒介</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_Toc26891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742A1A22">
      <w:pPr>
        <w:pStyle w:val="21"/>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_Toc9614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color w:val="auto"/>
          <w:highlight w:val="none"/>
          <w:lang w:val="en-US" w:eastAsia="zh-CN"/>
        </w:rPr>
        <w:t>8.联系方式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_Toc9614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3B9DD054">
      <w:pPr>
        <w:pStyle w:val="18"/>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_Toc28126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bCs w:val="0"/>
          <w:color w:val="auto"/>
          <w:szCs w:val="48"/>
          <w:highlight w:val="none"/>
        </w:rPr>
        <w:t>第二章</w:t>
      </w:r>
      <w:r>
        <w:rPr>
          <w:rFonts w:hint="eastAsia" w:ascii="宋体" w:hAnsi="宋体" w:eastAsia="宋体" w:cs="宋体"/>
          <w:bCs w:val="0"/>
          <w:color w:val="auto"/>
          <w:szCs w:val="48"/>
          <w:highlight w:val="none"/>
          <w:lang w:val="en-US" w:eastAsia="zh-CN"/>
        </w:rPr>
        <w:t>供应商</w:t>
      </w:r>
      <w:r>
        <w:rPr>
          <w:rFonts w:hint="eastAsia" w:ascii="宋体" w:hAnsi="宋体" w:eastAsia="宋体" w:cs="宋体"/>
          <w:bCs w:val="0"/>
          <w:color w:val="auto"/>
          <w:szCs w:val="48"/>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_Toc28126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3AF610E7">
      <w:pPr>
        <w:pStyle w:val="21"/>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_Toc16213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color w:val="auto"/>
          <w:szCs w:val="28"/>
          <w:highlight w:val="none"/>
        </w:rPr>
        <w:t>1.总则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_Toc16213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1908914F">
      <w:pPr>
        <w:pStyle w:val="12"/>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_Toc8169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bCs/>
          <w:color w:val="auto"/>
          <w:highlight w:val="none"/>
        </w:rPr>
        <w:t>1.1项目概况</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_Toc8169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1B611092">
      <w:pPr>
        <w:pStyle w:val="12"/>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_Toc17071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bCs/>
          <w:color w:val="auto"/>
          <w:highlight w:val="none"/>
        </w:rPr>
        <w:t>1.2 资金来源和落实情况</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_Toc17071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3972E239">
      <w:pPr>
        <w:pStyle w:val="12"/>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_Toc649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bCs/>
          <w:color w:val="auto"/>
          <w:highlight w:val="none"/>
        </w:rPr>
        <w:t>1.3 招标内容、服务地点、服务周期要求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_Toc649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2A9A9C03">
      <w:pPr>
        <w:pStyle w:val="12"/>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_Toc10602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bCs/>
          <w:color w:val="auto"/>
          <w:highlight w:val="none"/>
        </w:rPr>
        <w:t xml:space="preserve">1.4 </w:t>
      </w:r>
      <w:r>
        <w:rPr>
          <w:rFonts w:hint="eastAsia" w:ascii="宋体" w:hAnsi="宋体" w:eastAsia="宋体" w:cs="宋体"/>
          <w:bCs/>
          <w:color w:val="auto"/>
          <w:highlight w:val="none"/>
          <w:lang w:eastAsia="zh-CN"/>
        </w:rPr>
        <w:t>供应商</w:t>
      </w:r>
      <w:r>
        <w:rPr>
          <w:rFonts w:hint="eastAsia" w:ascii="宋体" w:hAnsi="宋体" w:eastAsia="宋体" w:cs="宋体"/>
          <w:bCs/>
          <w:color w:val="auto"/>
          <w:highlight w:val="none"/>
        </w:rPr>
        <w:t>资格要求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_Toc10602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5BB4BDA0">
      <w:pPr>
        <w:pStyle w:val="12"/>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_Toc9385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bCs/>
          <w:color w:val="auto"/>
          <w:highlight w:val="none"/>
        </w:rPr>
        <w:t>1.5 费用承担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_Toc9385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4B9BE436">
      <w:pPr>
        <w:pStyle w:val="21"/>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_Toc14773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color w:val="auto"/>
          <w:szCs w:val="28"/>
          <w:highlight w:val="none"/>
        </w:rPr>
        <w:t>2.招标文件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_Toc14773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187AD6AA">
      <w:pPr>
        <w:pStyle w:val="12"/>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_Toc8938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bCs/>
          <w:color w:val="auto"/>
          <w:highlight w:val="none"/>
        </w:rPr>
        <w:t>2.1 招标文件的组成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_Toc8938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1AC72AA9">
      <w:pPr>
        <w:pStyle w:val="12"/>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_Toc30767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bCs/>
          <w:color w:val="auto"/>
          <w:highlight w:val="none"/>
        </w:rPr>
        <w:t>2.2 招标文件的澄清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_Toc30767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4DE9A9AF">
      <w:pPr>
        <w:pStyle w:val="12"/>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_Toc26598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bCs/>
          <w:color w:val="auto"/>
          <w:highlight w:val="none"/>
        </w:rPr>
        <w:t>2.3 招标文件的修改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4A0BBE59">
      <w:pPr>
        <w:pStyle w:val="12"/>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_Toc9115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bCs/>
          <w:color w:val="auto"/>
          <w:highlight w:val="none"/>
        </w:rPr>
        <w:t>2.4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_Toc9115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62EAC7D4">
      <w:pPr>
        <w:pStyle w:val="21"/>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_Toc928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color w:val="auto"/>
          <w:szCs w:val="28"/>
          <w:highlight w:val="none"/>
        </w:rPr>
        <w:t>3.投标文件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5325DD9B">
      <w:pPr>
        <w:pStyle w:val="12"/>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_Toc20244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bCs/>
          <w:color w:val="auto"/>
          <w:highlight w:val="none"/>
        </w:rPr>
        <w:t>3.1投标文件的组成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_Toc20244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207DFE07">
      <w:pPr>
        <w:pStyle w:val="12"/>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_Toc31586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bCs/>
          <w:color w:val="auto"/>
          <w:highlight w:val="none"/>
        </w:rPr>
        <w:t>3.2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_Toc31586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009D97E9">
      <w:pPr>
        <w:pStyle w:val="12"/>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_Toc5871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bCs/>
          <w:color w:val="auto"/>
          <w:highlight w:val="none"/>
        </w:rPr>
        <w:t>3.3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_Toc5871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5AA54C86">
      <w:pPr>
        <w:pStyle w:val="12"/>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_Toc15763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bCs/>
          <w:color w:val="auto"/>
          <w:highlight w:val="none"/>
        </w:rPr>
        <w:t>3.5 资格审查资料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_Toc15763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2B81984A">
      <w:pPr>
        <w:pStyle w:val="12"/>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_Toc3508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bCs/>
          <w:color w:val="auto"/>
          <w:highlight w:val="none"/>
        </w:rPr>
        <w:t>3.6 备选投标方案</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_Toc3508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41CE2CE9">
      <w:pPr>
        <w:pStyle w:val="12"/>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_Toc341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bCs/>
          <w:color w:val="auto"/>
          <w:highlight w:val="none"/>
        </w:rPr>
        <w:t>3.7 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55C58213">
      <w:pPr>
        <w:pStyle w:val="21"/>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_Toc10709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color w:val="auto"/>
          <w:szCs w:val="28"/>
          <w:highlight w:val="none"/>
        </w:rPr>
        <w:t>4.投标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_Toc10709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682F9742">
      <w:pPr>
        <w:pStyle w:val="12"/>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_Toc22498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bCs/>
          <w:color w:val="auto"/>
          <w:highlight w:val="none"/>
        </w:rPr>
        <w:t>4.1 投标文件的密封和标识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_Toc22498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2C0CF3EE">
      <w:pPr>
        <w:pStyle w:val="12"/>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_Toc512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bCs/>
          <w:color w:val="auto"/>
          <w:highlight w:val="none"/>
        </w:rPr>
        <w:t>4.2 投标文件的递交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620FF1DF">
      <w:pPr>
        <w:pStyle w:val="12"/>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_Toc9732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bCs/>
          <w:color w:val="auto"/>
          <w:highlight w:val="none"/>
        </w:rPr>
        <w:t>4.3 投标文件的修改与撤回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_Toc9732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7D09CA4D">
      <w:pPr>
        <w:pStyle w:val="21"/>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_Toc21838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color w:val="auto"/>
          <w:szCs w:val="28"/>
          <w:highlight w:val="none"/>
        </w:rPr>
        <w:t>5.开标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_Toc21838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30D64614">
      <w:pPr>
        <w:pStyle w:val="21"/>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_Toc11805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color w:val="auto"/>
          <w:szCs w:val="28"/>
          <w:highlight w:val="none"/>
        </w:rPr>
        <w:t>6.评标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_Toc11805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18C9C2FD">
      <w:pPr>
        <w:pStyle w:val="12"/>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_Toc1434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bCs/>
          <w:color w:val="auto"/>
          <w:highlight w:val="none"/>
        </w:rPr>
        <w:t>6.1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08C4FE81">
      <w:pPr>
        <w:pStyle w:val="12"/>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_Toc22422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bCs/>
          <w:color w:val="auto"/>
          <w:highlight w:val="none"/>
        </w:rPr>
        <w:t>6.2 评标原则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_Toc22422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0CC1A4A3">
      <w:pPr>
        <w:pStyle w:val="12"/>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_Toc7610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bCs/>
          <w:color w:val="auto"/>
          <w:highlight w:val="none"/>
        </w:rPr>
        <w:t>6.3 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_Toc7610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31206FDC">
      <w:pPr>
        <w:pStyle w:val="12"/>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_Toc1717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bCs/>
          <w:color w:val="auto"/>
          <w:kern w:val="2"/>
          <w:szCs w:val="24"/>
          <w:highlight w:val="none"/>
          <w:lang w:val="en-US" w:eastAsia="zh-CN" w:bidi="ar-SA"/>
        </w:rPr>
        <w:t>6.4 投标文件的符合性检查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1F3FDD2D">
      <w:pPr>
        <w:pStyle w:val="12"/>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_Toc2687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bCs/>
          <w:color w:val="auto"/>
          <w:kern w:val="2"/>
          <w:szCs w:val="24"/>
          <w:highlight w:val="none"/>
          <w:lang w:val="en-US" w:eastAsia="zh-CN" w:bidi="ar-SA"/>
        </w:rPr>
        <w:t>6.5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_Toc2687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27FEFF33">
      <w:pPr>
        <w:pStyle w:val="12"/>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_Toc12323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bCs/>
          <w:color w:val="auto"/>
          <w:kern w:val="2"/>
          <w:szCs w:val="24"/>
          <w:highlight w:val="none"/>
          <w:lang w:val="en-US" w:eastAsia="zh-CN" w:bidi="ar-SA"/>
        </w:rPr>
        <w:t>6.6 授标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_Toc12323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3961EDC4">
      <w:pPr>
        <w:pStyle w:val="21"/>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_Toc9372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color w:val="auto"/>
          <w:szCs w:val="28"/>
          <w:highlight w:val="none"/>
        </w:rPr>
        <w:t>7.合同授予</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_Toc9372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22B7934A">
      <w:pPr>
        <w:pStyle w:val="12"/>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_Toc28080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bCs/>
          <w:color w:val="auto"/>
          <w:highlight w:val="none"/>
        </w:rPr>
        <w:t>7.1 定标方式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_Toc28080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48E2CD48">
      <w:pPr>
        <w:pStyle w:val="12"/>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_Toc23273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bCs/>
          <w:color w:val="auto"/>
          <w:highlight w:val="none"/>
        </w:rPr>
        <w:t>7.2 评标结果公示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_Toc23273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094CBB96">
      <w:pPr>
        <w:pStyle w:val="12"/>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_Toc17935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bCs/>
          <w:color w:val="auto"/>
          <w:highlight w:val="none"/>
        </w:rPr>
        <w:t>7.3 履约能力的审查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_Toc17935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75D1AD0F">
      <w:pPr>
        <w:pStyle w:val="12"/>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_Toc1950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bCs/>
          <w:color w:val="auto"/>
          <w:highlight w:val="none"/>
        </w:rPr>
        <w:t>7.4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26BC6CEC">
      <w:pPr>
        <w:pStyle w:val="12"/>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_Toc10145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bCs/>
          <w:color w:val="auto"/>
          <w:highlight w:val="none"/>
        </w:rPr>
        <w:t>7.5 履约保证金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_Toc10145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5EFF9424">
      <w:pPr>
        <w:pStyle w:val="12"/>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_Toc4212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bCs/>
          <w:color w:val="auto"/>
          <w:highlight w:val="none"/>
        </w:rPr>
        <w:t>7.6 签订合同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_Toc4212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36ADDBA8">
      <w:pPr>
        <w:pStyle w:val="21"/>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_Toc22166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color w:val="auto"/>
          <w:szCs w:val="28"/>
          <w:highlight w:val="none"/>
        </w:rPr>
        <w:t>8.重新招标、不再招标和终止招标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_Toc22166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3904BD72">
      <w:pPr>
        <w:pStyle w:val="12"/>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_Toc12501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bCs/>
          <w:color w:val="auto"/>
          <w:highlight w:val="none"/>
        </w:rPr>
        <w:t>8.1 重新招标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3927C7BD">
      <w:pPr>
        <w:pStyle w:val="12"/>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_Toc20696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bCs/>
          <w:color w:val="auto"/>
          <w:highlight w:val="none"/>
        </w:rPr>
        <w:t>8.2 不再招标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_Toc20696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35B5BCEF">
      <w:pPr>
        <w:pStyle w:val="12"/>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_Toc1663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bCs/>
          <w:color w:val="auto"/>
          <w:highlight w:val="none"/>
        </w:rPr>
        <w:t>8.3 终止招标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_Toc1663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29E68826">
      <w:pPr>
        <w:pStyle w:val="21"/>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_Toc32423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color w:val="auto"/>
          <w:szCs w:val="28"/>
          <w:highlight w:val="none"/>
        </w:rPr>
        <w:t>9.纪律和监督</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_Toc32423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06E535FD">
      <w:pPr>
        <w:pStyle w:val="12"/>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_Toc31813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bCs/>
          <w:color w:val="auto"/>
          <w:highlight w:val="none"/>
        </w:rPr>
        <w:t>9.1 对招标人的纪律要求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_Toc31813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4FA43737">
      <w:pPr>
        <w:pStyle w:val="12"/>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_Toc31958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bCs/>
          <w:color w:val="auto"/>
          <w:highlight w:val="none"/>
        </w:rPr>
        <w:t>9.2 对</w:t>
      </w:r>
      <w:r>
        <w:rPr>
          <w:rFonts w:hint="eastAsia" w:ascii="宋体" w:hAnsi="宋体" w:eastAsia="宋体" w:cs="宋体"/>
          <w:bCs/>
          <w:color w:val="auto"/>
          <w:highlight w:val="none"/>
          <w:lang w:eastAsia="zh-CN"/>
        </w:rPr>
        <w:t>供应商</w:t>
      </w:r>
      <w:r>
        <w:rPr>
          <w:rFonts w:hint="eastAsia" w:ascii="宋体" w:hAnsi="宋体" w:eastAsia="宋体" w:cs="宋体"/>
          <w:bCs/>
          <w:color w:val="auto"/>
          <w:highlight w:val="none"/>
        </w:rPr>
        <w:t>的纪律要求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_Toc31958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3386311A">
      <w:pPr>
        <w:pStyle w:val="12"/>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_Toc19413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bCs/>
          <w:color w:val="auto"/>
          <w:highlight w:val="none"/>
        </w:rPr>
        <w:t>9.3 对评标委员会成员的纪律要求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_Toc19413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1D06EEF3">
      <w:pPr>
        <w:pStyle w:val="12"/>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_Toc30198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bCs/>
          <w:color w:val="auto"/>
          <w:highlight w:val="none"/>
        </w:rPr>
        <w:t>9.4 对与评标活动有关的工作人员的纪律要求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_Toc30198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5A1EBF31">
      <w:pPr>
        <w:pStyle w:val="12"/>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_Toc22184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bCs/>
          <w:color w:val="auto"/>
          <w:highlight w:val="none"/>
        </w:rPr>
        <w:t>9.5 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_Toc22184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6CB6AF88">
      <w:pPr>
        <w:pStyle w:val="21"/>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_Toc27140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color w:val="auto"/>
          <w:szCs w:val="28"/>
          <w:highlight w:val="none"/>
        </w:rPr>
        <w:t>10.需要补充的其他内容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_Toc27140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4F60F5B7">
      <w:pPr>
        <w:pStyle w:val="18"/>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_Toc22413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bCs/>
          <w:color w:val="auto"/>
          <w:szCs w:val="28"/>
          <w:highlight w:val="none"/>
        </w:rPr>
        <w:t>第三章 招标要求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_Toc22413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30E666C5">
      <w:pPr>
        <w:pStyle w:val="21"/>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_Toc77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color w:val="auto"/>
          <w:highlight w:val="none"/>
          <w:lang w:val="en-US" w:eastAsia="zh-CN"/>
        </w:rPr>
        <w:t>一、招标内容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453E0F75">
      <w:pPr>
        <w:pStyle w:val="21"/>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_Toc14699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color w:val="auto"/>
          <w:highlight w:val="none"/>
        </w:rPr>
        <w:t>二、</w:t>
      </w:r>
      <w:r>
        <w:rPr>
          <w:rFonts w:hint="eastAsia" w:ascii="宋体" w:hAnsi="宋体" w:eastAsia="宋体" w:cs="宋体"/>
          <w:bCs/>
          <w:color w:val="auto"/>
          <w:szCs w:val="24"/>
          <w:highlight w:val="none"/>
          <w:lang w:val="en-US" w:eastAsia="zh-CN"/>
        </w:rPr>
        <w:t>供货技术及服务要求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_Toc14699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223BFA47">
      <w:pPr>
        <w:pStyle w:val="21"/>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_Toc7588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rPr>
        <w:t>、对</w:t>
      </w:r>
      <w:r>
        <w:rPr>
          <w:rFonts w:hint="eastAsia" w:ascii="宋体" w:hAnsi="宋体" w:eastAsia="宋体" w:cs="宋体"/>
          <w:color w:val="auto"/>
          <w:highlight w:val="none"/>
          <w:lang w:val="en-US" w:eastAsia="zh-CN"/>
        </w:rPr>
        <w:t>入围</w:t>
      </w:r>
      <w:r>
        <w:rPr>
          <w:rFonts w:hint="eastAsia" w:ascii="宋体" w:hAnsi="宋体" w:eastAsia="宋体" w:cs="宋体"/>
          <w:color w:val="auto"/>
          <w:highlight w:val="none"/>
        </w:rPr>
        <w:t>供应商的要求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_Toc7588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29</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375A460F">
      <w:pPr>
        <w:pStyle w:val="21"/>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_Toc1326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color w:val="auto"/>
          <w:highlight w:val="none"/>
          <w:lang w:val="en-US" w:eastAsia="zh-CN"/>
        </w:rPr>
        <w:t>四、食品类责任要求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_Toc1326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29</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69F3B5A9">
      <w:pPr>
        <w:pStyle w:val="21"/>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_Toc2338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color w:val="auto"/>
          <w:highlight w:val="none"/>
          <w:lang w:val="en-US" w:eastAsia="zh-CN"/>
        </w:rPr>
        <w:t>五、其他要求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30</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21D2B484">
      <w:pPr>
        <w:pStyle w:val="18"/>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_Toc10234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color w:val="auto"/>
          <w:kern w:val="44"/>
          <w:szCs w:val="48"/>
          <w:highlight w:val="none"/>
        </w:rPr>
        <w:t>第四章评标方法（综合评分法）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_Toc10234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31</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7387C9F2">
      <w:pPr>
        <w:pStyle w:val="21"/>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_Toc31751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color w:val="auto"/>
          <w:spacing w:val="12"/>
          <w:szCs w:val="28"/>
          <w:highlight w:val="none"/>
        </w:rPr>
        <w:t>评标办法前附表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_Toc31751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31</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5EFB518C">
      <w:pPr>
        <w:pStyle w:val="21"/>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_Toc7535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color w:val="auto"/>
          <w:szCs w:val="28"/>
          <w:highlight w:val="none"/>
          <w:lang w:val="en-US" w:eastAsia="zh-CN"/>
        </w:rPr>
        <w:t>1</w:t>
      </w:r>
      <w:r>
        <w:rPr>
          <w:rFonts w:hint="eastAsia" w:ascii="宋体" w:hAnsi="宋体" w:eastAsia="宋体" w:cs="宋体"/>
          <w:color w:val="auto"/>
          <w:szCs w:val="28"/>
          <w:highlight w:val="none"/>
        </w:rPr>
        <w:t>.评标方法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_Toc7535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38</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4E6CA5E3">
      <w:pPr>
        <w:pStyle w:val="21"/>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_Toc4669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color w:val="auto"/>
          <w:szCs w:val="28"/>
          <w:highlight w:val="none"/>
        </w:rPr>
        <w:t>2.评审标准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_Toc4669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38</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3708710D">
      <w:pPr>
        <w:pStyle w:val="12"/>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_Toc12544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bCs/>
          <w:color w:val="auto"/>
          <w:highlight w:val="none"/>
        </w:rPr>
        <w:t>2.1初步评审标准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_Toc12544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38</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37C37C45">
      <w:pPr>
        <w:pStyle w:val="12"/>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_Toc26142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bCs/>
          <w:color w:val="auto"/>
          <w:highlight w:val="none"/>
        </w:rPr>
        <w:t>2.2详细评审标准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_Toc26142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38</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55770911">
      <w:pPr>
        <w:pStyle w:val="21"/>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_Toc14270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color w:val="auto"/>
          <w:szCs w:val="28"/>
          <w:highlight w:val="none"/>
        </w:rPr>
        <w:t>3.评标程序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_Toc14270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39</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749DA74D">
      <w:pPr>
        <w:pStyle w:val="12"/>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_Toc16482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bCs/>
          <w:color w:val="auto"/>
          <w:highlight w:val="none"/>
        </w:rPr>
        <w:t>3.1初步评审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_Toc16482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39</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3F7C3887">
      <w:pPr>
        <w:pStyle w:val="12"/>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_Toc31898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bCs/>
          <w:color w:val="auto"/>
          <w:highlight w:val="none"/>
        </w:rPr>
        <w:t>3.2详细评审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_Toc31898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40</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5C4C1EA3">
      <w:pPr>
        <w:pStyle w:val="12"/>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_Toc6520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bCs/>
          <w:color w:val="auto"/>
          <w:highlight w:val="none"/>
        </w:rPr>
        <w:t>3.3投标文件的澄清和补正</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_Toc6520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40</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761562C1">
      <w:pPr>
        <w:pStyle w:val="12"/>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_Toc4739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bCs/>
          <w:color w:val="auto"/>
          <w:highlight w:val="none"/>
        </w:rPr>
        <w:t>3.4评标结果</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_Toc4739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40</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0E1435F4">
      <w:pPr>
        <w:pStyle w:val="18"/>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_Toc11230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color w:val="auto"/>
          <w:szCs w:val="44"/>
          <w:highlight w:val="none"/>
        </w:rPr>
        <w:t>第</w:t>
      </w:r>
      <w:r>
        <w:rPr>
          <w:rFonts w:hint="eastAsia" w:ascii="宋体" w:hAnsi="宋体" w:eastAsia="宋体" w:cs="宋体"/>
          <w:color w:val="auto"/>
          <w:szCs w:val="44"/>
          <w:highlight w:val="none"/>
          <w:lang w:val="en-US" w:eastAsia="zh-CN"/>
        </w:rPr>
        <w:t>五</w:t>
      </w:r>
      <w:r>
        <w:rPr>
          <w:rFonts w:hint="eastAsia" w:ascii="宋体" w:hAnsi="宋体" w:eastAsia="宋体" w:cs="宋体"/>
          <w:color w:val="auto"/>
          <w:szCs w:val="44"/>
          <w:highlight w:val="none"/>
        </w:rPr>
        <w:t>章 合同书格式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_Toc11230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41</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6DF5B4B9">
      <w:pPr>
        <w:pStyle w:val="18"/>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_Toc14342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color w:val="auto"/>
          <w:szCs w:val="44"/>
          <w:highlight w:val="none"/>
        </w:rPr>
        <w:t>第六章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_Toc14342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21A62819">
      <w:pPr>
        <w:pStyle w:val="21"/>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_Toc6617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_Toc6617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05DE03D2">
      <w:pPr>
        <w:pStyle w:val="21"/>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_Toc29871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val="en-US"/>
        </w:rPr>
        <w:t>、法定</w:t>
      </w:r>
      <w:r>
        <w:rPr>
          <w:rFonts w:hint="eastAsia" w:ascii="宋体" w:hAnsi="宋体" w:eastAsia="宋体" w:cs="宋体"/>
          <w:color w:val="auto"/>
          <w:highlight w:val="none"/>
        </w:rPr>
        <w:t>代表人</w:t>
      </w:r>
      <w:r>
        <w:rPr>
          <w:rFonts w:hint="eastAsia" w:ascii="宋体" w:hAnsi="宋体" w:eastAsia="宋体" w:cs="宋体"/>
          <w:color w:val="auto"/>
          <w:highlight w:val="none"/>
          <w:lang w:val="en-US" w:eastAsia="zh-CN"/>
        </w:rPr>
        <w:t>或个体工商户经营者</w:t>
      </w:r>
      <w:r>
        <w:rPr>
          <w:rFonts w:hint="eastAsia" w:ascii="宋体" w:hAnsi="宋体" w:eastAsia="宋体" w:cs="宋体"/>
          <w:color w:val="auto"/>
          <w:highlight w:val="none"/>
        </w:rPr>
        <w:t>资格证明书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_Toc29871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44</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6DF834B1">
      <w:pPr>
        <w:pStyle w:val="21"/>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_Toc27054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val="en-US"/>
        </w:rPr>
        <w:t>、</w:t>
      </w:r>
      <w:r>
        <w:rPr>
          <w:rFonts w:hint="eastAsia" w:ascii="宋体" w:hAnsi="宋体" w:eastAsia="宋体" w:cs="宋体"/>
          <w:color w:val="auto"/>
          <w:highlight w:val="none"/>
        </w:rPr>
        <w:t>法定代表人</w:t>
      </w:r>
      <w:r>
        <w:rPr>
          <w:rFonts w:hint="eastAsia" w:ascii="宋体" w:hAnsi="宋体" w:eastAsia="宋体" w:cs="宋体"/>
          <w:color w:val="auto"/>
          <w:highlight w:val="none"/>
          <w:lang w:val="en-US" w:eastAsia="zh-CN"/>
        </w:rPr>
        <w:t>或个体工商户经营者</w:t>
      </w:r>
      <w:r>
        <w:rPr>
          <w:rFonts w:hint="eastAsia" w:ascii="宋体" w:hAnsi="宋体" w:eastAsia="宋体" w:cs="宋体"/>
          <w:color w:val="auto"/>
          <w:highlight w:val="none"/>
        </w:rPr>
        <w:t>授权书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_Toc27054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45</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59DA142E">
      <w:pPr>
        <w:pStyle w:val="21"/>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_Toc9943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、供应商基本情况表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_Toc9943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46</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0E3032FC">
      <w:pPr>
        <w:pStyle w:val="21"/>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_Toc21723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color w:val="auto"/>
          <w:szCs w:val="28"/>
          <w:highlight w:val="none"/>
          <w:lang w:val="en-US" w:eastAsia="zh-CN"/>
        </w:rPr>
        <w:t>5</w:t>
      </w:r>
      <w:r>
        <w:rPr>
          <w:rFonts w:hint="eastAsia" w:ascii="宋体" w:hAnsi="宋体" w:eastAsia="宋体" w:cs="宋体"/>
          <w:color w:val="auto"/>
          <w:szCs w:val="28"/>
          <w:highlight w:val="none"/>
        </w:rPr>
        <w:t>、类似业绩表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_Toc21723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48</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287DAE91">
      <w:pPr>
        <w:pStyle w:val="21"/>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_Toc11394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val="en-US"/>
        </w:rPr>
        <w:t>技术文件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_Toc11394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49</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79E3B8AE">
      <w:pPr>
        <w:pStyle w:val="21"/>
        <w:tabs>
          <w:tab w:val="right" w:leader="dot" w:pos="8306"/>
        </w:tabs>
        <w:rPr>
          <w:rFonts w:hint="eastAsia" w:ascii="宋体" w:hAnsi="宋体" w:eastAsia="宋体" w:cs="宋体"/>
          <w:color w:val="auto"/>
          <w:highlight w:val="none"/>
        </w:rPr>
      </w:pPr>
      <w:r>
        <w:rPr>
          <w:rFonts w:hint="eastAsia" w:ascii="宋体" w:hAnsi="宋体" w:eastAsia="宋体" w:cs="宋体"/>
          <w:bCs/>
          <w:color w:val="auto"/>
          <w:szCs w:val="24"/>
          <w:highlight w:val="none"/>
          <w:lang w:val="en-US" w:eastAsia="zh-CN"/>
        </w:rPr>
        <w:fldChar w:fldCharType="begin"/>
      </w:r>
      <w:r>
        <w:rPr>
          <w:rFonts w:hint="eastAsia" w:ascii="宋体" w:hAnsi="宋体" w:eastAsia="宋体" w:cs="宋体"/>
          <w:bCs/>
          <w:color w:val="auto"/>
          <w:szCs w:val="24"/>
          <w:highlight w:val="none"/>
          <w:lang w:val="en-US" w:eastAsia="zh-CN"/>
        </w:rPr>
        <w:instrText xml:space="preserve"> HYPERLINK \l _Toc2531 </w:instrText>
      </w:r>
      <w:r>
        <w:rPr>
          <w:rFonts w:hint="eastAsia" w:ascii="宋体" w:hAnsi="宋体" w:eastAsia="宋体" w:cs="宋体"/>
          <w:bCs/>
          <w:color w:val="auto"/>
          <w:szCs w:val="24"/>
          <w:highlight w:val="none"/>
          <w:lang w:val="en-US" w:eastAsia="zh-CN"/>
        </w:rPr>
        <w:fldChar w:fldCharType="separate"/>
      </w:r>
      <w:r>
        <w:rPr>
          <w:rFonts w:hint="eastAsia" w:ascii="宋体" w:hAnsi="宋体" w:eastAsia="宋体" w:cs="宋体"/>
          <w:color w:val="auto"/>
          <w:highlight w:val="none"/>
          <w:lang w:val="en-US" w:eastAsia="zh-CN"/>
        </w:rPr>
        <w:t>7、其他</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50</w:t>
      </w:r>
      <w:r>
        <w:rPr>
          <w:rFonts w:hint="eastAsia" w:ascii="宋体" w:hAnsi="宋体" w:eastAsia="宋体" w:cs="宋体"/>
          <w:color w:val="auto"/>
          <w:highlight w:val="none"/>
        </w:rPr>
        <w:fldChar w:fldCharType="end"/>
      </w:r>
      <w:r>
        <w:rPr>
          <w:rFonts w:hint="eastAsia" w:ascii="宋体" w:hAnsi="宋体" w:eastAsia="宋体" w:cs="宋体"/>
          <w:bCs/>
          <w:color w:val="auto"/>
          <w:szCs w:val="24"/>
          <w:highlight w:val="none"/>
          <w:lang w:val="en-US" w:eastAsia="zh-CN"/>
        </w:rPr>
        <w:fldChar w:fldCharType="end"/>
      </w:r>
    </w:p>
    <w:p w14:paraId="6232B229">
      <w:pPr>
        <w:pStyle w:val="16"/>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b/>
          <w:bCs/>
          <w:color w:val="auto"/>
          <w:sz w:val="36"/>
          <w:szCs w:val="4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bCs/>
          <w:color w:val="auto"/>
          <w:szCs w:val="24"/>
          <w:highlight w:val="none"/>
          <w:lang w:val="en-US" w:eastAsia="zh-CN"/>
        </w:rPr>
        <w:fldChar w:fldCharType="end"/>
      </w:r>
    </w:p>
    <w:p w14:paraId="0ACF8DE1">
      <w:pPr>
        <w:pStyle w:val="3"/>
        <w:spacing w:line="240" w:lineRule="auto"/>
        <w:jc w:val="center"/>
        <w:rPr>
          <w:rFonts w:hint="eastAsia" w:ascii="宋体" w:hAnsi="宋体" w:eastAsia="宋体" w:cs="宋体"/>
          <w:bCs w:val="0"/>
          <w:color w:val="auto"/>
          <w:sz w:val="48"/>
          <w:szCs w:val="48"/>
          <w:highlight w:val="none"/>
        </w:rPr>
      </w:pPr>
      <w:bookmarkStart w:id="0" w:name="_Toc17817"/>
      <w:bookmarkStart w:id="1" w:name="_Toc26294"/>
      <w:bookmarkStart w:id="2" w:name="_Toc5674"/>
      <w:r>
        <w:rPr>
          <w:rFonts w:hint="eastAsia" w:ascii="宋体" w:hAnsi="宋体" w:eastAsia="宋体" w:cs="宋体"/>
          <w:bCs w:val="0"/>
          <w:color w:val="auto"/>
          <w:sz w:val="48"/>
          <w:szCs w:val="48"/>
          <w:highlight w:val="none"/>
        </w:rPr>
        <w:t>第一章</w:t>
      </w:r>
      <w:bookmarkStart w:id="3" w:name="_Toc22568"/>
      <w:r>
        <w:rPr>
          <w:rFonts w:hint="eastAsia" w:ascii="宋体" w:hAnsi="宋体" w:eastAsia="宋体" w:cs="宋体"/>
          <w:bCs w:val="0"/>
          <w:color w:val="auto"/>
          <w:sz w:val="48"/>
          <w:szCs w:val="48"/>
          <w:highlight w:val="none"/>
          <w:lang w:val="en-US" w:eastAsia="zh-CN"/>
        </w:rPr>
        <w:t xml:space="preserve"> </w:t>
      </w:r>
      <w:r>
        <w:rPr>
          <w:rFonts w:hint="eastAsia" w:ascii="宋体" w:hAnsi="宋体" w:eastAsia="宋体" w:cs="宋体"/>
          <w:bCs w:val="0"/>
          <w:color w:val="auto"/>
          <w:sz w:val="48"/>
          <w:szCs w:val="48"/>
          <w:highlight w:val="none"/>
        </w:rPr>
        <w:t>招标公告</w:t>
      </w:r>
      <w:bookmarkEnd w:id="0"/>
      <w:bookmarkEnd w:id="1"/>
      <w:bookmarkEnd w:id="2"/>
      <w:bookmarkEnd w:id="3"/>
    </w:p>
    <w:p w14:paraId="6D1C101E">
      <w:pPr>
        <w:keepNext w:val="0"/>
        <w:keepLines w:val="0"/>
        <w:pageBreakBefore w:val="0"/>
        <w:kinsoku/>
        <w:wordWrap/>
        <w:overflowPunct/>
        <w:topLinePunct w:val="0"/>
        <w:autoSpaceDE/>
        <w:autoSpaceDN/>
        <w:bidi w:val="0"/>
        <w:adjustRightInd/>
        <w:snapToGrid/>
        <w:spacing w:line="440" w:lineRule="exact"/>
        <w:jc w:val="left"/>
        <w:outlineLvl w:val="9"/>
        <w:rPr>
          <w:rFonts w:hint="eastAsia" w:ascii="宋体" w:hAnsi="宋体" w:eastAsia="宋体" w:cs="宋体"/>
          <w:b/>
          <w:bCs/>
          <w:color w:val="auto"/>
          <w:sz w:val="28"/>
          <w:szCs w:val="28"/>
          <w:highlight w:val="none"/>
        </w:rPr>
      </w:pPr>
      <w:bookmarkStart w:id="4" w:name="_Toc29840"/>
      <w:r>
        <w:rPr>
          <w:rFonts w:hint="eastAsia" w:ascii="宋体" w:hAnsi="宋体" w:eastAsia="宋体" w:cs="宋体"/>
          <w:b/>
          <w:bCs/>
          <w:color w:val="auto"/>
          <w:sz w:val="28"/>
          <w:szCs w:val="28"/>
          <w:highlight w:val="none"/>
        </w:rPr>
        <w:t>1.招标条件</w:t>
      </w:r>
      <w:bookmarkEnd w:id="4"/>
    </w:p>
    <w:p w14:paraId="580FF445">
      <w:pPr>
        <w:keepNext w:val="0"/>
        <w:keepLines w:val="0"/>
        <w:pageBreakBefore w:val="0"/>
        <w:kinsoku/>
        <w:wordWrap/>
        <w:overflowPunct/>
        <w:topLinePunct w:val="0"/>
        <w:autoSpaceDE/>
        <w:autoSpaceDN/>
        <w:bidi w:val="0"/>
        <w:adjustRightInd/>
        <w:snapToGrid/>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湖北省致兴工程管理有限公司受宣恩仙山贡水商贸有限公司的委托，拟对宣恩仙山贡水商贸有限公司供应商遴选建库项目进行公开招标，</w:t>
      </w:r>
      <w:r>
        <w:rPr>
          <w:rFonts w:hint="eastAsia" w:ascii="宋体" w:hAnsi="宋体" w:eastAsia="宋体" w:cs="宋体"/>
          <w:color w:val="auto"/>
          <w:sz w:val="24"/>
          <w:szCs w:val="24"/>
          <w:highlight w:val="none"/>
        </w:rPr>
        <w:t>资金来源为单位自筹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项目已具备招标条件，现进行公开招标，特邀请潜在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参与投标。</w:t>
      </w:r>
    </w:p>
    <w:p w14:paraId="1C267580">
      <w:pPr>
        <w:keepNext w:val="0"/>
        <w:keepLines w:val="0"/>
        <w:pageBreakBefore w:val="0"/>
        <w:kinsoku/>
        <w:wordWrap/>
        <w:overflowPunct/>
        <w:topLinePunct w:val="0"/>
        <w:autoSpaceDE/>
        <w:autoSpaceDN/>
        <w:bidi w:val="0"/>
        <w:adjustRightInd/>
        <w:snapToGrid/>
        <w:spacing w:line="440" w:lineRule="exact"/>
        <w:jc w:val="left"/>
        <w:outlineLvl w:val="9"/>
        <w:rPr>
          <w:rFonts w:hint="eastAsia" w:ascii="宋体" w:hAnsi="宋体" w:eastAsia="宋体" w:cs="宋体"/>
          <w:b/>
          <w:bCs/>
          <w:color w:val="auto"/>
          <w:sz w:val="28"/>
          <w:szCs w:val="28"/>
          <w:highlight w:val="none"/>
        </w:rPr>
      </w:pPr>
      <w:bookmarkStart w:id="5" w:name="_Toc6726"/>
      <w:r>
        <w:rPr>
          <w:rFonts w:hint="eastAsia" w:ascii="宋体" w:hAnsi="宋体" w:eastAsia="宋体" w:cs="宋体"/>
          <w:b/>
          <w:bCs/>
          <w:color w:val="auto"/>
          <w:sz w:val="28"/>
          <w:szCs w:val="28"/>
          <w:highlight w:val="none"/>
        </w:rPr>
        <w:t>2.项目概况</w:t>
      </w:r>
      <w:bookmarkEnd w:id="5"/>
    </w:p>
    <w:p w14:paraId="035E3648">
      <w:pPr>
        <w:keepNext w:val="0"/>
        <w:keepLines w:val="0"/>
        <w:pageBreakBefore w:val="0"/>
        <w:kinsoku/>
        <w:wordWrap/>
        <w:overflowPunct/>
        <w:topLinePunct w:val="0"/>
        <w:autoSpaceDE/>
        <w:autoSpaceDN/>
        <w:bidi w:val="0"/>
        <w:adjustRightInd/>
        <w:snapToGrid/>
        <w:spacing w:line="44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2.1项目名称：宣恩仙山贡水商贸有限公司供应商遴选建库 </w:t>
      </w:r>
    </w:p>
    <w:p w14:paraId="19F16F0C">
      <w:pPr>
        <w:keepNext w:val="0"/>
        <w:keepLines w:val="0"/>
        <w:pageBreakBefore w:val="0"/>
        <w:kinsoku/>
        <w:wordWrap/>
        <w:overflowPunct/>
        <w:topLinePunct w:val="0"/>
        <w:autoSpaceDE/>
        <w:autoSpaceDN/>
        <w:bidi w:val="0"/>
        <w:adjustRightInd/>
        <w:snapToGrid/>
        <w:spacing w:line="44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2.2项目编号：HBZX-GC-2024-ES080</w:t>
      </w:r>
    </w:p>
    <w:p w14:paraId="027DA04B">
      <w:pPr>
        <w:keepNext w:val="0"/>
        <w:keepLines w:val="0"/>
        <w:pageBreakBefore w:val="0"/>
        <w:kinsoku/>
        <w:wordWrap/>
        <w:overflowPunct/>
        <w:topLinePunct w:val="0"/>
        <w:autoSpaceDE/>
        <w:autoSpaceDN/>
        <w:bidi w:val="0"/>
        <w:adjustRightInd/>
        <w:snapToGrid/>
        <w:spacing w:line="44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2.3项目概况：本项目为宣恩仙山贡水商贸有限公司供应商遴选建库项目，共分为七个标包，具体内容如下：</w:t>
      </w:r>
    </w:p>
    <w:tbl>
      <w:tblPr>
        <w:tblStyle w:val="23"/>
        <w:tblW w:w="82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9"/>
        <w:gridCol w:w="1979"/>
        <w:gridCol w:w="2800"/>
        <w:gridCol w:w="2170"/>
      </w:tblGrid>
      <w:tr w14:paraId="10C94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CE56">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标包</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1AA8">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建库名称</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1C18">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拟建库分类</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71EB">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供应商数量</w:t>
            </w:r>
          </w:p>
        </w:tc>
      </w:tr>
      <w:tr w14:paraId="52ECA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59" w:type="dxa"/>
            <w:vMerge w:val="restart"/>
            <w:tcBorders>
              <w:left w:val="single" w:color="000000" w:sz="4" w:space="0"/>
              <w:right w:val="single" w:color="000000" w:sz="4" w:space="0"/>
            </w:tcBorders>
            <w:shd w:val="clear" w:color="auto" w:fill="auto"/>
            <w:noWrap/>
            <w:vAlign w:val="center"/>
          </w:tcPr>
          <w:p w14:paraId="3B382E5B">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第一包</w:t>
            </w:r>
          </w:p>
        </w:tc>
        <w:tc>
          <w:tcPr>
            <w:tcW w:w="1979" w:type="dxa"/>
            <w:vMerge w:val="restart"/>
            <w:tcBorders>
              <w:left w:val="single" w:color="000000" w:sz="4" w:space="0"/>
              <w:right w:val="single" w:color="auto" w:sz="4" w:space="0"/>
            </w:tcBorders>
            <w:shd w:val="clear" w:color="auto" w:fill="auto"/>
            <w:noWrap/>
            <w:vAlign w:val="center"/>
          </w:tcPr>
          <w:p w14:paraId="6721E93D">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食材类</w:t>
            </w:r>
          </w:p>
        </w:tc>
        <w:tc>
          <w:tcPr>
            <w:tcW w:w="280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1A6E4973">
            <w:pPr>
              <w:keepNext w:val="0"/>
              <w:keepLines w:val="0"/>
              <w:pageBreakBefore w:val="0"/>
              <w:kinsoku/>
              <w:wordWrap/>
              <w:overflowPunct/>
              <w:topLinePunct w:val="0"/>
              <w:autoSpaceDE/>
              <w:autoSpaceDN/>
              <w:bidi w:val="0"/>
              <w:adjustRightInd/>
              <w:snapToGrid/>
              <w:spacing w:line="440" w:lineRule="exac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1.米面油 </w:t>
            </w:r>
          </w:p>
        </w:tc>
        <w:tc>
          <w:tcPr>
            <w:tcW w:w="217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F1710A1">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（30家）</w:t>
            </w:r>
          </w:p>
        </w:tc>
      </w:tr>
      <w:tr w14:paraId="35DB2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259" w:type="dxa"/>
            <w:vMerge w:val="continue"/>
            <w:tcBorders>
              <w:left w:val="single" w:color="000000" w:sz="4" w:space="0"/>
              <w:right w:val="single" w:color="000000" w:sz="4" w:space="0"/>
            </w:tcBorders>
            <w:shd w:val="clear" w:color="auto" w:fill="auto"/>
            <w:noWrap/>
            <w:vAlign w:val="center"/>
          </w:tcPr>
          <w:p w14:paraId="6004FC2D">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1979" w:type="dxa"/>
            <w:vMerge w:val="continue"/>
            <w:tcBorders>
              <w:left w:val="single" w:color="000000" w:sz="4" w:space="0"/>
              <w:right w:val="single" w:color="auto" w:sz="4" w:space="0"/>
            </w:tcBorders>
            <w:shd w:val="clear" w:color="auto" w:fill="auto"/>
            <w:noWrap/>
            <w:vAlign w:val="center"/>
          </w:tcPr>
          <w:p w14:paraId="4D748CA8">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280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6E635D0F">
            <w:pPr>
              <w:keepNext w:val="0"/>
              <w:keepLines w:val="0"/>
              <w:pageBreakBefore w:val="0"/>
              <w:kinsoku/>
              <w:wordWrap/>
              <w:overflowPunct/>
              <w:topLinePunct w:val="0"/>
              <w:autoSpaceDE/>
              <w:autoSpaceDN/>
              <w:bidi w:val="0"/>
              <w:adjustRightInd/>
              <w:snapToGrid/>
              <w:spacing w:line="440" w:lineRule="exac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2.肉类</w:t>
            </w:r>
          </w:p>
        </w:tc>
        <w:tc>
          <w:tcPr>
            <w:tcW w:w="217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06CF868">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（30家）</w:t>
            </w:r>
          </w:p>
        </w:tc>
      </w:tr>
      <w:tr w14:paraId="29BB1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259" w:type="dxa"/>
            <w:vMerge w:val="continue"/>
            <w:tcBorders>
              <w:left w:val="single" w:color="000000" w:sz="4" w:space="0"/>
              <w:right w:val="single" w:color="000000" w:sz="4" w:space="0"/>
            </w:tcBorders>
            <w:shd w:val="clear" w:color="auto" w:fill="auto"/>
            <w:noWrap/>
            <w:vAlign w:val="center"/>
          </w:tcPr>
          <w:p w14:paraId="1DAA70FD">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1979" w:type="dxa"/>
            <w:vMerge w:val="continue"/>
            <w:tcBorders>
              <w:left w:val="single" w:color="000000" w:sz="4" w:space="0"/>
              <w:right w:val="single" w:color="auto" w:sz="4" w:space="0"/>
            </w:tcBorders>
            <w:shd w:val="clear" w:color="auto" w:fill="auto"/>
            <w:noWrap/>
            <w:vAlign w:val="center"/>
          </w:tcPr>
          <w:p w14:paraId="69D75182">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280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282CF85D">
            <w:pPr>
              <w:keepNext w:val="0"/>
              <w:keepLines w:val="0"/>
              <w:pageBreakBefore w:val="0"/>
              <w:kinsoku/>
              <w:wordWrap/>
              <w:overflowPunct/>
              <w:topLinePunct w:val="0"/>
              <w:autoSpaceDE/>
              <w:autoSpaceDN/>
              <w:bidi w:val="0"/>
              <w:adjustRightInd/>
              <w:snapToGrid/>
              <w:spacing w:line="440" w:lineRule="exac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3.冻品  </w:t>
            </w:r>
          </w:p>
        </w:tc>
        <w:tc>
          <w:tcPr>
            <w:tcW w:w="217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960AA3D">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（30家）</w:t>
            </w:r>
          </w:p>
        </w:tc>
      </w:tr>
      <w:tr w14:paraId="6FBCB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259" w:type="dxa"/>
            <w:vMerge w:val="continue"/>
            <w:tcBorders>
              <w:left w:val="single" w:color="000000" w:sz="4" w:space="0"/>
              <w:right w:val="single" w:color="000000" w:sz="4" w:space="0"/>
            </w:tcBorders>
            <w:shd w:val="clear" w:color="auto" w:fill="auto"/>
            <w:noWrap/>
            <w:vAlign w:val="center"/>
          </w:tcPr>
          <w:p w14:paraId="0250ECBA">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1979" w:type="dxa"/>
            <w:vMerge w:val="continue"/>
            <w:tcBorders>
              <w:left w:val="single" w:color="000000" w:sz="4" w:space="0"/>
              <w:right w:val="single" w:color="auto" w:sz="4" w:space="0"/>
            </w:tcBorders>
            <w:shd w:val="clear" w:color="auto" w:fill="auto"/>
            <w:noWrap/>
            <w:vAlign w:val="center"/>
          </w:tcPr>
          <w:p w14:paraId="51161D51">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280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3B510B47">
            <w:pPr>
              <w:keepNext w:val="0"/>
              <w:keepLines w:val="0"/>
              <w:pageBreakBefore w:val="0"/>
              <w:kinsoku/>
              <w:wordWrap/>
              <w:overflowPunct/>
              <w:topLinePunct w:val="0"/>
              <w:autoSpaceDE/>
              <w:autoSpaceDN/>
              <w:bidi w:val="0"/>
              <w:adjustRightInd/>
              <w:snapToGrid/>
              <w:spacing w:line="440" w:lineRule="exac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4.水产</w:t>
            </w:r>
          </w:p>
        </w:tc>
        <w:tc>
          <w:tcPr>
            <w:tcW w:w="217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6BBD8AC">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（30家）</w:t>
            </w:r>
          </w:p>
        </w:tc>
      </w:tr>
      <w:tr w14:paraId="0253F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259" w:type="dxa"/>
            <w:vMerge w:val="continue"/>
            <w:tcBorders>
              <w:left w:val="single" w:color="000000" w:sz="4" w:space="0"/>
              <w:right w:val="single" w:color="000000" w:sz="4" w:space="0"/>
            </w:tcBorders>
            <w:shd w:val="clear" w:color="auto" w:fill="auto"/>
            <w:noWrap/>
            <w:vAlign w:val="center"/>
          </w:tcPr>
          <w:p w14:paraId="0709AEC3">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1979" w:type="dxa"/>
            <w:vMerge w:val="continue"/>
            <w:tcBorders>
              <w:left w:val="single" w:color="000000" w:sz="4" w:space="0"/>
              <w:right w:val="single" w:color="auto" w:sz="4" w:space="0"/>
            </w:tcBorders>
            <w:shd w:val="clear" w:color="auto" w:fill="auto"/>
            <w:noWrap/>
            <w:vAlign w:val="center"/>
          </w:tcPr>
          <w:p w14:paraId="76406412">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280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289877FB">
            <w:pPr>
              <w:keepNext w:val="0"/>
              <w:keepLines w:val="0"/>
              <w:pageBreakBefore w:val="0"/>
              <w:kinsoku/>
              <w:wordWrap/>
              <w:overflowPunct/>
              <w:topLinePunct w:val="0"/>
              <w:autoSpaceDE/>
              <w:autoSpaceDN/>
              <w:bidi w:val="0"/>
              <w:adjustRightInd/>
              <w:snapToGrid/>
              <w:spacing w:line="440" w:lineRule="exac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5.蔬菜 </w:t>
            </w:r>
          </w:p>
        </w:tc>
        <w:tc>
          <w:tcPr>
            <w:tcW w:w="217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3B09560">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（50家）</w:t>
            </w:r>
          </w:p>
        </w:tc>
      </w:tr>
      <w:tr w14:paraId="2F93B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 w:hRule="atLeast"/>
        </w:trPr>
        <w:tc>
          <w:tcPr>
            <w:tcW w:w="1259" w:type="dxa"/>
            <w:vMerge w:val="continue"/>
            <w:tcBorders>
              <w:left w:val="single" w:color="000000" w:sz="4" w:space="0"/>
              <w:right w:val="single" w:color="000000" w:sz="4" w:space="0"/>
            </w:tcBorders>
            <w:shd w:val="clear" w:color="auto" w:fill="auto"/>
            <w:noWrap/>
            <w:vAlign w:val="center"/>
          </w:tcPr>
          <w:p w14:paraId="69A631EB">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1979" w:type="dxa"/>
            <w:vMerge w:val="continue"/>
            <w:tcBorders>
              <w:left w:val="single" w:color="000000" w:sz="4" w:space="0"/>
              <w:right w:val="single" w:color="auto" w:sz="4" w:space="0"/>
            </w:tcBorders>
            <w:shd w:val="clear" w:color="auto" w:fill="auto"/>
            <w:noWrap/>
            <w:vAlign w:val="center"/>
          </w:tcPr>
          <w:p w14:paraId="50DEAE01">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280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7990B0AC">
            <w:pPr>
              <w:keepNext w:val="0"/>
              <w:keepLines w:val="0"/>
              <w:pageBreakBefore w:val="0"/>
              <w:kinsoku/>
              <w:wordWrap/>
              <w:overflowPunct/>
              <w:topLinePunct w:val="0"/>
              <w:autoSpaceDE/>
              <w:autoSpaceDN/>
              <w:bidi w:val="0"/>
              <w:adjustRightInd/>
              <w:snapToGrid/>
              <w:spacing w:line="440" w:lineRule="exac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6.干调 </w:t>
            </w:r>
          </w:p>
        </w:tc>
        <w:tc>
          <w:tcPr>
            <w:tcW w:w="217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0E539A4">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（30家）</w:t>
            </w:r>
          </w:p>
        </w:tc>
      </w:tr>
      <w:tr w14:paraId="08DD2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259" w:type="dxa"/>
            <w:vMerge w:val="continue"/>
            <w:tcBorders>
              <w:left w:val="single" w:color="000000" w:sz="4" w:space="0"/>
              <w:right w:val="single" w:color="000000" w:sz="4" w:space="0"/>
            </w:tcBorders>
            <w:shd w:val="clear" w:color="auto" w:fill="auto"/>
            <w:noWrap/>
            <w:vAlign w:val="center"/>
          </w:tcPr>
          <w:p w14:paraId="719AC3A8">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1979" w:type="dxa"/>
            <w:vMerge w:val="continue"/>
            <w:tcBorders>
              <w:left w:val="single" w:color="000000" w:sz="4" w:space="0"/>
              <w:right w:val="single" w:color="auto" w:sz="4" w:space="0"/>
            </w:tcBorders>
            <w:shd w:val="clear" w:color="auto" w:fill="auto"/>
            <w:noWrap/>
            <w:vAlign w:val="center"/>
          </w:tcPr>
          <w:p w14:paraId="68AF7724">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280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0105CAF7">
            <w:pPr>
              <w:keepNext w:val="0"/>
              <w:keepLines w:val="0"/>
              <w:pageBreakBefore w:val="0"/>
              <w:kinsoku/>
              <w:wordWrap/>
              <w:overflowPunct/>
              <w:topLinePunct w:val="0"/>
              <w:autoSpaceDE/>
              <w:autoSpaceDN/>
              <w:bidi w:val="0"/>
              <w:adjustRightInd/>
              <w:snapToGrid/>
              <w:spacing w:line="440" w:lineRule="exac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7.水果 </w:t>
            </w:r>
          </w:p>
        </w:tc>
        <w:tc>
          <w:tcPr>
            <w:tcW w:w="217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B4153AA">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（30家）</w:t>
            </w:r>
          </w:p>
        </w:tc>
      </w:tr>
      <w:tr w14:paraId="06E92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259" w:type="dxa"/>
            <w:vMerge w:val="continue"/>
            <w:tcBorders>
              <w:left w:val="single" w:color="000000" w:sz="4" w:space="0"/>
              <w:right w:val="single" w:color="000000" w:sz="4" w:space="0"/>
            </w:tcBorders>
            <w:shd w:val="clear" w:color="auto" w:fill="auto"/>
            <w:noWrap/>
            <w:vAlign w:val="center"/>
          </w:tcPr>
          <w:p w14:paraId="4CC87C2C">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1979" w:type="dxa"/>
            <w:vMerge w:val="continue"/>
            <w:tcBorders>
              <w:left w:val="single" w:color="000000" w:sz="4" w:space="0"/>
              <w:right w:val="single" w:color="auto" w:sz="4" w:space="0"/>
            </w:tcBorders>
            <w:shd w:val="clear" w:color="auto" w:fill="auto"/>
            <w:noWrap/>
            <w:vAlign w:val="center"/>
          </w:tcPr>
          <w:p w14:paraId="7215A771">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280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651F7FC8">
            <w:pPr>
              <w:keepNext w:val="0"/>
              <w:keepLines w:val="0"/>
              <w:pageBreakBefore w:val="0"/>
              <w:kinsoku/>
              <w:wordWrap/>
              <w:overflowPunct/>
              <w:topLinePunct w:val="0"/>
              <w:autoSpaceDE/>
              <w:autoSpaceDN/>
              <w:bidi w:val="0"/>
              <w:adjustRightInd/>
              <w:snapToGrid/>
              <w:spacing w:line="440" w:lineRule="exac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8.甜品糕点 </w:t>
            </w:r>
          </w:p>
        </w:tc>
        <w:tc>
          <w:tcPr>
            <w:tcW w:w="217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6DB751C">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（10家）</w:t>
            </w:r>
          </w:p>
        </w:tc>
      </w:tr>
      <w:tr w14:paraId="571A1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259" w:type="dxa"/>
            <w:vMerge w:val="continue"/>
            <w:tcBorders>
              <w:left w:val="single" w:color="000000" w:sz="4" w:space="0"/>
              <w:right w:val="single" w:color="000000" w:sz="4" w:space="0"/>
            </w:tcBorders>
            <w:shd w:val="clear" w:color="auto" w:fill="auto"/>
            <w:noWrap/>
            <w:vAlign w:val="center"/>
          </w:tcPr>
          <w:p w14:paraId="275B4E93">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1979" w:type="dxa"/>
            <w:vMerge w:val="continue"/>
            <w:tcBorders>
              <w:left w:val="single" w:color="000000" w:sz="4" w:space="0"/>
              <w:right w:val="single" w:color="auto" w:sz="4" w:space="0"/>
            </w:tcBorders>
            <w:shd w:val="clear" w:color="auto" w:fill="auto"/>
            <w:noWrap/>
            <w:vAlign w:val="center"/>
          </w:tcPr>
          <w:p w14:paraId="375A441D">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280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207B67E6">
            <w:pPr>
              <w:keepNext w:val="0"/>
              <w:keepLines w:val="0"/>
              <w:pageBreakBefore w:val="0"/>
              <w:kinsoku/>
              <w:wordWrap/>
              <w:overflowPunct/>
              <w:topLinePunct w:val="0"/>
              <w:autoSpaceDE/>
              <w:autoSpaceDN/>
              <w:bidi w:val="0"/>
              <w:adjustRightInd/>
              <w:snapToGrid/>
              <w:spacing w:line="440" w:lineRule="exac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9.豆制品</w:t>
            </w:r>
          </w:p>
        </w:tc>
        <w:tc>
          <w:tcPr>
            <w:tcW w:w="217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C0662B3">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（5家）</w:t>
            </w:r>
          </w:p>
        </w:tc>
      </w:tr>
      <w:tr w14:paraId="12896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259" w:type="dxa"/>
            <w:vMerge w:val="continue"/>
            <w:tcBorders>
              <w:left w:val="single" w:color="000000" w:sz="4" w:space="0"/>
              <w:right w:val="single" w:color="000000" w:sz="4" w:space="0"/>
            </w:tcBorders>
            <w:shd w:val="clear" w:color="auto" w:fill="auto"/>
            <w:noWrap/>
            <w:vAlign w:val="center"/>
          </w:tcPr>
          <w:p w14:paraId="79F698AB">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1979" w:type="dxa"/>
            <w:vMerge w:val="continue"/>
            <w:tcBorders>
              <w:left w:val="single" w:color="000000" w:sz="4" w:space="0"/>
              <w:right w:val="single" w:color="auto" w:sz="4" w:space="0"/>
            </w:tcBorders>
            <w:shd w:val="clear" w:color="auto" w:fill="auto"/>
            <w:noWrap/>
            <w:vAlign w:val="center"/>
          </w:tcPr>
          <w:p w14:paraId="6B6BEFBB">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280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4F98E46A">
            <w:pPr>
              <w:keepNext w:val="0"/>
              <w:keepLines w:val="0"/>
              <w:pageBreakBefore w:val="0"/>
              <w:kinsoku/>
              <w:wordWrap/>
              <w:overflowPunct/>
              <w:topLinePunct w:val="0"/>
              <w:autoSpaceDE/>
              <w:autoSpaceDN/>
              <w:bidi w:val="0"/>
              <w:adjustRightInd/>
              <w:snapToGrid/>
              <w:spacing w:line="440" w:lineRule="exac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10.奶制品 </w:t>
            </w:r>
          </w:p>
        </w:tc>
        <w:tc>
          <w:tcPr>
            <w:tcW w:w="217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449FD3B">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（10家）</w:t>
            </w:r>
          </w:p>
        </w:tc>
      </w:tr>
      <w:tr w14:paraId="1FF93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59" w:type="dxa"/>
            <w:vMerge w:val="continue"/>
            <w:tcBorders>
              <w:left w:val="single" w:color="000000" w:sz="4" w:space="0"/>
              <w:right w:val="single" w:color="000000" w:sz="4" w:space="0"/>
            </w:tcBorders>
            <w:shd w:val="clear" w:color="auto" w:fill="auto"/>
            <w:noWrap/>
            <w:vAlign w:val="center"/>
          </w:tcPr>
          <w:p w14:paraId="59E65A98">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1979" w:type="dxa"/>
            <w:vMerge w:val="continue"/>
            <w:tcBorders>
              <w:left w:val="single" w:color="000000" w:sz="4" w:space="0"/>
              <w:right w:val="single" w:color="000000" w:sz="4" w:space="0"/>
            </w:tcBorders>
            <w:shd w:val="clear" w:color="auto" w:fill="auto"/>
            <w:noWrap/>
            <w:vAlign w:val="center"/>
          </w:tcPr>
          <w:p w14:paraId="4F18690B">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280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471B185">
            <w:pPr>
              <w:keepNext w:val="0"/>
              <w:keepLines w:val="0"/>
              <w:pageBreakBefore w:val="0"/>
              <w:kinsoku/>
              <w:wordWrap/>
              <w:overflowPunct/>
              <w:topLinePunct w:val="0"/>
              <w:autoSpaceDE/>
              <w:autoSpaceDN/>
              <w:bidi w:val="0"/>
              <w:adjustRightInd/>
              <w:snapToGrid/>
              <w:spacing w:line="440" w:lineRule="exac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11.蛋类</w:t>
            </w:r>
          </w:p>
        </w:tc>
        <w:tc>
          <w:tcPr>
            <w:tcW w:w="217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02C76C0">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（10家）</w:t>
            </w:r>
          </w:p>
        </w:tc>
      </w:tr>
      <w:tr w14:paraId="05A06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259" w:type="dxa"/>
            <w:vMerge w:val="continue"/>
            <w:tcBorders>
              <w:left w:val="single" w:color="000000" w:sz="4" w:space="0"/>
              <w:bottom w:val="single" w:color="000000" w:sz="4" w:space="0"/>
              <w:right w:val="single" w:color="000000" w:sz="4" w:space="0"/>
            </w:tcBorders>
            <w:shd w:val="clear" w:color="auto" w:fill="auto"/>
            <w:noWrap/>
            <w:vAlign w:val="center"/>
          </w:tcPr>
          <w:p w14:paraId="3A7C2864">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1979" w:type="dxa"/>
            <w:vMerge w:val="continue"/>
            <w:tcBorders>
              <w:left w:val="single" w:color="000000" w:sz="4" w:space="0"/>
              <w:bottom w:val="single" w:color="000000" w:sz="4" w:space="0"/>
              <w:right w:val="single" w:color="000000" w:sz="4" w:space="0"/>
            </w:tcBorders>
            <w:shd w:val="clear" w:color="auto" w:fill="auto"/>
            <w:noWrap/>
            <w:vAlign w:val="center"/>
          </w:tcPr>
          <w:p w14:paraId="4066D108">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280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C022BE8">
            <w:pPr>
              <w:keepNext w:val="0"/>
              <w:keepLines w:val="0"/>
              <w:pageBreakBefore w:val="0"/>
              <w:kinsoku/>
              <w:wordWrap/>
              <w:overflowPunct/>
              <w:topLinePunct w:val="0"/>
              <w:autoSpaceDE/>
              <w:autoSpaceDN/>
              <w:bidi w:val="0"/>
              <w:adjustRightInd/>
              <w:snapToGrid/>
              <w:spacing w:line="440" w:lineRule="exac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12.面食 </w:t>
            </w:r>
          </w:p>
        </w:tc>
        <w:tc>
          <w:tcPr>
            <w:tcW w:w="217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15042BC">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（5家）</w:t>
            </w:r>
          </w:p>
        </w:tc>
      </w:tr>
      <w:tr w14:paraId="62F60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259" w:type="dxa"/>
            <w:vMerge w:val="continue"/>
            <w:tcBorders>
              <w:left w:val="single" w:color="000000" w:sz="4" w:space="0"/>
              <w:bottom w:val="single" w:color="auto" w:sz="4" w:space="0"/>
              <w:right w:val="single" w:color="000000" w:sz="4" w:space="0"/>
            </w:tcBorders>
            <w:shd w:val="clear" w:color="auto" w:fill="auto"/>
            <w:noWrap/>
            <w:vAlign w:val="center"/>
          </w:tcPr>
          <w:p w14:paraId="6076D3DE">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1979" w:type="dxa"/>
            <w:vMerge w:val="continue"/>
            <w:tcBorders>
              <w:left w:val="single" w:color="000000" w:sz="4" w:space="0"/>
              <w:bottom w:val="single" w:color="auto" w:sz="4" w:space="0"/>
              <w:right w:val="single" w:color="000000" w:sz="4" w:space="0"/>
            </w:tcBorders>
            <w:shd w:val="clear" w:color="auto" w:fill="auto"/>
            <w:noWrap/>
            <w:vAlign w:val="center"/>
          </w:tcPr>
          <w:p w14:paraId="7DE244BA">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280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8521AF4">
            <w:pPr>
              <w:keepNext w:val="0"/>
              <w:keepLines w:val="0"/>
              <w:pageBreakBefore w:val="0"/>
              <w:kinsoku/>
              <w:wordWrap/>
              <w:overflowPunct/>
              <w:topLinePunct w:val="0"/>
              <w:autoSpaceDE/>
              <w:autoSpaceDN/>
              <w:bidi w:val="0"/>
              <w:adjustRightInd/>
              <w:snapToGrid/>
              <w:spacing w:line="440" w:lineRule="exac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13.腊制品 </w:t>
            </w:r>
          </w:p>
        </w:tc>
        <w:tc>
          <w:tcPr>
            <w:tcW w:w="217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712BD34">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（5家）</w:t>
            </w:r>
          </w:p>
        </w:tc>
      </w:tr>
      <w:tr w14:paraId="254F9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9" w:type="dxa"/>
            <w:vMerge w:val="restart"/>
            <w:tcBorders>
              <w:top w:val="single" w:color="auto" w:sz="4" w:space="0"/>
              <w:left w:val="single" w:color="auto" w:sz="4" w:space="0"/>
              <w:bottom w:val="single" w:color="auto" w:sz="4" w:space="0"/>
              <w:right w:val="single" w:color="000000" w:sz="4" w:space="0"/>
            </w:tcBorders>
            <w:shd w:val="clear" w:color="auto" w:fill="auto"/>
            <w:noWrap/>
            <w:vAlign w:val="center"/>
          </w:tcPr>
          <w:p w14:paraId="323BCA32">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第二包</w:t>
            </w:r>
          </w:p>
        </w:tc>
        <w:tc>
          <w:tcPr>
            <w:tcW w:w="1979" w:type="dxa"/>
            <w:vMerge w:val="restart"/>
            <w:tcBorders>
              <w:top w:val="single" w:color="auto" w:sz="4" w:space="0"/>
              <w:left w:val="single" w:color="000000" w:sz="4" w:space="0"/>
              <w:bottom w:val="single" w:color="auto" w:sz="4" w:space="0"/>
              <w:right w:val="single" w:color="auto" w:sz="4" w:space="0"/>
            </w:tcBorders>
            <w:shd w:val="clear" w:color="auto" w:fill="auto"/>
            <w:noWrap/>
            <w:vAlign w:val="center"/>
          </w:tcPr>
          <w:p w14:paraId="7F01B5B6">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建材类</w:t>
            </w:r>
          </w:p>
        </w:tc>
        <w:tc>
          <w:tcPr>
            <w:tcW w:w="2800"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48295910">
            <w:pPr>
              <w:keepNext w:val="0"/>
              <w:keepLines w:val="0"/>
              <w:pageBreakBefore w:val="0"/>
              <w:numPr>
                <w:ilvl w:val="0"/>
                <w:numId w:val="0"/>
              </w:numPr>
              <w:kinsoku/>
              <w:wordWrap/>
              <w:overflowPunct/>
              <w:topLinePunct w:val="0"/>
              <w:autoSpaceDE/>
              <w:autoSpaceDN/>
              <w:bidi w:val="0"/>
              <w:adjustRightInd/>
              <w:snapToGrid/>
              <w:spacing w:line="440" w:lineRule="exact"/>
              <w:jc w:val="lef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1.水泥                            </w:t>
            </w:r>
          </w:p>
        </w:tc>
        <w:tc>
          <w:tcPr>
            <w:tcW w:w="217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A54D8A9">
            <w:pPr>
              <w:keepNext w:val="0"/>
              <w:keepLines w:val="0"/>
              <w:pageBreakBefore w:val="0"/>
              <w:numPr>
                <w:ilvl w:val="0"/>
                <w:numId w:val="0"/>
              </w:numPr>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（5家）</w:t>
            </w:r>
          </w:p>
        </w:tc>
      </w:tr>
      <w:tr w14:paraId="7EF63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1259"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0DAD3C7E">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1979"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5A26FA7C">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280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40940D1A">
            <w:pPr>
              <w:keepNext w:val="0"/>
              <w:keepLines w:val="0"/>
              <w:pageBreakBefore w:val="0"/>
              <w:numPr>
                <w:ilvl w:val="0"/>
                <w:numId w:val="0"/>
              </w:numPr>
              <w:kinsoku/>
              <w:wordWrap/>
              <w:overflowPunct/>
              <w:topLinePunct w:val="0"/>
              <w:autoSpaceDE/>
              <w:autoSpaceDN/>
              <w:bidi w:val="0"/>
              <w:adjustRightInd/>
              <w:snapToGrid/>
              <w:spacing w:line="440" w:lineRule="exact"/>
              <w:jc w:val="lef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2.商砼</w:t>
            </w:r>
          </w:p>
        </w:tc>
        <w:tc>
          <w:tcPr>
            <w:tcW w:w="217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29DE3AC">
            <w:pPr>
              <w:keepNext w:val="0"/>
              <w:keepLines w:val="0"/>
              <w:pageBreakBefore w:val="0"/>
              <w:numPr>
                <w:ilvl w:val="0"/>
                <w:numId w:val="0"/>
              </w:numPr>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（5家）</w:t>
            </w:r>
          </w:p>
        </w:tc>
      </w:tr>
      <w:tr w14:paraId="0086E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9"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69933BA9">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1979"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021E849C">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280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24CB1902">
            <w:pPr>
              <w:keepNext w:val="0"/>
              <w:keepLines w:val="0"/>
              <w:pageBreakBefore w:val="0"/>
              <w:numPr>
                <w:ilvl w:val="0"/>
                <w:numId w:val="0"/>
              </w:numPr>
              <w:kinsoku/>
              <w:wordWrap/>
              <w:overflowPunct/>
              <w:topLinePunct w:val="0"/>
              <w:autoSpaceDE/>
              <w:autoSpaceDN/>
              <w:bidi w:val="0"/>
              <w:adjustRightInd/>
              <w:snapToGrid/>
              <w:spacing w:line="440" w:lineRule="exact"/>
              <w:jc w:val="lef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3.钢材  </w:t>
            </w:r>
          </w:p>
        </w:tc>
        <w:tc>
          <w:tcPr>
            <w:tcW w:w="217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534F92D">
            <w:pPr>
              <w:keepNext w:val="0"/>
              <w:keepLines w:val="0"/>
              <w:pageBreakBefore w:val="0"/>
              <w:numPr>
                <w:ilvl w:val="0"/>
                <w:numId w:val="0"/>
              </w:numPr>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（10家）</w:t>
            </w:r>
          </w:p>
        </w:tc>
      </w:tr>
      <w:tr w14:paraId="30C56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259"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58563345">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1979"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1B6FBE86">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280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62593841">
            <w:pPr>
              <w:keepNext w:val="0"/>
              <w:keepLines w:val="0"/>
              <w:pageBreakBefore w:val="0"/>
              <w:numPr>
                <w:ilvl w:val="0"/>
                <w:numId w:val="0"/>
              </w:numPr>
              <w:kinsoku/>
              <w:wordWrap/>
              <w:overflowPunct/>
              <w:topLinePunct w:val="0"/>
              <w:autoSpaceDE/>
              <w:autoSpaceDN/>
              <w:bidi w:val="0"/>
              <w:adjustRightInd/>
              <w:snapToGrid/>
              <w:spacing w:line="440" w:lineRule="exact"/>
              <w:jc w:val="lef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4.建筑装饰装修材料</w:t>
            </w:r>
          </w:p>
        </w:tc>
        <w:tc>
          <w:tcPr>
            <w:tcW w:w="217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F34523D">
            <w:pPr>
              <w:keepNext w:val="0"/>
              <w:keepLines w:val="0"/>
              <w:pageBreakBefore w:val="0"/>
              <w:numPr>
                <w:ilvl w:val="0"/>
                <w:numId w:val="0"/>
              </w:numPr>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（10家）</w:t>
            </w:r>
          </w:p>
        </w:tc>
      </w:tr>
      <w:tr w14:paraId="64AD3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2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5806AD8">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第三包</w:t>
            </w:r>
          </w:p>
        </w:tc>
        <w:tc>
          <w:tcPr>
            <w:tcW w:w="197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500713F">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百货类</w:t>
            </w:r>
          </w:p>
        </w:tc>
        <w:tc>
          <w:tcPr>
            <w:tcW w:w="2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4C5FC2">
            <w:pPr>
              <w:keepNext w:val="0"/>
              <w:keepLines w:val="0"/>
              <w:pageBreakBefore w:val="0"/>
              <w:numPr>
                <w:ilvl w:val="0"/>
                <w:numId w:val="0"/>
              </w:numPr>
              <w:kinsoku/>
              <w:wordWrap/>
              <w:overflowPunct/>
              <w:topLinePunct w:val="0"/>
              <w:autoSpaceDE/>
              <w:autoSpaceDN/>
              <w:bidi w:val="0"/>
              <w:adjustRightInd/>
              <w:snapToGrid/>
              <w:spacing w:line="440" w:lineRule="exact"/>
              <w:jc w:val="lef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1.酒水            </w:t>
            </w:r>
          </w:p>
        </w:tc>
        <w:tc>
          <w:tcPr>
            <w:tcW w:w="2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878D5C">
            <w:pPr>
              <w:keepNext w:val="0"/>
              <w:keepLines w:val="0"/>
              <w:pageBreakBefore w:val="0"/>
              <w:numPr>
                <w:ilvl w:val="0"/>
                <w:numId w:val="0"/>
              </w:numPr>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（10家）</w:t>
            </w:r>
          </w:p>
        </w:tc>
      </w:tr>
      <w:tr w14:paraId="01BA0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25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CC13B71">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197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C189B73">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2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50C235">
            <w:pPr>
              <w:keepNext w:val="0"/>
              <w:keepLines w:val="0"/>
              <w:pageBreakBefore w:val="0"/>
              <w:numPr>
                <w:ilvl w:val="0"/>
                <w:numId w:val="0"/>
              </w:numPr>
              <w:kinsoku/>
              <w:wordWrap/>
              <w:overflowPunct/>
              <w:topLinePunct w:val="0"/>
              <w:autoSpaceDE/>
              <w:autoSpaceDN/>
              <w:bidi w:val="0"/>
              <w:adjustRightInd/>
              <w:snapToGrid/>
              <w:spacing w:line="440" w:lineRule="exact"/>
              <w:jc w:val="lef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2.饮料 </w:t>
            </w:r>
          </w:p>
        </w:tc>
        <w:tc>
          <w:tcPr>
            <w:tcW w:w="2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B52964">
            <w:pPr>
              <w:keepNext w:val="0"/>
              <w:keepLines w:val="0"/>
              <w:pageBreakBefore w:val="0"/>
              <w:numPr>
                <w:ilvl w:val="0"/>
                <w:numId w:val="0"/>
              </w:numPr>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（10家）</w:t>
            </w:r>
          </w:p>
        </w:tc>
      </w:tr>
      <w:tr w14:paraId="3E223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125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A172350">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197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CBBC5A8">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2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D8284F">
            <w:pPr>
              <w:keepNext w:val="0"/>
              <w:keepLines w:val="0"/>
              <w:pageBreakBefore w:val="0"/>
              <w:numPr>
                <w:ilvl w:val="0"/>
                <w:numId w:val="0"/>
              </w:numPr>
              <w:kinsoku/>
              <w:wordWrap/>
              <w:overflowPunct/>
              <w:topLinePunct w:val="0"/>
              <w:autoSpaceDE/>
              <w:autoSpaceDN/>
              <w:bidi w:val="0"/>
              <w:adjustRightInd/>
              <w:snapToGrid/>
              <w:spacing w:line="440" w:lineRule="exact"/>
              <w:jc w:val="lef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3.日杂用品 </w:t>
            </w:r>
          </w:p>
        </w:tc>
        <w:tc>
          <w:tcPr>
            <w:tcW w:w="2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BAFE8A">
            <w:pPr>
              <w:keepNext w:val="0"/>
              <w:keepLines w:val="0"/>
              <w:pageBreakBefore w:val="0"/>
              <w:numPr>
                <w:ilvl w:val="0"/>
                <w:numId w:val="0"/>
              </w:numPr>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（20家）</w:t>
            </w:r>
          </w:p>
        </w:tc>
      </w:tr>
      <w:tr w14:paraId="033FB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12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03D91E">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第四包</w:t>
            </w:r>
          </w:p>
        </w:tc>
        <w:tc>
          <w:tcPr>
            <w:tcW w:w="19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AEC977">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茶叶类</w:t>
            </w:r>
          </w:p>
        </w:tc>
        <w:tc>
          <w:tcPr>
            <w:tcW w:w="2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271092">
            <w:pPr>
              <w:keepNext w:val="0"/>
              <w:keepLines w:val="0"/>
              <w:pageBreakBefore w:val="0"/>
              <w:numPr>
                <w:ilvl w:val="0"/>
                <w:numId w:val="0"/>
              </w:numPr>
              <w:kinsoku/>
              <w:wordWrap/>
              <w:overflowPunct/>
              <w:topLinePunct w:val="0"/>
              <w:autoSpaceDE/>
              <w:autoSpaceDN/>
              <w:bidi w:val="0"/>
              <w:adjustRightInd/>
              <w:snapToGrid/>
              <w:spacing w:line="440" w:lineRule="exact"/>
              <w:jc w:val="lef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生产企业          </w:t>
            </w:r>
          </w:p>
        </w:tc>
        <w:tc>
          <w:tcPr>
            <w:tcW w:w="2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98F28E">
            <w:pPr>
              <w:keepNext w:val="0"/>
              <w:keepLines w:val="0"/>
              <w:pageBreakBefore w:val="0"/>
              <w:numPr>
                <w:ilvl w:val="0"/>
                <w:numId w:val="0"/>
              </w:numPr>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（10家）</w:t>
            </w:r>
          </w:p>
        </w:tc>
      </w:tr>
      <w:tr w14:paraId="50F32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25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D58C782">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第五包</w:t>
            </w:r>
          </w:p>
        </w:tc>
        <w:tc>
          <w:tcPr>
            <w:tcW w:w="197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02912F1">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办公用品</w:t>
            </w:r>
          </w:p>
        </w:tc>
        <w:tc>
          <w:tcPr>
            <w:tcW w:w="280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D591CDE">
            <w:pPr>
              <w:keepNext w:val="0"/>
              <w:keepLines w:val="0"/>
              <w:pageBreakBefore w:val="0"/>
              <w:kinsoku/>
              <w:wordWrap/>
              <w:overflowPunct/>
              <w:topLinePunct w:val="0"/>
              <w:autoSpaceDE/>
              <w:autoSpaceDN/>
              <w:bidi w:val="0"/>
              <w:adjustRightInd/>
              <w:snapToGrid/>
              <w:spacing w:line="440" w:lineRule="exact"/>
              <w:ind w:firstLine="1890" w:firstLineChars="900"/>
              <w:jc w:val="left"/>
              <w:outlineLvl w:val="9"/>
              <w:rPr>
                <w:rFonts w:hint="eastAsia" w:ascii="宋体" w:hAnsi="宋体" w:eastAsia="宋体" w:cs="宋体"/>
                <w:color w:val="auto"/>
                <w:highlight w:val="none"/>
                <w:lang w:val="en-US" w:eastAsia="zh-CN"/>
              </w:rPr>
            </w:pPr>
          </w:p>
        </w:tc>
        <w:tc>
          <w:tcPr>
            <w:tcW w:w="217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B99FC9E">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（5家）</w:t>
            </w:r>
          </w:p>
        </w:tc>
      </w:tr>
      <w:tr w14:paraId="45E23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8B58">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第六包</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626E">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农用产品</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88ACA">
            <w:pPr>
              <w:keepNext w:val="0"/>
              <w:keepLines w:val="0"/>
              <w:pageBreakBefore w:val="0"/>
              <w:kinsoku/>
              <w:wordWrap/>
              <w:overflowPunct/>
              <w:topLinePunct w:val="0"/>
              <w:autoSpaceDE/>
              <w:autoSpaceDN/>
              <w:bidi w:val="0"/>
              <w:adjustRightInd/>
              <w:snapToGrid/>
              <w:spacing w:line="440" w:lineRule="exact"/>
              <w:jc w:val="lef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农肥           </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7E38">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（5家）</w:t>
            </w:r>
          </w:p>
        </w:tc>
      </w:tr>
      <w:tr w14:paraId="4DB31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37326">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第七包</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934B9">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燃料类</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3AAA">
            <w:pPr>
              <w:keepNext w:val="0"/>
              <w:keepLines w:val="0"/>
              <w:pageBreakBefore w:val="0"/>
              <w:kinsoku/>
              <w:wordWrap/>
              <w:overflowPunct/>
              <w:topLinePunct w:val="0"/>
              <w:autoSpaceDE/>
              <w:autoSpaceDN/>
              <w:bidi w:val="0"/>
              <w:adjustRightInd/>
              <w:snapToGrid/>
              <w:spacing w:line="440" w:lineRule="exact"/>
              <w:jc w:val="lef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生物燃料          </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140C">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（5家）</w:t>
            </w:r>
          </w:p>
        </w:tc>
      </w:tr>
      <w:tr w14:paraId="451A5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6" w:hRule="atLeast"/>
        </w:trPr>
        <w:tc>
          <w:tcPr>
            <w:tcW w:w="820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DC5E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outlineLvl w:val="9"/>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本项目每标包报名的数量小于等于拟建供应商数量时，采用合格制审查，审查合格的供应商全部入围；本项目每标包报名的数量大于拟建供应商数量时，进行资格符合性审查后，合格的数量小于等于拟建供应商数量时，合格的供应商全部入围；进行资格符合性审查后，合格的数量大于拟建供应商数量时，采用综合评分法确定入围供应商；如每标包入围数量不能满足宣恩仙山贡水商贸有限公司建库需求，将进行入围补录。</w:t>
            </w:r>
          </w:p>
        </w:tc>
      </w:tr>
    </w:tbl>
    <w:p w14:paraId="3E5F070A">
      <w:pPr>
        <w:keepNext w:val="0"/>
        <w:keepLines w:val="0"/>
        <w:pageBreakBefore w:val="0"/>
        <w:kinsoku/>
        <w:wordWrap/>
        <w:overflowPunct/>
        <w:topLinePunct w:val="0"/>
        <w:autoSpaceDE/>
        <w:autoSpaceDN/>
        <w:bidi w:val="0"/>
        <w:adjustRightInd/>
        <w:snapToGrid/>
        <w:spacing w:line="440" w:lineRule="exact"/>
        <w:outlineLvl w:val="9"/>
        <w:rPr>
          <w:rFonts w:hint="eastAsia" w:ascii="宋体" w:hAnsi="宋体" w:eastAsia="宋体" w:cs="宋体"/>
          <w:color w:val="auto"/>
          <w:highlight w:val="none"/>
          <w:lang w:val="en-US" w:eastAsia="zh-CN"/>
        </w:rPr>
      </w:pPr>
    </w:p>
    <w:p w14:paraId="00CDB0E2">
      <w:pPr>
        <w:keepNext w:val="0"/>
        <w:keepLines w:val="0"/>
        <w:pageBreakBefore w:val="0"/>
        <w:kinsoku/>
        <w:wordWrap/>
        <w:overflowPunct/>
        <w:topLinePunct w:val="0"/>
        <w:autoSpaceDE/>
        <w:autoSpaceDN/>
        <w:bidi w:val="0"/>
        <w:adjustRightInd/>
        <w:snapToGrid/>
        <w:spacing w:line="44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2.4服务期限：拟定为3年，自合同签订之日起计算，合同实行一年一签，第二年，第三年考核合格后续签</w:t>
      </w:r>
    </w:p>
    <w:p w14:paraId="53784C1A">
      <w:pPr>
        <w:keepNext w:val="0"/>
        <w:keepLines w:val="0"/>
        <w:pageBreakBefore w:val="0"/>
        <w:kinsoku/>
        <w:wordWrap/>
        <w:overflowPunct/>
        <w:topLinePunct w:val="0"/>
        <w:autoSpaceDE/>
        <w:autoSpaceDN/>
        <w:bidi w:val="0"/>
        <w:adjustRightInd/>
        <w:snapToGrid/>
        <w:spacing w:line="440" w:lineRule="exact"/>
        <w:jc w:val="left"/>
        <w:outlineLvl w:val="9"/>
        <w:rPr>
          <w:rFonts w:hint="eastAsia" w:ascii="宋体" w:hAnsi="宋体" w:eastAsia="宋体" w:cs="宋体"/>
          <w:b/>
          <w:bCs/>
          <w:color w:val="auto"/>
          <w:sz w:val="28"/>
          <w:szCs w:val="28"/>
          <w:highlight w:val="none"/>
          <w:lang w:val="en-US" w:eastAsia="zh-CN"/>
        </w:rPr>
      </w:pPr>
      <w:bookmarkStart w:id="6" w:name="_Toc22402"/>
      <w:r>
        <w:rPr>
          <w:rFonts w:hint="eastAsia" w:ascii="宋体" w:hAnsi="宋体" w:eastAsia="宋体" w:cs="宋体"/>
          <w:b/>
          <w:bCs/>
          <w:color w:val="auto"/>
          <w:sz w:val="28"/>
          <w:szCs w:val="28"/>
          <w:highlight w:val="none"/>
          <w:lang w:val="en-US" w:eastAsia="zh-CN"/>
        </w:rPr>
        <w:t>3.供应商的资格要求</w:t>
      </w:r>
      <w:bookmarkEnd w:id="6"/>
    </w:p>
    <w:p w14:paraId="021368B1">
      <w:pPr>
        <w:keepNext w:val="0"/>
        <w:keepLines w:val="0"/>
        <w:pageBreakBefore w:val="0"/>
        <w:kinsoku/>
        <w:wordWrap/>
        <w:overflowPunct/>
        <w:topLinePunct w:val="0"/>
        <w:autoSpaceDE/>
        <w:autoSpaceDN/>
        <w:bidi w:val="0"/>
        <w:adjustRightInd/>
        <w:snapToGrid/>
        <w:spacing w:line="44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3.1、供应商必须为在中华人民共和国境内依法注册成立的法人或其他组织（含个体工商户）；</w:t>
      </w:r>
    </w:p>
    <w:p w14:paraId="29BD9B95">
      <w:pPr>
        <w:keepNext w:val="0"/>
        <w:keepLines w:val="0"/>
        <w:pageBreakBefore w:val="0"/>
        <w:kinsoku/>
        <w:wordWrap/>
        <w:overflowPunct/>
        <w:topLinePunct w:val="0"/>
        <w:autoSpaceDE/>
        <w:autoSpaceDN/>
        <w:bidi w:val="0"/>
        <w:adjustRightInd/>
        <w:snapToGrid/>
        <w:spacing w:line="44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3.2、财务要求：供应商具有良好的商业信誉和健全的财务会计制度，提供2023年财务审计报告或财务报表（利润表、资产负债表、现金流量表）或书面承诺函；所有标包的供应商需承诺能够提供增值税专用发票。</w:t>
      </w:r>
    </w:p>
    <w:p w14:paraId="238D1031">
      <w:pPr>
        <w:keepNext w:val="0"/>
        <w:keepLines w:val="0"/>
        <w:pageBreakBefore w:val="0"/>
        <w:kinsoku/>
        <w:wordWrap/>
        <w:overflowPunct/>
        <w:topLinePunct w:val="0"/>
        <w:autoSpaceDE/>
        <w:autoSpaceDN/>
        <w:bidi w:val="0"/>
        <w:adjustRightInd/>
        <w:snapToGrid/>
        <w:spacing w:line="44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供应商依法缴纳税收和社会保险，提供2024年投标截止前一个月的纳税证明材料和缴纳社保的证明材料或提供依法缴纳税收和社会保险或书面承诺函；依法免税或不需要缴纳社会保障资金的供应商应提供相应的证明材料；</w:t>
      </w:r>
    </w:p>
    <w:p w14:paraId="03B2B3C1">
      <w:pPr>
        <w:keepNext w:val="0"/>
        <w:keepLines w:val="0"/>
        <w:pageBreakBefore w:val="0"/>
        <w:kinsoku/>
        <w:wordWrap/>
        <w:overflowPunct/>
        <w:topLinePunct w:val="0"/>
        <w:autoSpaceDE/>
        <w:autoSpaceDN/>
        <w:bidi w:val="0"/>
        <w:adjustRightInd/>
        <w:snapToGrid/>
        <w:spacing w:line="44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3.4、单位负责人为同一人或者存在直接控股、管理关系的不同投标人，不得参加本项目同一合同项下的招标活动，提供书面承诺函；</w:t>
      </w:r>
    </w:p>
    <w:p w14:paraId="79E00B6D">
      <w:pPr>
        <w:keepNext w:val="0"/>
        <w:keepLines w:val="0"/>
        <w:pageBreakBefore w:val="0"/>
        <w:kinsoku/>
        <w:wordWrap/>
        <w:overflowPunct/>
        <w:topLinePunct w:val="0"/>
        <w:autoSpaceDE/>
        <w:autoSpaceDN/>
        <w:bidi w:val="0"/>
        <w:adjustRightInd/>
        <w:snapToGrid/>
        <w:spacing w:line="44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3.5、供应商必须具备所投标包履行合同所必需的相关产品、人员和服务能力，提供书面承诺函；</w:t>
      </w:r>
    </w:p>
    <w:p w14:paraId="0F2A2986">
      <w:pPr>
        <w:keepNext w:val="0"/>
        <w:keepLines w:val="0"/>
        <w:pageBreakBefore w:val="0"/>
        <w:kinsoku/>
        <w:wordWrap/>
        <w:overflowPunct/>
        <w:topLinePunct w:val="0"/>
        <w:autoSpaceDE/>
        <w:autoSpaceDN/>
        <w:bidi w:val="0"/>
        <w:adjustRightInd/>
        <w:snapToGrid/>
        <w:spacing w:line="44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3.6、参加本次招标活动前三年内，在经营活动中没有重大违法记录，提供书面承诺函；</w:t>
      </w:r>
    </w:p>
    <w:p w14:paraId="72090532">
      <w:pPr>
        <w:keepNext w:val="0"/>
        <w:keepLines w:val="0"/>
        <w:pageBreakBefore w:val="0"/>
        <w:kinsoku/>
        <w:wordWrap/>
        <w:overflowPunct/>
        <w:topLinePunct w:val="0"/>
        <w:autoSpaceDE/>
        <w:autoSpaceDN/>
        <w:bidi w:val="0"/>
        <w:adjustRightInd/>
        <w:snapToGrid/>
        <w:spacing w:line="44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供应商未被“中国执行信息公开网（http://zxgk.court.gov.cn/shixin/）列入“失信被执行人”；未被“信用中国”（http://www.creditchina.gov.cn）网站列入“重大税收违法失信主体”、“政府采购严重违法失信行为记录名单”。（提供加盖供应商鲜章的网页截图或提供书面承诺函）；</w:t>
      </w:r>
    </w:p>
    <w:p w14:paraId="6C2E9477">
      <w:pPr>
        <w:keepNext w:val="0"/>
        <w:keepLines w:val="0"/>
        <w:pageBreakBefore w:val="0"/>
        <w:kinsoku/>
        <w:wordWrap/>
        <w:overflowPunct/>
        <w:topLinePunct w:val="0"/>
        <w:autoSpaceDE/>
        <w:autoSpaceDN/>
        <w:bidi w:val="0"/>
        <w:adjustRightInd/>
        <w:snapToGrid/>
        <w:spacing w:line="44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3.8、投标企业、企业法定代表人、个体工商户及经营者无行贿犯罪记录，提供在“中国裁判文书网”无“行贿犯罪”的查询结果截图并加盖供应商公章或提供书面承诺函；</w:t>
      </w:r>
    </w:p>
    <w:p w14:paraId="06A36B32">
      <w:pPr>
        <w:keepNext w:val="0"/>
        <w:keepLines w:val="0"/>
        <w:pageBreakBefore w:val="0"/>
        <w:kinsoku/>
        <w:wordWrap/>
        <w:overflowPunct/>
        <w:topLinePunct w:val="0"/>
        <w:autoSpaceDE/>
        <w:autoSpaceDN/>
        <w:bidi w:val="0"/>
        <w:adjustRightInd/>
        <w:snapToGrid/>
        <w:spacing w:line="44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3.9、特定资格要求：</w:t>
      </w:r>
    </w:p>
    <w:tbl>
      <w:tblPr>
        <w:tblStyle w:val="24"/>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3"/>
        <w:gridCol w:w="1276"/>
        <w:gridCol w:w="2033"/>
        <w:gridCol w:w="4465"/>
      </w:tblGrid>
      <w:tr w14:paraId="792D3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03" w:type="dxa"/>
            <w:vAlign w:val="center"/>
          </w:tcPr>
          <w:p w14:paraId="3AF4DA63">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vertAlign w:val="baseline"/>
              </w:rPr>
            </w:pPr>
            <w:r>
              <w:rPr>
                <w:rFonts w:hint="eastAsia" w:ascii="宋体" w:hAnsi="宋体" w:eastAsia="宋体" w:cs="宋体"/>
                <w:color w:val="auto"/>
                <w:highlight w:val="none"/>
                <w:lang w:val="en-US" w:eastAsia="zh-CN"/>
              </w:rPr>
              <w:t>标包</w:t>
            </w:r>
          </w:p>
        </w:tc>
        <w:tc>
          <w:tcPr>
            <w:tcW w:w="1276" w:type="dxa"/>
            <w:vAlign w:val="center"/>
          </w:tcPr>
          <w:p w14:paraId="599CDD6C">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vertAlign w:val="baseline"/>
              </w:rPr>
            </w:pPr>
            <w:r>
              <w:rPr>
                <w:rFonts w:hint="eastAsia" w:ascii="宋体" w:hAnsi="宋体" w:eastAsia="宋体" w:cs="宋体"/>
                <w:color w:val="auto"/>
                <w:highlight w:val="none"/>
                <w:lang w:val="en-US" w:eastAsia="zh-CN"/>
              </w:rPr>
              <w:t>建库名称</w:t>
            </w:r>
          </w:p>
        </w:tc>
        <w:tc>
          <w:tcPr>
            <w:tcW w:w="2033" w:type="dxa"/>
            <w:vAlign w:val="center"/>
          </w:tcPr>
          <w:p w14:paraId="4DDD24F8">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vertAlign w:val="baseline"/>
              </w:rPr>
            </w:pPr>
            <w:r>
              <w:rPr>
                <w:rFonts w:hint="eastAsia" w:ascii="宋体" w:hAnsi="宋体" w:eastAsia="宋体" w:cs="宋体"/>
                <w:color w:val="auto"/>
                <w:highlight w:val="none"/>
                <w:lang w:val="en-US" w:eastAsia="zh-CN"/>
              </w:rPr>
              <w:t>拟建库分类及供应商数量</w:t>
            </w:r>
          </w:p>
        </w:tc>
        <w:tc>
          <w:tcPr>
            <w:tcW w:w="4465" w:type="dxa"/>
            <w:vAlign w:val="center"/>
          </w:tcPr>
          <w:p w14:paraId="5043779A">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vertAlign w:val="baseline"/>
              </w:rPr>
            </w:pPr>
            <w:r>
              <w:rPr>
                <w:rFonts w:hint="eastAsia" w:ascii="宋体" w:hAnsi="宋体" w:eastAsia="宋体" w:cs="宋体"/>
                <w:color w:val="auto"/>
                <w:highlight w:val="none"/>
                <w:lang w:val="en-US" w:eastAsia="zh-CN"/>
              </w:rPr>
              <w:t>特定资质要求</w:t>
            </w:r>
          </w:p>
        </w:tc>
      </w:tr>
      <w:tr w14:paraId="0324C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03" w:type="dxa"/>
            <w:vMerge w:val="restart"/>
            <w:vAlign w:val="center"/>
          </w:tcPr>
          <w:p w14:paraId="6A51D264">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第一包</w:t>
            </w:r>
          </w:p>
        </w:tc>
        <w:tc>
          <w:tcPr>
            <w:tcW w:w="1276" w:type="dxa"/>
            <w:vMerge w:val="restart"/>
            <w:vAlign w:val="center"/>
          </w:tcPr>
          <w:p w14:paraId="075CA00F">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食材类</w:t>
            </w:r>
          </w:p>
        </w:tc>
        <w:tc>
          <w:tcPr>
            <w:tcW w:w="2033" w:type="dxa"/>
            <w:vAlign w:val="center"/>
          </w:tcPr>
          <w:p w14:paraId="23E3AF8C">
            <w:pPr>
              <w:jc w:val="both"/>
              <w:rPr>
                <w:rFonts w:hint="eastAsia" w:ascii="宋体" w:hAnsi="宋体" w:eastAsia="宋体" w:cs="宋体"/>
                <w:color w:val="auto"/>
                <w:vertAlign w:val="baseline"/>
                <w:lang w:val="en-US"/>
              </w:rPr>
            </w:pPr>
            <w:r>
              <w:rPr>
                <w:rFonts w:hint="eastAsia" w:ascii="宋体" w:hAnsi="宋体" w:eastAsia="宋体" w:cs="宋体"/>
                <w:color w:val="auto"/>
                <w:highlight w:val="none"/>
                <w:lang w:val="en-US" w:eastAsia="zh-CN"/>
              </w:rPr>
              <w:t>1.米面油（30家）</w:t>
            </w:r>
          </w:p>
        </w:tc>
        <w:tc>
          <w:tcPr>
            <w:tcW w:w="4465" w:type="dxa"/>
            <w:vAlign w:val="center"/>
          </w:tcPr>
          <w:p w14:paraId="1FD73717">
            <w:pPr>
              <w:jc w:val="both"/>
              <w:rPr>
                <w:rFonts w:hint="eastAsia" w:ascii="宋体" w:hAnsi="宋体" w:eastAsia="宋体" w:cs="宋体"/>
                <w:color w:val="auto"/>
                <w:vertAlign w:val="baseline"/>
              </w:rPr>
            </w:pPr>
            <w:r>
              <w:rPr>
                <w:rFonts w:hint="eastAsia" w:ascii="宋体" w:hAnsi="宋体" w:eastAsia="宋体" w:cs="宋体"/>
                <w:color w:val="auto"/>
                <w:highlight w:val="none"/>
                <w:lang w:val="en-US" w:eastAsia="zh-CN"/>
              </w:rPr>
              <w:t>提供《食品经营许可证》</w:t>
            </w:r>
          </w:p>
        </w:tc>
      </w:tr>
      <w:tr w14:paraId="76C3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03" w:type="dxa"/>
            <w:vMerge w:val="continue"/>
            <w:vAlign w:val="center"/>
          </w:tcPr>
          <w:p w14:paraId="5905DEEE">
            <w:pPr>
              <w:jc w:val="center"/>
              <w:rPr>
                <w:rFonts w:hint="eastAsia" w:ascii="宋体" w:hAnsi="宋体" w:eastAsia="宋体" w:cs="宋体"/>
                <w:color w:val="auto"/>
                <w:vertAlign w:val="baseline"/>
              </w:rPr>
            </w:pPr>
          </w:p>
        </w:tc>
        <w:tc>
          <w:tcPr>
            <w:tcW w:w="1276" w:type="dxa"/>
            <w:vMerge w:val="continue"/>
            <w:vAlign w:val="center"/>
          </w:tcPr>
          <w:p w14:paraId="6D58995A">
            <w:pPr>
              <w:jc w:val="center"/>
              <w:rPr>
                <w:rFonts w:hint="eastAsia" w:ascii="宋体" w:hAnsi="宋体" w:eastAsia="宋体" w:cs="宋体"/>
                <w:color w:val="auto"/>
                <w:vertAlign w:val="baseline"/>
              </w:rPr>
            </w:pPr>
          </w:p>
        </w:tc>
        <w:tc>
          <w:tcPr>
            <w:tcW w:w="2033" w:type="dxa"/>
            <w:vAlign w:val="center"/>
          </w:tcPr>
          <w:p w14:paraId="54275503">
            <w:pPr>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2.肉类（30家）</w:t>
            </w:r>
          </w:p>
        </w:tc>
        <w:tc>
          <w:tcPr>
            <w:tcW w:w="4465" w:type="dxa"/>
            <w:vAlign w:val="center"/>
          </w:tcPr>
          <w:p w14:paraId="6FD7CD70">
            <w:pPr>
              <w:jc w:val="both"/>
              <w:rPr>
                <w:rFonts w:hint="eastAsia" w:ascii="宋体" w:hAnsi="宋体" w:eastAsia="宋体" w:cs="宋体"/>
                <w:color w:val="auto"/>
                <w:vertAlign w:val="baseline"/>
              </w:rPr>
            </w:pPr>
            <w:r>
              <w:rPr>
                <w:rFonts w:hint="eastAsia" w:ascii="宋体" w:hAnsi="宋体" w:eastAsia="宋体" w:cs="宋体"/>
                <w:color w:val="auto"/>
                <w:highlight w:val="none"/>
                <w:lang w:val="en-US" w:eastAsia="zh-CN"/>
              </w:rPr>
              <w:t>提供《食品经营许可证》</w:t>
            </w:r>
          </w:p>
        </w:tc>
      </w:tr>
      <w:tr w14:paraId="3EF5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03" w:type="dxa"/>
            <w:vMerge w:val="continue"/>
            <w:vAlign w:val="center"/>
          </w:tcPr>
          <w:p w14:paraId="698FB106">
            <w:pPr>
              <w:jc w:val="center"/>
              <w:rPr>
                <w:rFonts w:hint="eastAsia" w:ascii="宋体" w:hAnsi="宋体" w:eastAsia="宋体" w:cs="宋体"/>
                <w:color w:val="auto"/>
                <w:vertAlign w:val="baseline"/>
              </w:rPr>
            </w:pPr>
          </w:p>
        </w:tc>
        <w:tc>
          <w:tcPr>
            <w:tcW w:w="1276" w:type="dxa"/>
            <w:vMerge w:val="continue"/>
            <w:vAlign w:val="center"/>
          </w:tcPr>
          <w:p w14:paraId="3C763DB8">
            <w:pPr>
              <w:jc w:val="center"/>
              <w:rPr>
                <w:rFonts w:hint="eastAsia" w:ascii="宋体" w:hAnsi="宋体" w:eastAsia="宋体" w:cs="宋体"/>
                <w:color w:val="auto"/>
                <w:vertAlign w:val="baseline"/>
              </w:rPr>
            </w:pPr>
          </w:p>
        </w:tc>
        <w:tc>
          <w:tcPr>
            <w:tcW w:w="2033" w:type="dxa"/>
            <w:vAlign w:val="center"/>
          </w:tcPr>
          <w:p w14:paraId="49A9686A">
            <w:pPr>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3.冻品（30家）</w:t>
            </w:r>
          </w:p>
        </w:tc>
        <w:tc>
          <w:tcPr>
            <w:tcW w:w="4465" w:type="dxa"/>
            <w:vAlign w:val="center"/>
          </w:tcPr>
          <w:p w14:paraId="1D7A2B2E">
            <w:pPr>
              <w:jc w:val="both"/>
              <w:rPr>
                <w:rFonts w:hint="eastAsia" w:ascii="宋体" w:hAnsi="宋体" w:eastAsia="宋体" w:cs="宋体"/>
                <w:color w:val="auto"/>
                <w:vertAlign w:val="baseline"/>
              </w:rPr>
            </w:pPr>
            <w:r>
              <w:rPr>
                <w:rFonts w:hint="eastAsia" w:ascii="宋体" w:hAnsi="宋体" w:eastAsia="宋体" w:cs="宋体"/>
                <w:color w:val="auto"/>
                <w:highlight w:val="none"/>
                <w:lang w:val="en-US" w:eastAsia="zh-CN"/>
              </w:rPr>
              <w:t>提供《食品经营许可证》</w:t>
            </w:r>
          </w:p>
        </w:tc>
      </w:tr>
      <w:tr w14:paraId="7BED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03" w:type="dxa"/>
            <w:vMerge w:val="continue"/>
            <w:vAlign w:val="center"/>
          </w:tcPr>
          <w:p w14:paraId="60DB5833">
            <w:pPr>
              <w:jc w:val="center"/>
              <w:rPr>
                <w:rFonts w:hint="eastAsia" w:ascii="宋体" w:hAnsi="宋体" w:eastAsia="宋体" w:cs="宋体"/>
                <w:color w:val="auto"/>
                <w:vertAlign w:val="baseline"/>
              </w:rPr>
            </w:pPr>
          </w:p>
        </w:tc>
        <w:tc>
          <w:tcPr>
            <w:tcW w:w="1276" w:type="dxa"/>
            <w:vMerge w:val="continue"/>
            <w:vAlign w:val="center"/>
          </w:tcPr>
          <w:p w14:paraId="1BB7CBCC">
            <w:pPr>
              <w:jc w:val="center"/>
              <w:rPr>
                <w:rFonts w:hint="eastAsia" w:ascii="宋体" w:hAnsi="宋体" w:eastAsia="宋体" w:cs="宋体"/>
                <w:color w:val="auto"/>
                <w:vertAlign w:val="baseline"/>
              </w:rPr>
            </w:pPr>
          </w:p>
        </w:tc>
        <w:tc>
          <w:tcPr>
            <w:tcW w:w="2033" w:type="dxa"/>
            <w:vAlign w:val="center"/>
          </w:tcPr>
          <w:p w14:paraId="059BA8E0">
            <w:pPr>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4.水产（30家）</w:t>
            </w:r>
          </w:p>
        </w:tc>
        <w:tc>
          <w:tcPr>
            <w:tcW w:w="4465" w:type="dxa"/>
            <w:vAlign w:val="center"/>
          </w:tcPr>
          <w:p w14:paraId="5E8B1D74">
            <w:pPr>
              <w:jc w:val="both"/>
              <w:rPr>
                <w:rFonts w:hint="eastAsia" w:ascii="宋体" w:hAnsi="宋体" w:eastAsia="宋体" w:cs="宋体"/>
                <w:color w:val="auto"/>
                <w:vertAlign w:val="baseline"/>
              </w:rPr>
            </w:pPr>
            <w:r>
              <w:rPr>
                <w:rFonts w:hint="eastAsia" w:ascii="宋体" w:hAnsi="宋体" w:eastAsia="宋体" w:cs="宋体"/>
                <w:color w:val="auto"/>
                <w:highlight w:val="none"/>
                <w:lang w:val="en-US" w:eastAsia="zh-CN"/>
              </w:rPr>
              <w:t>提供《食品经营许可证》</w:t>
            </w:r>
          </w:p>
        </w:tc>
      </w:tr>
      <w:tr w14:paraId="0BF37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03" w:type="dxa"/>
            <w:vMerge w:val="continue"/>
            <w:vAlign w:val="center"/>
          </w:tcPr>
          <w:p w14:paraId="6FA0B12E">
            <w:pPr>
              <w:jc w:val="center"/>
              <w:rPr>
                <w:rFonts w:hint="eastAsia" w:ascii="宋体" w:hAnsi="宋体" w:eastAsia="宋体" w:cs="宋体"/>
                <w:color w:val="auto"/>
                <w:vertAlign w:val="baseline"/>
              </w:rPr>
            </w:pPr>
          </w:p>
        </w:tc>
        <w:tc>
          <w:tcPr>
            <w:tcW w:w="1276" w:type="dxa"/>
            <w:vMerge w:val="continue"/>
            <w:vAlign w:val="center"/>
          </w:tcPr>
          <w:p w14:paraId="4D266C9F">
            <w:pPr>
              <w:jc w:val="center"/>
              <w:rPr>
                <w:rFonts w:hint="eastAsia" w:ascii="宋体" w:hAnsi="宋体" w:eastAsia="宋体" w:cs="宋体"/>
                <w:color w:val="auto"/>
                <w:vertAlign w:val="baseline"/>
              </w:rPr>
            </w:pPr>
          </w:p>
        </w:tc>
        <w:tc>
          <w:tcPr>
            <w:tcW w:w="2033" w:type="dxa"/>
            <w:vAlign w:val="center"/>
          </w:tcPr>
          <w:p w14:paraId="365BD662">
            <w:pPr>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5.蔬菜（50家）</w:t>
            </w:r>
          </w:p>
        </w:tc>
        <w:tc>
          <w:tcPr>
            <w:tcW w:w="4465" w:type="dxa"/>
            <w:vAlign w:val="center"/>
          </w:tcPr>
          <w:p w14:paraId="28091D50">
            <w:pPr>
              <w:jc w:val="both"/>
              <w:rPr>
                <w:rFonts w:hint="eastAsia" w:ascii="宋体" w:hAnsi="宋体" w:eastAsia="宋体" w:cs="宋体"/>
                <w:color w:val="auto"/>
                <w:vertAlign w:val="baseline"/>
              </w:rPr>
            </w:pPr>
            <w:r>
              <w:rPr>
                <w:rFonts w:hint="eastAsia" w:ascii="宋体" w:hAnsi="宋体" w:eastAsia="宋体" w:cs="宋体"/>
                <w:color w:val="auto"/>
                <w:highlight w:val="none"/>
                <w:lang w:val="en-US" w:eastAsia="zh-CN"/>
              </w:rPr>
              <w:t>提供《食品经营许可证》</w:t>
            </w:r>
          </w:p>
        </w:tc>
      </w:tr>
      <w:tr w14:paraId="1DD8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03" w:type="dxa"/>
            <w:vMerge w:val="continue"/>
            <w:vAlign w:val="center"/>
          </w:tcPr>
          <w:p w14:paraId="08F85FDE">
            <w:pPr>
              <w:jc w:val="center"/>
              <w:rPr>
                <w:rFonts w:hint="eastAsia" w:ascii="宋体" w:hAnsi="宋体" w:eastAsia="宋体" w:cs="宋体"/>
                <w:color w:val="auto"/>
                <w:vertAlign w:val="baseline"/>
              </w:rPr>
            </w:pPr>
          </w:p>
        </w:tc>
        <w:tc>
          <w:tcPr>
            <w:tcW w:w="1276" w:type="dxa"/>
            <w:vMerge w:val="continue"/>
            <w:vAlign w:val="center"/>
          </w:tcPr>
          <w:p w14:paraId="14BB087A">
            <w:pPr>
              <w:jc w:val="center"/>
              <w:rPr>
                <w:rFonts w:hint="eastAsia" w:ascii="宋体" w:hAnsi="宋体" w:eastAsia="宋体" w:cs="宋体"/>
                <w:color w:val="auto"/>
                <w:vertAlign w:val="baseline"/>
              </w:rPr>
            </w:pPr>
          </w:p>
        </w:tc>
        <w:tc>
          <w:tcPr>
            <w:tcW w:w="2033" w:type="dxa"/>
            <w:vAlign w:val="center"/>
          </w:tcPr>
          <w:p w14:paraId="48B54560">
            <w:pPr>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6.干调（30家）</w:t>
            </w:r>
          </w:p>
        </w:tc>
        <w:tc>
          <w:tcPr>
            <w:tcW w:w="4465" w:type="dxa"/>
            <w:vAlign w:val="center"/>
          </w:tcPr>
          <w:p w14:paraId="49432C57">
            <w:pPr>
              <w:jc w:val="both"/>
              <w:rPr>
                <w:rFonts w:hint="eastAsia" w:ascii="宋体" w:hAnsi="宋体" w:eastAsia="宋体" w:cs="宋体"/>
                <w:color w:val="auto"/>
                <w:vertAlign w:val="baseline"/>
              </w:rPr>
            </w:pPr>
            <w:r>
              <w:rPr>
                <w:rFonts w:hint="eastAsia" w:ascii="宋体" w:hAnsi="宋体" w:eastAsia="宋体" w:cs="宋体"/>
                <w:color w:val="auto"/>
                <w:highlight w:val="none"/>
                <w:lang w:val="en-US" w:eastAsia="zh-CN"/>
              </w:rPr>
              <w:t>提供《食品经营许可证》</w:t>
            </w:r>
          </w:p>
        </w:tc>
      </w:tr>
      <w:tr w14:paraId="2C9B7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03" w:type="dxa"/>
            <w:vMerge w:val="continue"/>
            <w:vAlign w:val="center"/>
          </w:tcPr>
          <w:p w14:paraId="07951C62">
            <w:pPr>
              <w:jc w:val="center"/>
              <w:rPr>
                <w:rFonts w:hint="eastAsia" w:ascii="宋体" w:hAnsi="宋体" w:eastAsia="宋体" w:cs="宋体"/>
                <w:color w:val="auto"/>
                <w:vertAlign w:val="baseline"/>
              </w:rPr>
            </w:pPr>
          </w:p>
        </w:tc>
        <w:tc>
          <w:tcPr>
            <w:tcW w:w="1276" w:type="dxa"/>
            <w:vMerge w:val="continue"/>
            <w:vAlign w:val="center"/>
          </w:tcPr>
          <w:p w14:paraId="26AC43BF">
            <w:pPr>
              <w:jc w:val="center"/>
              <w:rPr>
                <w:rFonts w:hint="eastAsia" w:ascii="宋体" w:hAnsi="宋体" w:eastAsia="宋体" w:cs="宋体"/>
                <w:color w:val="auto"/>
                <w:vertAlign w:val="baseline"/>
              </w:rPr>
            </w:pPr>
          </w:p>
        </w:tc>
        <w:tc>
          <w:tcPr>
            <w:tcW w:w="2033" w:type="dxa"/>
            <w:vAlign w:val="center"/>
          </w:tcPr>
          <w:p w14:paraId="07FAA0ED">
            <w:pPr>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7.水果（30家）</w:t>
            </w:r>
          </w:p>
        </w:tc>
        <w:tc>
          <w:tcPr>
            <w:tcW w:w="4465" w:type="dxa"/>
            <w:vAlign w:val="center"/>
          </w:tcPr>
          <w:p w14:paraId="6DAB4AB8">
            <w:pPr>
              <w:jc w:val="both"/>
              <w:rPr>
                <w:rFonts w:hint="eastAsia" w:ascii="宋体" w:hAnsi="宋体" w:eastAsia="宋体" w:cs="宋体"/>
                <w:color w:val="auto"/>
                <w:vertAlign w:val="baseline"/>
              </w:rPr>
            </w:pPr>
            <w:r>
              <w:rPr>
                <w:rFonts w:hint="eastAsia" w:ascii="宋体" w:hAnsi="宋体" w:eastAsia="宋体" w:cs="宋体"/>
                <w:color w:val="auto"/>
                <w:highlight w:val="none"/>
                <w:lang w:val="en-US" w:eastAsia="zh-CN"/>
              </w:rPr>
              <w:t>提供《食品经营许可证》</w:t>
            </w:r>
          </w:p>
        </w:tc>
      </w:tr>
      <w:tr w14:paraId="0DB0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03" w:type="dxa"/>
            <w:vMerge w:val="continue"/>
            <w:vAlign w:val="center"/>
          </w:tcPr>
          <w:p w14:paraId="508E8CA8">
            <w:pPr>
              <w:jc w:val="center"/>
              <w:rPr>
                <w:rFonts w:hint="eastAsia" w:ascii="宋体" w:hAnsi="宋体" w:eastAsia="宋体" w:cs="宋体"/>
                <w:color w:val="auto"/>
                <w:vertAlign w:val="baseline"/>
              </w:rPr>
            </w:pPr>
          </w:p>
        </w:tc>
        <w:tc>
          <w:tcPr>
            <w:tcW w:w="1276" w:type="dxa"/>
            <w:vMerge w:val="continue"/>
            <w:vAlign w:val="center"/>
          </w:tcPr>
          <w:p w14:paraId="6741034F">
            <w:pPr>
              <w:jc w:val="center"/>
              <w:rPr>
                <w:rFonts w:hint="eastAsia" w:ascii="宋体" w:hAnsi="宋体" w:eastAsia="宋体" w:cs="宋体"/>
                <w:color w:val="auto"/>
                <w:vertAlign w:val="baseline"/>
              </w:rPr>
            </w:pPr>
          </w:p>
        </w:tc>
        <w:tc>
          <w:tcPr>
            <w:tcW w:w="2033" w:type="dxa"/>
            <w:vAlign w:val="center"/>
          </w:tcPr>
          <w:p w14:paraId="73B2CDDF">
            <w:pPr>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8.甜品糕点（10家）</w:t>
            </w:r>
          </w:p>
        </w:tc>
        <w:tc>
          <w:tcPr>
            <w:tcW w:w="4465" w:type="dxa"/>
            <w:vAlign w:val="center"/>
          </w:tcPr>
          <w:p w14:paraId="0BAD32AE">
            <w:pPr>
              <w:jc w:val="both"/>
              <w:rPr>
                <w:rFonts w:hint="eastAsia" w:ascii="宋体" w:hAnsi="宋体" w:eastAsia="宋体" w:cs="宋体"/>
                <w:color w:val="auto"/>
                <w:vertAlign w:val="baseline"/>
              </w:rPr>
            </w:pPr>
            <w:r>
              <w:rPr>
                <w:rFonts w:hint="eastAsia" w:ascii="宋体" w:hAnsi="宋体" w:eastAsia="宋体" w:cs="宋体"/>
                <w:color w:val="auto"/>
                <w:highlight w:val="none"/>
                <w:lang w:val="en-US" w:eastAsia="zh-CN"/>
              </w:rPr>
              <w:t>提供《食品经营许可证》</w:t>
            </w:r>
          </w:p>
        </w:tc>
      </w:tr>
      <w:tr w14:paraId="64DD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03" w:type="dxa"/>
            <w:vMerge w:val="continue"/>
            <w:vAlign w:val="center"/>
          </w:tcPr>
          <w:p w14:paraId="0CE54152">
            <w:pPr>
              <w:jc w:val="center"/>
              <w:rPr>
                <w:rFonts w:hint="eastAsia" w:ascii="宋体" w:hAnsi="宋体" w:eastAsia="宋体" w:cs="宋体"/>
                <w:color w:val="auto"/>
                <w:vertAlign w:val="baseline"/>
              </w:rPr>
            </w:pPr>
          </w:p>
        </w:tc>
        <w:tc>
          <w:tcPr>
            <w:tcW w:w="1276" w:type="dxa"/>
            <w:vMerge w:val="continue"/>
            <w:vAlign w:val="center"/>
          </w:tcPr>
          <w:p w14:paraId="20096D41">
            <w:pPr>
              <w:jc w:val="center"/>
              <w:rPr>
                <w:rFonts w:hint="eastAsia" w:ascii="宋体" w:hAnsi="宋体" w:eastAsia="宋体" w:cs="宋体"/>
                <w:color w:val="auto"/>
                <w:vertAlign w:val="baseline"/>
              </w:rPr>
            </w:pPr>
          </w:p>
        </w:tc>
        <w:tc>
          <w:tcPr>
            <w:tcW w:w="2033" w:type="dxa"/>
            <w:vAlign w:val="center"/>
          </w:tcPr>
          <w:p w14:paraId="67001DF8">
            <w:pPr>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9.豆制品（5家）</w:t>
            </w:r>
          </w:p>
        </w:tc>
        <w:tc>
          <w:tcPr>
            <w:tcW w:w="4465" w:type="dxa"/>
            <w:vAlign w:val="center"/>
          </w:tcPr>
          <w:p w14:paraId="531EDEC4">
            <w:pPr>
              <w:jc w:val="both"/>
              <w:rPr>
                <w:rFonts w:hint="eastAsia" w:ascii="宋体" w:hAnsi="宋体" w:eastAsia="宋体" w:cs="宋体"/>
                <w:color w:val="auto"/>
                <w:vertAlign w:val="baseline"/>
              </w:rPr>
            </w:pPr>
            <w:r>
              <w:rPr>
                <w:rFonts w:hint="eastAsia" w:ascii="宋体" w:hAnsi="宋体" w:eastAsia="宋体" w:cs="宋体"/>
                <w:color w:val="auto"/>
                <w:highlight w:val="none"/>
                <w:lang w:val="en-US" w:eastAsia="zh-CN"/>
              </w:rPr>
              <w:t>提供《食品生产许可证》</w:t>
            </w:r>
          </w:p>
        </w:tc>
      </w:tr>
      <w:tr w14:paraId="1837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03" w:type="dxa"/>
            <w:vMerge w:val="continue"/>
            <w:vAlign w:val="center"/>
          </w:tcPr>
          <w:p w14:paraId="1B40E654">
            <w:pPr>
              <w:jc w:val="center"/>
              <w:rPr>
                <w:rFonts w:hint="eastAsia" w:ascii="宋体" w:hAnsi="宋体" w:eastAsia="宋体" w:cs="宋体"/>
                <w:color w:val="auto"/>
                <w:vertAlign w:val="baseline"/>
              </w:rPr>
            </w:pPr>
          </w:p>
        </w:tc>
        <w:tc>
          <w:tcPr>
            <w:tcW w:w="1276" w:type="dxa"/>
            <w:vMerge w:val="continue"/>
            <w:vAlign w:val="center"/>
          </w:tcPr>
          <w:p w14:paraId="4AD99095">
            <w:pPr>
              <w:jc w:val="center"/>
              <w:rPr>
                <w:rFonts w:hint="eastAsia" w:ascii="宋体" w:hAnsi="宋体" w:eastAsia="宋体" w:cs="宋体"/>
                <w:color w:val="auto"/>
                <w:vertAlign w:val="baseline"/>
              </w:rPr>
            </w:pPr>
          </w:p>
        </w:tc>
        <w:tc>
          <w:tcPr>
            <w:tcW w:w="2033" w:type="dxa"/>
            <w:vAlign w:val="center"/>
          </w:tcPr>
          <w:p w14:paraId="0A3B6173">
            <w:pPr>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10.奶制品（10家）</w:t>
            </w:r>
          </w:p>
        </w:tc>
        <w:tc>
          <w:tcPr>
            <w:tcW w:w="4465" w:type="dxa"/>
            <w:vAlign w:val="center"/>
          </w:tcPr>
          <w:p w14:paraId="6CFA4E52">
            <w:pPr>
              <w:jc w:val="both"/>
              <w:rPr>
                <w:rFonts w:hint="eastAsia" w:ascii="宋体" w:hAnsi="宋体" w:eastAsia="宋体" w:cs="宋体"/>
                <w:color w:val="auto"/>
                <w:vertAlign w:val="baseline"/>
              </w:rPr>
            </w:pPr>
            <w:r>
              <w:rPr>
                <w:rFonts w:hint="eastAsia" w:ascii="宋体" w:hAnsi="宋体" w:eastAsia="宋体" w:cs="宋体"/>
                <w:color w:val="auto"/>
                <w:highlight w:val="none"/>
                <w:lang w:val="en-US" w:eastAsia="zh-CN"/>
              </w:rPr>
              <w:t>提供《食品经营许可证》</w:t>
            </w:r>
          </w:p>
        </w:tc>
      </w:tr>
      <w:tr w14:paraId="4A61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03" w:type="dxa"/>
            <w:vMerge w:val="continue"/>
            <w:vAlign w:val="center"/>
          </w:tcPr>
          <w:p w14:paraId="139A73CC">
            <w:pPr>
              <w:jc w:val="center"/>
              <w:rPr>
                <w:rFonts w:hint="eastAsia" w:ascii="宋体" w:hAnsi="宋体" w:eastAsia="宋体" w:cs="宋体"/>
                <w:color w:val="auto"/>
                <w:vertAlign w:val="baseline"/>
              </w:rPr>
            </w:pPr>
          </w:p>
        </w:tc>
        <w:tc>
          <w:tcPr>
            <w:tcW w:w="1276" w:type="dxa"/>
            <w:vMerge w:val="continue"/>
            <w:vAlign w:val="center"/>
          </w:tcPr>
          <w:p w14:paraId="33D95DD3">
            <w:pPr>
              <w:jc w:val="center"/>
              <w:rPr>
                <w:rFonts w:hint="eastAsia" w:ascii="宋体" w:hAnsi="宋体" w:eastAsia="宋体" w:cs="宋体"/>
                <w:color w:val="auto"/>
                <w:vertAlign w:val="baseline"/>
              </w:rPr>
            </w:pPr>
          </w:p>
        </w:tc>
        <w:tc>
          <w:tcPr>
            <w:tcW w:w="2033" w:type="dxa"/>
            <w:vAlign w:val="center"/>
          </w:tcPr>
          <w:p w14:paraId="444CF074">
            <w:pPr>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11.蛋类（10家）</w:t>
            </w:r>
          </w:p>
        </w:tc>
        <w:tc>
          <w:tcPr>
            <w:tcW w:w="4465" w:type="dxa"/>
            <w:vAlign w:val="center"/>
          </w:tcPr>
          <w:p w14:paraId="508168F9">
            <w:pPr>
              <w:jc w:val="both"/>
              <w:rPr>
                <w:rFonts w:hint="eastAsia" w:ascii="宋体" w:hAnsi="宋体" w:eastAsia="宋体" w:cs="宋体"/>
                <w:color w:val="auto"/>
                <w:vertAlign w:val="baseline"/>
              </w:rPr>
            </w:pPr>
            <w:r>
              <w:rPr>
                <w:rFonts w:hint="eastAsia" w:ascii="宋体" w:hAnsi="宋体" w:eastAsia="宋体" w:cs="宋体"/>
                <w:color w:val="auto"/>
                <w:highlight w:val="none"/>
                <w:lang w:val="en-US" w:eastAsia="zh-CN"/>
              </w:rPr>
              <w:t>提供《食品经营许可证》</w:t>
            </w:r>
          </w:p>
        </w:tc>
      </w:tr>
      <w:tr w14:paraId="01FA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03" w:type="dxa"/>
            <w:vMerge w:val="continue"/>
            <w:vAlign w:val="center"/>
          </w:tcPr>
          <w:p w14:paraId="63332C2C">
            <w:pPr>
              <w:jc w:val="center"/>
              <w:rPr>
                <w:rFonts w:hint="eastAsia" w:ascii="宋体" w:hAnsi="宋体" w:eastAsia="宋体" w:cs="宋体"/>
                <w:color w:val="auto"/>
                <w:vertAlign w:val="baseline"/>
              </w:rPr>
            </w:pPr>
          </w:p>
        </w:tc>
        <w:tc>
          <w:tcPr>
            <w:tcW w:w="1276" w:type="dxa"/>
            <w:vMerge w:val="continue"/>
            <w:vAlign w:val="center"/>
          </w:tcPr>
          <w:p w14:paraId="2BB8A289">
            <w:pPr>
              <w:jc w:val="center"/>
              <w:rPr>
                <w:rFonts w:hint="eastAsia" w:ascii="宋体" w:hAnsi="宋体" w:eastAsia="宋体" w:cs="宋体"/>
                <w:color w:val="auto"/>
                <w:vertAlign w:val="baseline"/>
              </w:rPr>
            </w:pPr>
          </w:p>
        </w:tc>
        <w:tc>
          <w:tcPr>
            <w:tcW w:w="2033" w:type="dxa"/>
            <w:vAlign w:val="center"/>
          </w:tcPr>
          <w:p w14:paraId="7EB030A5">
            <w:pPr>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12.面食（5家）</w:t>
            </w:r>
          </w:p>
        </w:tc>
        <w:tc>
          <w:tcPr>
            <w:tcW w:w="4465" w:type="dxa"/>
            <w:vAlign w:val="center"/>
          </w:tcPr>
          <w:p w14:paraId="5723E9CF">
            <w:pPr>
              <w:jc w:val="both"/>
              <w:rPr>
                <w:rFonts w:hint="eastAsia" w:ascii="宋体" w:hAnsi="宋体" w:eastAsia="宋体" w:cs="宋体"/>
                <w:color w:val="auto"/>
                <w:vertAlign w:val="baseline"/>
              </w:rPr>
            </w:pPr>
            <w:r>
              <w:rPr>
                <w:rFonts w:hint="eastAsia" w:ascii="宋体" w:hAnsi="宋体" w:eastAsia="宋体" w:cs="宋体"/>
                <w:color w:val="auto"/>
                <w:highlight w:val="none"/>
                <w:lang w:val="en-US" w:eastAsia="zh-CN"/>
              </w:rPr>
              <w:t>提供《食品经营许可证》</w:t>
            </w:r>
          </w:p>
        </w:tc>
      </w:tr>
      <w:tr w14:paraId="6611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03" w:type="dxa"/>
            <w:vMerge w:val="continue"/>
            <w:vAlign w:val="center"/>
          </w:tcPr>
          <w:p w14:paraId="57F4294D">
            <w:pPr>
              <w:jc w:val="center"/>
              <w:rPr>
                <w:rFonts w:hint="eastAsia" w:ascii="宋体" w:hAnsi="宋体" w:eastAsia="宋体" w:cs="宋体"/>
                <w:color w:val="auto"/>
                <w:vertAlign w:val="baseline"/>
              </w:rPr>
            </w:pPr>
          </w:p>
        </w:tc>
        <w:tc>
          <w:tcPr>
            <w:tcW w:w="1276" w:type="dxa"/>
            <w:vMerge w:val="continue"/>
            <w:vAlign w:val="center"/>
          </w:tcPr>
          <w:p w14:paraId="5CEE2295">
            <w:pPr>
              <w:jc w:val="center"/>
              <w:rPr>
                <w:rFonts w:hint="eastAsia" w:ascii="宋体" w:hAnsi="宋体" w:eastAsia="宋体" w:cs="宋体"/>
                <w:color w:val="auto"/>
                <w:vertAlign w:val="baseline"/>
              </w:rPr>
            </w:pPr>
          </w:p>
        </w:tc>
        <w:tc>
          <w:tcPr>
            <w:tcW w:w="2033" w:type="dxa"/>
            <w:vAlign w:val="center"/>
          </w:tcPr>
          <w:p w14:paraId="0FF8B5CE">
            <w:pPr>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13.腊制品（5家）</w:t>
            </w:r>
          </w:p>
        </w:tc>
        <w:tc>
          <w:tcPr>
            <w:tcW w:w="4465" w:type="dxa"/>
            <w:vAlign w:val="center"/>
          </w:tcPr>
          <w:p w14:paraId="01F47DDB">
            <w:pPr>
              <w:jc w:val="both"/>
              <w:rPr>
                <w:rFonts w:hint="eastAsia" w:ascii="宋体" w:hAnsi="宋体" w:eastAsia="宋体" w:cs="宋体"/>
                <w:color w:val="auto"/>
                <w:vertAlign w:val="baseline"/>
              </w:rPr>
            </w:pPr>
            <w:r>
              <w:rPr>
                <w:rFonts w:hint="eastAsia" w:ascii="宋体" w:hAnsi="宋体" w:eastAsia="宋体" w:cs="宋体"/>
                <w:color w:val="auto"/>
                <w:highlight w:val="none"/>
                <w:lang w:val="en-US" w:eastAsia="zh-CN"/>
              </w:rPr>
              <w:t>提供《食品生产许可证》</w:t>
            </w:r>
          </w:p>
        </w:tc>
      </w:tr>
      <w:tr w14:paraId="7FCE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03" w:type="dxa"/>
            <w:vMerge w:val="restart"/>
            <w:vAlign w:val="center"/>
          </w:tcPr>
          <w:p w14:paraId="244D4D2A">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第二包</w:t>
            </w:r>
          </w:p>
        </w:tc>
        <w:tc>
          <w:tcPr>
            <w:tcW w:w="1276" w:type="dxa"/>
            <w:vMerge w:val="restart"/>
            <w:vAlign w:val="center"/>
          </w:tcPr>
          <w:p w14:paraId="36A6A92D">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建材类</w:t>
            </w:r>
          </w:p>
        </w:tc>
        <w:tc>
          <w:tcPr>
            <w:tcW w:w="2033" w:type="dxa"/>
            <w:vAlign w:val="center"/>
          </w:tcPr>
          <w:p w14:paraId="0DED1361">
            <w:pPr>
              <w:numPr>
                <w:ilvl w:val="0"/>
                <w:numId w:val="0"/>
              </w:numPr>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1.水泥（5家）</w:t>
            </w:r>
          </w:p>
        </w:tc>
        <w:tc>
          <w:tcPr>
            <w:tcW w:w="4465" w:type="dxa"/>
            <w:vAlign w:val="center"/>
          </w:tcPr>
          <w:p w14:paraId="5C80AA76">
            <w:pPr>
              <w:jc w:val="both"/>
              <w:rPr>
                <w:rFonts w:hint="eastAsia" w:ascii="宋体" w:hAnsi="宋体" w:eastAsia="宋体" w:cs="宋体"/>
                <w:color w:val="auto"/>
                <w:vertAlign w:val="baseline"/>
              </w:rPr>
            </w:pPr>
            <w:r>
              <w:rPr>
                <w:rFonts w:hint="eastAsia" w:ascii="宋体" w:hAnsi="宋体" w:eastAsia="宋体" w:cs="宋体"/>
                <w:color w:val="auto"/>
                <w:highlight w:val="none"/>
              </w:rPr>
              <w:t>供应商须是水泥生产厂家或者一级经销商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具有《工业产品生产许可证》，</w:t>
            </w:r>
            <w:r>
              <w:rPr>
                <w:rFonts w:hint="eastAsia" w:ascii="宋体" w:hAnsi="宋体" w:eastAsia="宋体" w:cs="宋体"/>
                <w:color w:val="auto"/>
                <w:highlight w:val="none"/>
              </w:rPr>
              <w:t>经销商</w:t>
            </w:r>
            <w:r>
              <w:rPr>
                <w:rFonts w:hint="eastAsia" w:ascii="宋体" w:hAnsi="宋体" w:eastAsia="宋体" w:cs="宋体"/>
                <w:color w:val="auto"/>
                <w:highlight w:val="none"/>
                <w:lang w:val="en-US" w:eastAsia="zh-CN"/>
              </w:rPr>
              <w:t>提供</w:t>
            </w:r>
            <w:r>
              <w:rPr>
                <w:rFonts w:hint="eastAsia" w:ascii="宋体" w:hAnsi="宋体" w:eastAsia="宋体" w:cs="宋体"/>
                <w:color w:val="auto"/>
                <w:highlight w:val="none"/>
              </w:rPr>
              <w:t>生产厂家</w:t>
            </w:r>
            <w:r>
              <w:rPr>
                <w:rFonts w:hint="eastAsia" w:ascii="宋体" w:hAnsi="宋体" w:eastAsia="宋体" w:cs="宋体"/>
                <w:color w:val="auto"/>
                <w:highlight w:val="none"/>
                <w:lang w:val="en-US" w:eastAsia="zh-CN"/>
              </w:rPr>
              <w:t>《工业产品生产许可证》</w:t>
            </w:r>
          </w:p>
        </w:tc>
      </w:tr>
      <w:tr w14:paraId="4FB5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03" w:type="dxa"/>
            <w:vMerge w:val="continue"/>
            <w:vAlign w:val="center"/>
          </w:tcPr>
          <w:p w14:paraId="255731B0">
            <w:pPr>
              <w:jc w:val="center"/>
              <w:rPr>
                <w:rFonts w:hint="eastAsia" w:ascii="宋体" w:hAnsi="宋体" w:eastAsia="宋体" w:cs="宋体"/>
                <w:color w:val="auto"/>
                <w:vertAlign w:val="baseline"/>
              </w:rPr>
            </w:pPr>
          </w:p>
        </w:tc>
        <w:tc>
          <w:tcPr>
            <w:tcW w:w="1276" w:type="dxa"/>
            <w:vMerge w:val="continue"/>
            <w:vAlign w:val="center"/>
          </w:tcPr>
          <w:p w14:paraId="28706FF6">
            <w:pPr>
              <w:jc w:val="center"/>
              <w:rPr>
                <w:rFonts w:hint="eastAsia" w:ascii="宋体" w:hAnsi="宋体" w:eastAsia="宋体" w:cs="宋体"/>
                <w:color w:val="auto"/>
                <w:vertAlign w:val="baseline"/>
              </w:rPr>
            </w:pPr>
          </w:p>
        </w:tc>
        <w:tc>
          <w:tcPr>
            <w:tcW w:w="2033" w:type="dxa"/>
            <w:vAlign w:val="center"/>
          </w:tcPr>
          <w:p w14:paraId="1CB0AFC9">
            <w:pPr>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2.商砼（5家）</w:t>
            </w:r>
          </w:p>
        </w:tc>
        <w:tc>
          <w:tcPr>
            <w:tcW w:w="4465" w:type="dxa"/>
            <w:vAlign w:val="center"/>
          </w:tcPr>
          <w:p w14:paraId="17884C68">
            <w:pPr>
              <w:jc w:val="both"/>
              <w:rPr>
                <w:rFonts w:hint="eastAsia" w:ascii="宋体" w:hAnsi="宋体" w:eastAsia="宋体" w:cs="宋体"/>
                <w:color w:val="auto"/>
                <w:vertAlign w:val="baseline"/>
              </w:rPr>
            </w:pPr>
            <w:r>
              <w:rPr>
                <w:rFonts w:hint="eastAsia" w:ascii="宋体" w:hAnsi="宋体" w:eastAsia="宋体" w:cs="宋体"/>
                <w:color w:val="auto"/>
                <w:vertAlign w:val="baseline"/>
                <w:lang w:val="en-US" w:eastAsia="zh-CN"/>
              </w:rPr>
              <w:t>提供预拌混凝土专业承包资质</w:t>
            </w:r>
          </w:p>
        </w:tc>
      </w:tr>
      <w:tr w14:paraId="43DE7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03" w:type="dxa"/>
            <w:vMerge w:val="continue"/>
            <w:vAlign w:val="center"/>
          </w:tcPr>
          <w:p w14:paraId="36360DE1">
            <w:pPr>
              <w:jc w:val="center"/>
              <w:rPr>
                <w:rFonts w:hint="eastAsia" w:ascii="宋体" w:hAnsi="宋体" w:eastAsia="宋体" w:cs="宋体"/>
                <w:color w:val="auto"/>
                <w:vertAlign w:val="baseline"/>
              </w:rPr>
            </w:pPr>
          </w:p>
        </w:tc>
        <w:tc>
          <w:tcPr>
            <w:tcW w:w="1276" w:type="dxa"/>
            <w:vMerge w:val="continue"/>
            <w:vAlign w:val="center"/>
          </w:tcPr>
          <w:p w14:paraId="0D424C02">
            <w:pPr>
              <w:jc w:val="center"/>
              <w:rPr>
                <w:rFonts w:hint="eastAsia" w:ascii="宋体" w:hAnsi="宋体" w:eastAsia="宋体" w:cs="宋体"/>
                <w:color w:val="auto"/>
                <w:vertAlign w:val="baseline"/>
              </w:rPr>
            </w:pPr>
          </w:p>
        </w:tc>
        <w:tc>
          <w:tcPr>
            <w:tcW w:w="2033" w:type="dxa"/>
            <w:vAlign w:val="center"/>
          </w:tcPr>
          <w:p w14:paraId="126FC34E">
            <w:pPr>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3.钢材（10家）</w:t>
            </w:r>
          </w:p>
        </w:tc>
        <w:tc>
          <w:tcPr>
            <w:tcW w:w="4465" w:type="dxa"/>
            <w:vAlign w:val="center"/>
          </w:tcPr>
          <w:p w14:paraId="0B8D4F3C">
            <w:pPr>
              <w:jc w:val="both"/>
              <w:rPr>
                <w:rFonts w:hint="eastAsia" w:ascii="宋体" w:hAnsi="宋体" w:eastAsia="宋体" w:cs="宋体"/>
                <w:color w:val="auto"/>
                <w:vertAlign w:val="baseline"/>
              </w:rPr>
            </w:pPr>
            <w:r>
              <w:rPr>
                <w:rFonts w:hint="eastAsia" w:ascii="宋体" w:hAnsi="宋体" w:eastAsia="宋体" w:cs="宋体"/>
                <w:color w:val="auto"/>
                <w:highlight w:val="none"/>
              </w:rPr>
              <w:t>供应商须是钢</w:t>
            </w:r>
            <w:r>
              <w:rPr>
                <w:rFonts w:hint="eastAsia" w:ascii="宋体" w:hAnsi="宋体" w:eastAsia="宋体" w:cs="宋体"/>
                <w:color w:val="auto"/>
                <w:highlight w:val="none"/>
                <w:lang w:val="en-US" w:eastAsia="zh-CN"/>
              </w:rPr>
              <w:t>材</w:t>
            </w:r>
            <w:r>
              <w:rPr>
                <w:rFonts w:hint="eastAsia" w:ascii="宋体" w:hAnsi="宋体" w:eastAsia="宋体" w:cs="宋体"/>
                <w:color w:val="auto"/>
                <w:highlight w:val="none"/>
              </w:rPr>
              <w:t>生产厂家或者一级经销商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具有《工业产品生产许可证》，</w:t>
            </w:r>
            <w:r>
              <w:rPr>
                <w:rFonts w:hint="eastAsia" w:ascii="宋体" w:hAnsi="宋体" w:eastAsia="宋体" w:cs="宋体"/>
                <w:color w:val="auto"/>
                <w:highlight w:val="none"/>
              </w:rPr>
              <w:t>经销商</w:t>
            </w:r>
            <w:r>
              <w:rPr>
                <w:rFonts w:hint="eastAsia" w:ascii="宋体" w:hAnsi="宋体" w:eastAsia="宋体" w:cs="宋体"/>
                <w:color w:val="auto"/>
                <w:highlight w:val="none"/>
                <w:lang w:val="en-US" w:eastAsia="zh-CN"/>
              </w:rPr>
              <w:t>提供</w:t>
            </w:r>
            <w:r>
              <w:rPr>
                <w:rFonts w:hint="eastAsia" w:ascii="宋体" w:hAnsi="宋体" w:eastAsia="宋体" w:cs="宋体"/>
                <w:color w:val="auto"/>
                <w:highlight w:val="none"/>
              </w:rPr>
              <w:t>生产厂家</w:t>
            </w:r>
            <w:r>
              <w:rPr>
                <w:rFonts w:hint="eastAsia" w:ascii="宋体" w:hAnsi="宋体" w:eastAsia="宋体" w:cs="宋体"/>
                <w:color w:val="auto"/>
                <w:highlight w:val="none"/>
                <w:lang w:val="en-US" w:eastAsia="zh-CN"/>
              </w:rPr>
              <w:t>《工业产品生产许可证》</w:t>
            </w:r>
          </w:p>
        </w:tc>
      </w:tr>
      <w:tr w14:paraId="50D9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03" w:type="dxa"/>
            <w:vMerge w:val="continue"/>
            <w:vAlign w:val="center"/>
          </w:tcPr>
          <w:p w14:paraId="6FD7B33E">
            <w:pPr>
              <w:jc w:val="center"/>
              <w:rPr>
                <w:rFonts w:hint="eastAsia" w:ascii="宋体" w:hAnsi="宋体" w:eastAsia="宋体" w:cs="宋体"/>
                <w:color w:val="auto"/>
                <w:vertAlign w:val="baseline"/>
              </w:rPr>
            </w:pPr>
          </w:p>
        </w:tc>
        <w:tc>
          <w:tcPr>
            <w:tcW w:w="1276" w:type="dxa"/>
            <w:vMerge w:val="continue"/>
            <w:vAlign w:val="center"/>
          </w:tcPr>
          <w:p w14:paraId="77E482EC">
            <w:pPr>
              <w:jc w:val="center"/>
              <w:rPr>
                <w:rFonts w:hint="eastAsia" w:ascii="宋体" w:hAnsi="宋体" w:eastAsia="宋体" w:cs="宋体"/>
                <w:color w:val="auto"/>
                <w:vertAlign w:val="baseline"/>
              </w:rPr>
            </w:pPr>
          </w:p>
        </w:tc>
        <w:tc>
          <w:tcPr>
            <w:tcW w:w="2033" w:type="dxa"/>
            <w:vAlign w:val="center"/>
          </w:tcPr>
          <w:p w14:paraId="2902B3F2">
            <w:pPr>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4.建筑装饰装修材料（10家）</w:t>
            </w:r>
          </w:p>
        </w:tc>
        <w:tc>
          <w:tcPr>
            <w:tcW w:w="4465" w:type="dxa"/>
            <w:vAlign w:val="center"/>
          </w:tcPr>
          <w:p w14:paraId="31009D44">
            <w:pPr>
              <w:jc w:val="both"/>
              <w:rPr>
                <w:rFonts w:hint="eastAsia" w:ascii="宋体" w:hAnsi="宋体" w:eastAsia="宋体" w:cs="宋体"/>
                <w:color w:val="auto"/>
                <w:vertAlign w:val="baseline"/>
              </w:rPr>
            </w:pPr>
            <w:r>
              <w:rPr>
                <w:rFonts w:hint="eastAsia" w:ascii="宋体" w:hAnsi="宋体" w:eastAsia="宋体" w:cs="宋体"/>
                <w:color w:val="auto"/>
                <w:highlight w:val="none"/>
                <w:lang w:val="en-US" w:eastAsia="zh-CN"/>
              </w:rPr>
              <w:t>供应商具有建筑装饰装修材料类营业执照</w:t>
            </w:r>
          </w:p>
        </w:tc>
      </w:tr>
      <w:tr w14:paraId="3F591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03" w:type="dxa"/>
            <w:vMerge w:val="restart"/>
            <w:vAlign w:val="center"/>
          </w:tcPr>
          <w:p w14:paraId="602AE53E">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第三包</w:t>
            </w:r>
          </w:p>
        </w:tc>
        <w:tc>
          <w:tcPr>
            <w:tcW w:w="1276" w:type="dxa"/>
            <w:vMerge w:val="restart"/>
            <w:vAlign w:val="center"/>
          </w:tcPr>
          <w:p w14:paraId="0D15CF74">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百货类</w:t>
            </w:r>
          </w:p>
        </w:tc>
        <w:tc>
          <w:tcPr>
            <w:tcW w:w="2033" w:type="dxa"/>
            <w:vAlign w:val="center"/>
          </w:tcPr>
          <w:p w14:paraId="7846D4ED">
            <w:pPr>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1.酒水（10家）</w:t>
            </w:r>
          </w:p>
        </w:tc>
        <w:tc>
          <w:tcPr>
            <w:tcW w:w="4465" w:type="dxa"/>
            <w:vAlign w:val="center"/>
          </w:tcPr>
          <w:p w14:paraId="0E94C15E">
            <w:pPr>
              <w:jc w:val="both"/>
              <w:rPr>
                <w:rFonts w:hint="eastAsia" w:ascii="宋体" w:hAnsi="宋体" w:eastAsia="宋体" w:cs="宋体"/>
                <w:color w:val="auto"/>
                <w:vertAlign w:val="baseline"/>
              </w:rPr>
            </w:pPr>
            <w:r>
              <w:rPr>
                <w:rFonts w:hint="eastAsia" w:ascii="宋体" w:hAnsi="宋体" w:eastAsia="宋体" w:cs="宋体"/>
                <w:color w:val="auto"/>
                <w:highlight w:val="none"/>
                <w:lang w:val="en-US" w:eastAsia="zh-CN"/>
              </w:rPr>
              <w:t>供应商具有批发零售、百货类营业执照《食品经营许可证》</w:t>
            </w:r>
          </w:p>
        </w:tc>
      </w:tr>
      <w:tr w14:paraId="6DD39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03" w:type="dxa"/>
            <w:vMerge w:val="continue"/>
            <w:vAlign w:val="center"/>
          </w:tcPr>
          <w:p w14:paraId="536F917C">
            <w:pPr>
              <w:jc w:val="center"/>
              <w:rPr>
                <w:rFonts w:hint="eastAsia" w:ascii="宋体" w:hAnsi="宋体" w:eastAsia="宋体" w:cs="宋体"/>
                <w:color w:val="auto"/>
                <w:vertAlign w:val="baseline"/>
              </w:rPr>
            </w:pPr>
          </w:p>
        </w:tc>
        <w:tc>
          <w:tcPr>
            <w:tcW w:w="1276" w:type="dxa"/>
            <w:vMerge w:val="continue"/>
            <w:vAlign w:val="center"/>
          </w:tcPr>
          <w:p w14:paraId="10726FE3">
            <w:pPr>
              <w:jc w:val="center"/>
              <w:rPr>
                <w:rFonts w:hint="eastAsia" w:ascii="宋体" w:hAnsi="宋体" w:eastAsia="宋体" w:cs="宋体"/>
                <w:color w:val="auto"/>
                <w:vertAlign w:val="baseline"/>
              </w:rPr>
            </w:pPr>
          </w:p>
        </w:tc>
        <w:tc>
          <w:tcPr>
            <w:tcW w:w="2033" w:type="dxa"/>
            <w:vAlign w:val="center"/>
          </w:tcPr>
          <w:p w14:paraId="488BE078">
            <w:pPr>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2.饮料（10家）</w:t>
            </w:r>
          </w:p>
        </w:tc>
        <w:tc>
          <w:tcPr>
            <w:tcW w:w="4465" w:type="dxa"/>
            <w:vAlign w:val="center"/>
          </w:tcPr>
          <w:p w14:paraId="55854AD8">
            <w:pPr>
              <w:jc w:val="both"/>
              <w:rPr>
                <w:rFonts w:hint="eastAsia" w:ascii="宋体" w:hAnsi="宋体" w:eastAsia="宋体" w:cs="宋体"/>
                <w:color w:val="auto"/>
                <w:vertAlign w:val="baseline"/>
              </w:rPr>
            </w:pPr>
            <w:r>
              <w:rPr>
                <w:rFonts w:hint="eastAsia" w:ascii="宋体" w:hAnsi="宋体" w:eastAsia="宋体" w:cs="宋体"/>
                <w:color w:val="auto"/>
                <w:highlight w:val="none"/>
                <w:lang w:val="en-US" w:eastAsia="zh-CN"/>
              </w:rPr>
              <w:t>供应商具有批发零售、百货类营业执照《食品经营许可证》</w:t>
            </w:r>
          </w:p>
        </w:tc>
      </w:tr>
      <w:tr w14:paraId="5836B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03" w:type="dxa"/>
            <w:vMerge w:val="continue"/>
            <w:vAlign w:val="center"/>
          </w:tcPr>
          <w:p w14:paraId="02503850">
            <w:pPr>
              <w:jc w:val="center"/>
              <w:rPr>
                <w:rFonts w:hint="eastAsia" w:ascii="宋体" w:hAnsi="宋体" w:eastAsia="宋体" w:cs="宋体"/>
                <w:color w:val="auto"/>
                <w:vertAlign w:val="baseline"/>
              </w:rPr>
            </w:pPr>
          </w:p>
        </w:tc>
        <w:tc>
          <w:tcPr>
            <w:tcW w:w="1276" w:type="dxa"/>
            <w:vMerge w:val="continue"/>
            <w:vAlign w:val="center"/>
          </w:tcPr>
          <w:p w14:paraId="3CEC8541">
            <w:pPr>
              <w:jc w:val="center"/>
              <w:rPr>
                <w:rFonts w:hint="eastAsia" w:ascii="宋体" w:hAnsi="宋体" w:eastAsia="宋体" w:cs="宋体"/>
                <w:color w:val="auto"/>
                <w:vertAlign w:val="baseline"/>
              </w:rPr>
            </w:pPr>
          </w:p>
        </w:tc>
        <w:tc>
          <w:tcPr>
            <w:tcW w:w="2033" w:type="dxa"/>
            <w:vAlign w:val="center"/>
          </w:tcPr>
          <w:p w14:paraId="2519F7DC">
            <w:pPr>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3.日杂用品（20家）</w:t>
            </w:r>
          </w:p>
        </w:tc>
        <w:tc>
          <w:tcPr>
            <w:tcW w:w="4465" w:type="dxa"/>
            <w:vAlign w:val="center"/>
          </w:tcPr>
          <w:p w14:paraId="743361C7">
            <w:pPr>
              <w:jc w:val="both"/>
              <w:rPr>
                <w:rFonts w:hint="eastAsia" w:ascii="宋体" w:hAnsi="宋体" w:eastAsia="宋体" w:cs="宋体"/>
                <w:color w:val="auto"/>
                <w:vertAlign w:val="baseline"/>
              </w:rPr>
            </w:pPr>
            <w:r>
              <w:rPr>
                <w:rFonts w:hint="eastAsia" w:ascii="宋体" w:hAnsi="宋体" w:eastAsia="宋体" w:cs="宋体"/>
                <w:color w:val="auto"/>
                <w:highlight w:val="none"/>
                <w:lang w:val="en-US" w:eastAsia="zh-CN"/>
              </w:rPr>
              <w:t>供应商具有批发零售、百货类营业执照</w:t>
            </w:r>
          </w:p>
        </w:tc>
      </w:tr>
      <w:tr w14:paraId="76A8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03" w:type="dxa"/>
            <w:vAlign w:val="center"/>
          </w:tcPr>
          <w:p w14:paraId="6540FDEE">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第四包</w:t>
            </w:r>
          </w:p>
        </w:tc>
        <w:tc>
          <w:tcPr>
            <w:tcW w:w="1276" w:type="dxa"/>
            <w:vAlign w:val="center"/>
          </w:tcPr>
          <w:p w14:paraId="05198906">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茶叶类</w:t>
            </w:r>
          </w:p>
        </w:tc>
        <w:tc>
          <w:tcPr>
            <w:tcW w:w="2033" w:type="dxa"/>
            <w:vAlign w:val="center"/>
          </w:tcPr>
          <w:p w14:paraId="446CE760">
            <w:pPr>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生产企业（10家）</w:t>
            </w:r>
          </w:p>
        </w:tc>
        <w:tc>
          <w:tcPr>
            <w:tcW w:w="4465" w:type="dxa"/>
            <w:vAlign w:val="center"/>
          </w:tcPr>
          <w:p w14:paraId="17AAA7F0">
            <w:pPr>
              <w:jc w:val="both"/>
              <w:rPr>
                <w:rFonts w:hint="eastAsia" w:ascii="宋体" w:hAnsi="宋体" w:eastAsia="宋体" w:cs="宋体"/>
                <w:color w:val="auto"/>
                <w:vertAlign w:val="baseline"/>
              </w:rPr>
            </w:pPr>
            <w:r>
              <w:rPr>
                <w:rFonts w:hint="eastAsia" w:ascii="宋体" w:hAnsi="宋体" w:eastAsia="宋体" w:cs="宋体"/>
                <w:color w:val="auto"/>
                <w:highlight w:val="none"/>
                <w:lang w:val="en-US" w:eastAsia="zh-CN"/>
              </w:rPr>
              <w:t>提供《食品生产许可证》</w:t>
            </w:r>
          </w:p>
        </w:tc>
      </w:tr>
      <w:tr w14:paraId="3B8C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03" w:type="dxa"/>
            <w:vAlign w:val="center"/>
          </w:tcPr>
          <w:p w14:paraId="258774AA">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第五包</w:t>
            </w:r>
          </w:p>
        </w:tc>
        <w:tc>
          <w:tcPr>
            <w:tcW w:w="1276" w:type="dxa"/>
            <w:vAlign w:val="center"/>
          </w:tcPr>
          <w:p w14:paraId="12BD8CE1">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办公用品</w:t>
            </w:r>
          </w:p>
        </w:tc>
        <w:tc>
          <w:tcPr>
            <w:tcW w:w="2033" w:type="dxa"/>
            <w:vAlign w:val="center"/>
          </w:tcPr>
          <w:p w14:paraId="56A5AC89">
            <w:pPr>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（5家）</w:t>
            </w:r>
          </w:p>
        </w:tc>
        <w:tc>
          <w:tcPr>
            <w:tcW w:w="4465" w:type="dxa"/>
            <w:vAlign w:val="center"/>
          </w:tcPr>
          <w:p w14:paraId="36640123">
            <w:pPr>
              <w:jc w:val="both"/>
              <w:rPr>
                <w:rFonts w:hint="eastAsia" w:ascii="宋体" w:hAnsi="宋体" w:eastAsia="宋体" w:cs="宋体"/>
                <w:color w:val="auto"/>
                <w:vertAlign w:val="baseline"/>
              </w:rPr>
            </w:pPr>
            <w:r>
              <w:rPr>
                <w:rFonts w:hint="eastAsia" w:ascii="宋体" w:hAnsi="宋体" w:eastAsia="宋体" w:cs="宋体"/>
                <w:color w:val="auto"/>
                <w:highlight w:val="none"/>
                <w:lang w:val="en-US" w:eastAsia="zh-CN"/>
              </w:rPr>
              <w:t>供应商具有相关经营范围的营业执照</w:t>
            </w:r>
          </w:p>
        </w:tc>
      </w:tr>
      <w:tr w14:paraId="4798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03" w:type="dxa"/>
            <w:vAlign w:val="center"/>
          </w:tcPr>
          <w:p w14:paraId="61C631E4">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第六包</w:t>
            </w:r>
          </w:p>
        </w:tc>
        <w:tc>
          <w:tcPr>
            <w:tcW w:w="1276" w:type="dxa"/>
            <w:vAlign w:val="center"/>
          </w:tcPr>
          <w:p w14:paraId="5DA900E8">
            <w:pPr>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农用产品</w:t>
            </w:r>
          </w:p>
        </w:tc>
        <w:tc>
          <w:tcPr>
            <w:tcW w:w="2033" w:type="dxa"/>
            <w:vAlign w:val="center"/>
          </w:tcPr>
          <w:p w14:paraId="413CE788">
            <w:pPr>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农肥（5家）</w:t>
            </w:r>
          </w:p>
        </w:tc>
        <w:tc>
          <w:tcPr>
            <w:tcW w:w="4465" w:type="dxa"/>
            <w:vAlign w:val="center"/>
          </w:tcPr>
          <w:p w14:paraId="424DA33F">
            <w:pPr>
              <w:jc w:val="both"/>
              <w:rPr>
                <w:rFonts w:hint="eastAsia" w:ascii="宋体" w:hAnsi="宋体" w:eastAsia="宋体" w:cs="宋体"/>
                <w:b/>
                <w:bCs/>
                <w:color w:val="auto"/>
                <w:vertAlign w:val="baseline"/>
              </w:rPr>
            </w:pPr>
            <w:r>
              <w:rPr>
                <w:rFonts w:hint="eastAsia" w:ascii="宋体" w:hAnsi="宋体" w:eastAsia="宋体" w:cs="宋体"/>
                <w:color w:val="auto"/>
                <w:highlight w:val="none"/>
                <w:lang w:val="en-US" w:eastAsia="zh-CN"/>
              </w:rPr>
              <w:t>提供《肥料登记证》</w:t>
            </w:r>
          </w:p>
        </w:tc>
      </w:tr>
      <w:tr w14:paraId="6877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03" w:type="dxa"/>
            <w:vAlign w:val="center"/>
          </w:tcPr>
          <w:p w14:paraId="1EF6119A">
            <w:pPr>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第七包</w:t>
            </w:r>
          </w:p>
        </w:tc>
        <w:tc>
          <w:tcPr>
            <w:tcW w:w="1276" w:type="dxa"/>
            <w:vAlign w:val="center"/>
          </w:tcPr>
          <w:p w14:paraId="567F0090">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燃料类</w:t>
            </w:r>
          </w:p>
        </w:tc>
        <w:tc>
          <w:tcPr>
            <w:tcW w:w="2033" w:type="dxa"/>
            <w:vAlign w:val="center"/>
          </w:tcPr>
          <w:p w14:paraId="2E8A0172">
            <w:pPr>
              <w:jc w:val="both"/>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生物燃料（5家）</w:t>
            </w:r>
          </w:p>
        </w:tc>
        <w:tc>
          <w:tcPr>
            <w:tcW w:w="4465" w:type="dxa"/>
            <w:vAlign w:val="center"/>
          </w:tcPr>
          <w:p w14:paraId="3296ADD0">
            <w:pPr>
              <w:jc w:val="both"/>
              <w:rPr>
                <w:rFonts w:hint="eastAsia" w:ascii="宋体" w:hAnsi="宋体" w:eastAsia="宋体" w:cs="宋体"/>
                <w:color w:val="auto"/>
                <w:vertAlign w:val="baseline"/>
              </w:rPr>
            </w:pPr>
            <w:r>
              <w:rPr>
                <w:rFonts w:hint="eastAsia" w:ascii="宋体" w:hAnsi="宋体" w:eastAsia="宋体" w:cs="宋体"/>
                <w:color w:val="auto"/>
                <w:highlight w:val="none"/>
                <w:lang w:val="en-US" w:eastAsia="zh-CN"/>
              </w:rPr>
              <w:t>具有相关经营范围的营业执照《危险化学品经营许可证》</w:t>
            </w:r>
          </w:p>
        </w:tc>
      </w:tr>
    </w:tbl>
    <w:p w14:paraId="2E2B8E95">
      <w:pPr>
        <w:keepNext w:val="0"/>
        <w:keepLines w:val="0"/>
        <w:pageBreakBefore w:val="0"/>
        <w:kinsoku/>
        <w:wordWrap/>
        <w:overflowPunct/>
        <w:topLinePunct w:val="0"/>
        <w:autoSpaceDE/>
        <w:autoSpaceDN/>
        <w:bidi w:val="0"/>
        <w:adjustRightInd/>
        <w:snapToGrid/>
        <w:spacing w:line="440" w:lineRule="exact"/>
        <w:jc w:val="left"/>
        <w:outlineLvl w:val="9"/>
        <w:rPr>
          <w:rFonts w:hint="eastAsia" w:ascii="宋体" w:hAnsi="宋体" w:eastAsia="宋体" w:cs="宋体"/>
          <w:b/>
          <w:bCs/>
          <w:color w:val="auto"/>
          <w:sz w:val="28"/>
          <w:szCs w:val="28"/>
          <w:highlight w:val="none"/>
          <w:lang w:val="en-US" w:eastAsia="zh-CN"/>
        </w:rPr>
      </w:pPr>
      <w:bookmarkStart w:id="7" w:name="_Toc551"/>
      <w:bookmarkStart w:id="8" w:name="_Toc23611"/>
      <w:bookmarkStart w:id="9" w:name="_Toc1754"/>
      <w:r>
        <w:rPr>
          <w:rFonts w:hint="eastAsia" w:ascii="宋体" w:hAnsi="宋体" w:eastAsia="宋体" w:cs="宋体"/>
          <w:b/>
          <w:bCs/>
          <w:color w:val="auto"/>
          <w:sz w:val="28"/>
          <w:szCs w:val="28"/>
          <w:highlight w:val="none"/>
          <w:lang w:val="en-US" w:eastAsia="zh-CN"/>
        </w:rPr>
        <w:t>4.资格审查方式</w:t>
      </w:r>
      <w:bookmarkEnd w:id="7"/>
      <w:bookmarkEnd w:id="8"/>
      <w:bookmarkEnd w:id="9"/>
    </w:p>
    <w:p w14:paraId="4DA7B99A">
      <w:pPr>
        <w:keepNext w:val="0"/>
        <w:keepLines w:val="0"/>
        <w:pageBreakBefore w:val="0"/>
        <w:kinsoku/>
        <w:wordWrap/>
        <w:overflowPunct/>
        <w:topLinePunct w:val="0"/>
        <w:autoSpaceDE/>
        <w:autoSpaceDN/>
        <w:bidi w:val="0"/>
        <w:adjustRightInd/>
        <w:snapToGrid/>
        <w:spacing w:line="44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本次招标采用资格后审。</w:t>
      </w:r>
    </w:p>
    <w:p w14:paraId="1613F4DB">
      <w:pPr>
        <w:keepNext w:val="0"/>
        <w:keepLines w:val="0"/>
        <w:pageBreakBefore w:val="0"/>
        <w:kinsoku/>
        <w:wordWrap/>
        <w:overflowPunct/>
        <w:topLinePunct w:val="0"/>
        <w:autoSpaceDE/>
        <w:autoSpaceDN/>
        <w:bidi w:val="0"/>
        <w:adjustRightInd/>
        <w:snapToGrid/>
        <w:spacing w:line="440" w:lineRule="exact"/>
        <w:jc w:val="left"/>
        <w:outlineLvl w:val="9"/>
        <w:rPr>
          <w:rFonts w:hint="eastAsia" w:ascii="宋体" w:hAnsi="宋体" w:eastAsia="宋体" w:cs="宋体"/>
          <w:b/>
          <w:bCs/>
          <w:color w:val="auto"/>
          <w:sz w:val="28"/>
          <w:szCs w:val="28"/>
          <w:highlight w:val="none"/>
          <w:lang w:val="en-US" w:eastAsia="zh-CN"/>
        </w:rPr>
      </w:pPr>
      <w:bookmarkStart w:id="10" w:name="_Toc21211"/>
      <w:bookmarkStart w:id="11" w:name="_Toc25080"/>
      <w:bookmarkStart w:id="12" w:name="_Toc12016"/>
      <w:bookmarkStart w:id="13" w:name="_Toc31044"/>
      <w:bookmarkStart w:id="14" w:name="_Toc27850"/>
      <w:bookmarkStart w:id="15" w:name="_Toc32103"/>
      <w:bookmarkStart w:id="16" w:name="_Toc6188"/>
      <w:bookmarkStart w:id="17" w:name="_Toc387647196"/>
      <w:bookmarkStart w:id="18" w:name="_Toc152042292"/>
      <w:bookmarkStart w:id="19" w:name="_Toc19131"/>
      <w:bookmarkStart w:id="20" w:name="_Toc179632532"/>
      <w:bookmarkStart w:id="21" w:name="_Toc152045516"/>
      <w:bookmarkStart w:id="22" w:name="_Toc144974484"/>
      <w:r>
        <w:rPr>
          <w:rFonts w:hint="eastAsia" w:ascii="宋体" w:hAnsi="宋体" w:eastAsia="宋体" w:cs="宋体"/>
          <w:b/>
          <w:bCs/>
          <w:color w:val="auto"/>
          <w:sz w:val="28"/>
          <w:szCs w:val="28"/>
          <w:highlight w:val="none"/>
          <w:lang w:val="en-US" w:eastAsia="zh-CN"/>
        </w:rPr>
        <w:t>5.招标文件获取</w:t>
      </w:r>
      <w:bookmarkEnd w:id="10"/>
      <w:bookmarkEnd w:id="11"/>
      <w:bookmarkEnd w:id="12"/>
      <w:bookmarkEnd w:id="13"/>
      <w:bookmarkEnd w:id="14"/>
      <w:bookmarkEnd w:id="15"/>
      <w:bookmarkEnd w:id="16"/>
    </w:p>
    <w:bookmarkEnd w:id="17"/>
    <w:bookmarkEnd w:id="18"/>
    <w:bookmarkEnd w:id="19"/>
    <w:bookmarkEnd w:id="20"/>
    <w:bookmarkEnd w:id="21"/>
    <w:bookmarkEnd w:id="22"/>
    <w:p w14:paraId="5D2D514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2"/>
          <w:sz w:val="24"/>
          <w:highlight w:val="none"/>
          <w:lang w:eastAsia="zh-CN"/>
        </w:rPr>
      </w:pPr>
      <w:r>
        <w:rPr>
          <w:rFonts w:hint="eastAsia" w:ascii="宋体" w:hAnsi="宋体" w:eastAsia="宋体" w:cs="宋体"/>
          <w:color w:val="auto"/>
          <w:kern w:val="2"/>
          <w:sz w:val="24"/>
          <w:highlight w:val="none"/>
          <w:lang w:eastAsia="zh-CN"/>
        </w:rPr>
        <w:t>1、时间：202</w:t>
      </w:r>
      <w:r>
        <w:rPr>
          <w:rFonts w:hint="eastAsia" w:ascii="宋体" w:hAnsi="宋体" w:eastAsia="宋体" w:cs="宋体"/>
          <w:color w:val="auto"/>
          <w:kern w:val="2"/>
          <w:sz w:val="24"/>
          <w:highlight w:val="none"/>
          <w:lang w:val="en-US" w:eastAsia="zh-CN"/>
        </w:rPr>
        <w:t>4</w:t>
      </w:r>
      <w:r>
        <w:rPr>
          <w:rFonts w:hint="eastAsia" w:ascii="宋体" w:hAnsi="宋体" w:eastAsia="宋体" w:cs="宋体"/>
          <w:color w:val="auto"/>
          <w:kern w:val="2"/>
          <w:sz w:val="24"/>
          <w:highlight w:val="none"/>
          <w:lang w:eastAsia="zh-CN"/>
        </w:rPr>
        <w:t>年</w:t>
      </w:r>
      <w:r>
        <w:rPr>
          <w:rFonts w:hint="eastAsia" w:ascii="宋体" w:hAnsi="宋体" w:cs="宋体"/>
          <w:color w:val="auto"/>
          <w:kern w:val="2"/>
          <w:sz w:val="24"/>
          <w:highlight w:val="none"/>
          <w:lang w:val="en-US" w:eastAsia="zh-CN"/>
        </w:rPr>
        <w:t>12</w:t>
      </w:r>
      <w:r>
        <w:rPr>
          <w:rFonts w:hint="eastAsia" w:ascii="宋体" w:hAnsi="宋体" w:eastAsia="宋体" w:cs="宋体"/>
          <w:color w:val="auto"/>
          <w:kern w:val="2"/>
          <w:sz w:val="24"/>
          <w:highlight w:val="none"/>
          <w:lang w:eastAsia="zh-CN"/>
        </w:rPr>
        <w:t>月</w:t>
      </w:r>
      <w:r>
        <w:rPr>
          <w:rFonts w:hint="eastAsia" w:ascii="宋体" w:hAnsi="宋体" w:cs="宋体"/>
          <w:color w:val="auto"/>
          <w:kern w:val="2"/>
          <w:sz w:val="24"/>
          <w:highlight w:val="none"/>
          <w:lang w:val="en-US" w:eastAsia="zh-CN"/>
        </w:rPr>
        <w:t>5</w:t>
      </w:r>
      <w:r>
        <w:rPr>
          <w:rFonts w:hint="eastAsia" w:ascii="宋体" w:hAnsi="宋体" w:eastAsia="宋体" w:cs="宋体"/>
          <w:color w:val="auto"/>
          <w:kern w:val="2"/>
          <w:sz w:val="24"/>
          <w:highlight w:val="none"/>
          <w:lang w:eastAsia="zh-CN"/>
        </w:rPr>
        <w:t>日至202</w:t>
      </w:r>
      <w:r>
        <w:rPr>
          <w:rFonts w:hint="eastAsia" w:ascii="宋体" w:hAnsi="宋体" w:eastAsia="宋体" w:cs="宋体"/>
          <w:color w:val="auto"/>
          <w:kern w:val="2"/>
          <w:sz w:val="24"/>
          <w:highlight w:val="none"/>
          <w:lang w:val="en-US" w:eastAsia="zh-CN"/>
        </w:rPr>
        <w:t>4</w:t>
      </w:r>
      <w:r>
        <w:rPr>
          <w:rFonts w:hint="eastAsia" w:ascii="宋体" w:hAnsi="宋体" w:eastAsia="宋体" w:cs="宋体"/>
          <w:color w:val="auto"/>
          <w:kern w:val="2"/>
          <w:sz w:val="24"/>
          <w:highlight w:val="none"/>
          <w:lang w:eastAsia="zh-CN"/>
        </w:rPr>
        <w:t>年</w:t>
      </w:r>
      <w:r>
        <w:rPr>
          <w:rFonts w:hint="eastAsia" w:ascii="宋体" w:hAnsi="宋体" w:cs="宋体"/>
          <w:color w:val="auto"/>
          <w:kern w:val="2"/>
          <w:sz w:val="24"/>
          <w:highlight w:val="none"/>
          <w:lang w:val="en-US" w:eastAsia="zh-CN"/>
        </w:rPr>
        <w:t>12</w:t>
      </w:r>
      <w:r>
        <w:rPr>
          <w:rFonts w:hint="eastAsia" w:ascii="宋体" w:hAnsi="宋体" w:eastAsia="宋体" w:cs="宋体"/>
          <w:color w:val="auto"/>
          <w:kern w:val="2"/>
          <w:sz w:val="24"/>
          <w:highlight w:val="none"/>
          <w:lang w:eastAsia="zh-CN"/>
        </w:rPr>
        <w:t>月</w:t>
      </w:r>
      <w:r>
        <w:rPr>
          <w:rFonts w:hint="eastAsia" w:ascii="宋体" w:hAnsi="宋体" w:cs="宋体"/>
          <w:color w:val="auto"/>
          <w:kern w:val="2"/>
          <w:sz w:val="24"/>
          <w:highlight w:val="none"/>
          <w:lang w:val="en-US" w:eastAsia="zh-CN"/>
        </w:rPr>
        <w:t>11</w:t>
      </w:r>
      <w:r>
        <w:rPr>
          <w:rFonts w:hint="eastAsia" w:ascii="宋体" w:hAnsi="宋体" w:eastAsia="宋体" w:cs="宋体"/>
          <w:color w:val="auto"/>
          <w:kern w:val="2"/>
          <w:sz w:val="24"/>
          <w:highlight w:val="none"/>
          <w:lang w:eastAsia="zh-CN"/>
        </w:rPr>
        <w:t>日，每日上午8：30分至12：00分，下午14：30分至17：30时（北京时间，法定节假日除外 ）；</w:t>
      </w:r>
    </w:p>
    <w:p w14:paraId="47BE6CE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kern w:val="2"/>
          <w:sz w:val="24"/>
          <w:highlight w:val="none"/>
          <w:lang w:eastAsia="zh-CN"/>
        </w:rPr>
      </w:pPr>
      <w:r>
        <w:rPr>
          <w:rFonts w:hint="eastAsia" w:ascii="宋体" w:hAnsi="宋体" w:eastAsia="宋体" w:cs="宋体"/>
          <w:color w:val="auto"/>
          <w:kern w:val="2"/>
          <w:sz w:val="24"/>
          <w:highlight w:val="none"/>
          <w:lang w:eastAsia="zh-CN"/>
        </w:rPr>
        <w:t>2、地点：</w:t>
      </w:r>
      <w:r>
        <w:rPr>
          <w:rFonts w:hint="eastAsia" w:ascii="宋体" w:hAnsi="宋体" w:eastAsia="宋体" w:cs="宋体"/>
          <w:color w:val="auto"/>
          <w:sz w:val="24"/>
          <w:szCs w:val="24"/>
          <w:highlight w:val="none"/>
          <w:lang w:eastAsia="zh-CN"/>
        </w:rPr>
        <w:t>宣恩县</w:t>
      </w:r>
      <w:r>
        <w:rPr>
          <w:rFonts w:hint="eastAsia" w:ascii="宋体" w:hAnsi="宋体" w:eastAsia="宋体" w:cs="宋体"/>
          <w:color w:val="auto"/>
          <w:sz w:val="24"/>
          <w:szCs w:val="24"/>
          <w:highlight w:val="none"/>
          <w:lang w:val="en-US" w:eastAsia="zh-CN"/>
        </w:rPr>
        <w:t>珠山镇兴隆安置小区16栋201室（湖北省致兴工程管理有限公司）</w:t>
      </w:r>
      <w:r>
        <w:rPr>
          <w:rFonts w:hint="eastAsia" w:ascii="宋体" w:hAnsi="宋体" w:eastAsia="宋体" w:cs="宋体"/>
          <w:color w:val="auto"/>
          <w:kern w:val="2"/>
          <w:sz w:val="24"/>
          <w:highlight w:val="none"/>
          <w:lang w:eastAsia="zh-CN"/>
        </w:rPr>
        <w:t>；</w:t>
      </w:r>
    </w:p>
    <w:p w14:paraId="7B295E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eastAsia="zh-CN"/>
        </w:rPr>
        <w:t>3、方式：凡有意参加</w:t>
      </w:r>
      <w:r>
        <w:rPr>
          <w:rFonts w:hint="eastAsia" w:ascii="宋体" w:hAnsi="宋体" w:eastAsia="宋体" w:cs="宋体"/>
          <w:color w:val="auto"/>
          <w:kern w:val="2"/>
          <w:sz w:val="24"/>
          <w:highlight w:val="none"/>
          <w:lang w:val="en-US" w:eastAsia="zh-CN"/>
        </w:rPr>
        <w:t>投标</w:t>
      </w:r>
      <w:r>
        <w:rPr>
          <w:rFonts w:hint="eastAsia" w:ascii="宋体" w:hAnsi="宋体" w:eastAsia="宋体" w:cs="宋体"/>
          <w:color w:val="auto"/>
          <w:kern w:val="2"/>
          <w:sz w:val="24"/>
          <w:highlight w:val="none"/>
          <w:lang w:eastAsia="zh-CN"/>
        </w:rPr>
        <w:t>者，</w:t>
      </w:r>
      <w:r>
        <w:rPr>
          <w:rFonts w:hint="eastAsia" w:ascii="宋体" w:hAnsi="宋体" w:eastAsia="宋体" w:cs="宋体"/>
          <w:color w:val="auto"/>
          <w:kern w:val="2"/>
          <w:sz w:val="24"/>
          <w:highlight w:val="yellow"/>
          <w:lang w:val="en-US" w:eastAsia="zh-CN"/>
        </w:rPr>
        <w:t>请</w:t>
      </w:r>
      <w:r>
        <w:rPr>
          <w:rFonts w:hint="eastAsia" w:ascii="宋体" w:hAnsi="宋体" w:eastAsia="宋体" w:cs="宋体"/>
          <w:color w:val="auto"/>
          <w:sz w:val="24"/>
          <w:szCs w:val="24"/>
          <w:highlight w:val="yellow"/>
          <w:lang w:val="en-US" w:eastAsia="zh-CN"/>
        </w:rPr>
        <w:t>将报名登记表、法定代表人身份证明或法人或个体工商户经营者授权委托书、营业执照复印件及资质证书复印件等资料，加盖公章一套扫描后发送至</w:t>
      </w:r>
      <w:r>
        <w:rPr>
          <w:rFonts w:hint="eastAsia" w:ascii="宋体" w:hAnsi="宋体" w:eastAsia="宋体" w:cs="宋体"/>
          <w:color w:val="auto"/>
          <w:sz w:val="24"/>
          <w:szCs w:val="24"/>
          <w:highlight w:val="yellow"/>
          <w:lang w:val="en-US" w:eastAsia="zh-CN"/>
        </w:rPr>
        <w:fldChar w:fldCharType="begin"/>
      </w:r>
      <w:r>
        <w:rPr>
          <w:rFonts w:hint="eastAsia" w:ascii="宋体" w:hAnsi="宋体" w:eastAsia="宋体" w:cs="宋体"/>
          <w:color w:val="auto"/>
          <w:sz w:val="24"/>
          <w:szCs w:val="24"/>
          <w:highlight w:val="yellow"/>
          <w:lang w:val="en-US" w:eastAsia="zh-CN"/>
        </w:rPr>
        <w:instrText xml:space="preserve"> HYPERLINK "mailto:478348726@qq.com" </w:instrText>
      </w:r>
      <w:r>
        <w:rPr>
          <w:rFonts w:hint="eastAsia" w:ascii="宋体" w:hAnsi="宋体" w:eastAsia="宋体" w:cs="宋体"/>
          <w:color w:val="auto"/>
          <w:sz w:val="24"/>
          <w:szCs w:val="24"/>
          <w:highlight w:val="yellow"/>
          <w:lang w:val="en-US" w:eastAsia="zh-CN"/>
        </w:rPr>
        <w:fldChar w:fldCharType="separate"/>
      </w:r>
      <w:r>
        <w:rPr>
          <w:rFonts w:hint="eastAsia" w:ascii="宋体" w:hAnsi="宋体" w:eastAsia="宋体" w:cs="宋体"/>
          <w:color w:val="auto"/>
          <w:sz w:val="24"/>
          <w:szCs w:val="24"/>
          <w:highlight w:val="yellow"/>
          <w:lang w:val="en-US" w:eastAsia="zh-CN"/>
        </w:rPr>
        <w:t>478348726@qq.com</w:t>
      </w:r>
      <w:r>
        <w:rPr>
          <w:rFonts w:hint="eastAsia" w:ascii="宋体" w:hAnsi="宋体" w:eastAsia="宋体" w:cs="宋体"/>
          <w:color w:val="auto"/>
          <w:sz w:val="24"/>
          <w:szCs w:val="24"/>
          <w:highlight w:val="yellow"/>
          <w:lang w:val="en-US" w:eastAsia="zh-CN"/>
        </w:rPr>
        <w:fldChar w:fldCharType="end"/>
      </w:r>
      <w:r>
        <w:rPr>
          <w:rFonts w:hint="eastAsia" w:ascii="宋体" w:hAnsi="宋体" w:eastAsia="宋体" w:cs="宋体"/>
          <w:color w:val="auto"/>
          <w:sz w:val="24"/>
          <w:szCs w:val="24"/>
          <w:highlight w:val="yellow"/>
          <w:lang w:val="en-US" w:eastAsia="zh-CN"/>
        </w:rPr>
        <w:t>邮箱或现场递交，经招标人或招标代理机构查验，未被“国家企业信用信息公示系统（https://www.gsxt.gov.cn/index.html）”列入“经营异常名录”、“严重违法失信名单”者视为报名成功。</w:t>
      </w:r>
      <w:r>
        <w:rPr>
          <w:rFonts w:hint="eastAsia" w:ascii="宋体" w:hAnsi="宋体" w:eastAsia="宋体" w:cs="宋体"/>
          <w:color w:val="auto"/>
          <w:kern w:val="2"/>
          <w:sz w:val="24"/>
          <w:highlight w:val="none"/>
          <w:lang w:val="en-US" w:eastAsia="zh-CN"/>
        </w:rPr>
        <w:t>供应商应充分考虑邮件传输过程中的风险，时效性以供应商提交的完整资料的时间为准。招标人或招标代理机构对迟交或遗失均不承担责任，如有疑问请电话联系18672081751。</w:t>
      </w:r>
    </w:p>
    <w:p w14:paraId="2245E92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highlight w:val="none"/>
          <w:lang w:val="en-US" w:eastAsia="zh-CN"/>
        </w:rPr>
        <w:t>4、售价：0元</w:t>
      </w:r>
    </w:p>
    <w:p w14:paraId="084CA5B6">
      <w:pPr>
        <w:keepNext w:val="0"/>
        <w:keepLines w:val="0"/>
        <w:pageBreakBefore w:val="0"/>
        <w:kinsoku/>
        <w:wordWrap/>
        <w:overflowPunct/>
        <w:topLinePunct w:val="0"/>
        <w:autoSpaceDE/>
        <w:autoSpaceDN/>
        <w:bidi w:val="0"/>
        <w:adjustRightInd/>
        <w:snapToGrid/>
        <w:spacing w:line="440" w:lineRule="exact"/>
        <w:jc w:val="left"/>
        <w:outlineLvl w:val="9"/>
        <w:rPr>
          <w:rFonts w:hint="eastAsia" w:ascii="宋体" w:hAnsi="宋体" w:eastAsia="宋体" w:cs="宋体"/>
          <w:b/>
          <w:bCs/>
          <w:color w:val="auto"/>
          <w:sz w:val="28"/>
          <w:szCs w:val="28"/>
          <w:highlight w:val="none"/>
          <w:lang w:val="en-US" w:eastAsia="zh-CN"/>
        </w:rPr>
      </w:pPr>
      <w:bookmarkStart w:id="23" w:name="_Toc25410"/>
      <w:bookmarkStart w:id="24" w:name="_Toc27528"/>
      <w:bookmarkStart w:id="25" w:name="_Toc18378"/>
      <w:bookmarkStart w:id="26" w:name="_Toc314"/>
      <w:bookmarkStart w:id="27" w:name="_Toc8282"/>
      <w:r>
        <w:rPr>
          <w:rFonts w:hint="eastAsia" w:ascii="宋体" w:hAnsi="宋体" w:eastAsia="宋体" w:cs="宋体"/>
          <w:b/>
          <w:bCs/>
          <w:color w:val="auto"/>
          <w:sz w:val="28"/>
          <w:szCs w:val="28"/>
          <w:highlight w:val="none"/>
          <w:lang w:val="en-US" w:eastAsia="zh-CN"/>
        </w:rPr>
        <w:t>6.投标文件的递交</w:t>
      </w:r>
      <w:bookmarkEnd w:id="23"/>
      <w:bookmarkEnd w:id="24"/>
      <w:bookmarkEnd w:id="25"/>
      <w:bookmarkEnd w:id="26"/>
      <w:bookmarkEnd w:id="27"/>
    </w:p>
    <w:p w14:paraId="434D66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lang w:eastAsia="zh-CN"/>
        </w:rPr>
      </w:pPr>
      <w:bookmarkStart w:id="28" w:name="_Toc26891"/>
      <w:bookmarkStart w:id="29" w:name="_Toc32146"/>
      <w:bookmarkStart w:id="30" w:name="_Toc12553"/>
      <w:bookmarkStart w:id="31" w:name="_Toc4357"/>
      <w:bookmarkStart w:id="32" w:name="_Toc5553"/>
      <w:r>
        <w:rPr>
          <w:rFonts w:hint="eastAsia" w:ascii="宋体" w:hAnsi="宋体" w:eastAsia="宋体" w:cs="宋体"/>
          <w:color w:val="auto"/>
          <w:kern w:val="2"/>
          <w:sz w:val="24"/>
          <w:highlight w:val="none"/>
          <w:lang w:eastAsia="zh-CN"/>
        </w:rPr>
        <w:t>1、开始时间：202</w:t>
      </w:r>
      <w:r>
        <w:rPr>
          <w:rFonts w:hint="eastAsia" w:ascii="宋体" w:hAnsi="宋体" w:eastAsia="宋体" w:cs="宋体"/>
          <w:color w:val="auto"/>
          <w:kern w:val="2"/>
          <w:sz w:val="24"/>
          <w:highlight w:val="none"/>
          <w:lang w:val="en-US" w:eastAsia="zh-CN"/>
        </w:rPr>
        <w:t>4</w:t>
      </w:r>
      <w:r>
        <w:rPr>
          <w:rFonts w:hint="eastAsia" w:ascii="宋体" w:hAnsi="宋体" w:eastAsia="宋体" w:cs="宋体"/>
          <w:color w:val="auto"/>
          <w:kern w:val="2"/>
          <w:sz w:val="24"/>
          <w:highlight w:val="none"/>
          <w:lang w:eastAsia="zh-CN"/>
        </w:rPr>
        <w:t>年</w:t>
      </w:r>
      <w:r>
        <w:rPr>
          <w:rFonts w:hint="eastAsia" w:ascii="宋体" w:hAnsi="宋体" w:eastAsia="宋体" w:cs="宋体"/>
          <w:color w:val="auto"/>
          <w:kern w:val="2"/>
          <w:sz w:val="24"/>
          <w:highlight w:val="none"/>
          <w:lang w:val="en-US" w:eastAsia="zh-CN"/>
        </w:rPr>
        <w:t>12</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8点30分（北京时间）</w:t>
      </w:r>
    </w:p>
    <w:p w14:paraId="1C8E994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2、截止时间：202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lang w:eastAsia="zh-CN"/>
        </w:rPr>
        <w:t>日09点</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0分（北京时间）</w:t>
      </w:r>
    </w:p>
    <w:p w14:paraId="00E0352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3、地点：宣恩县</w:t>
      </w:r>
      <w:r>
        <w:rPr>
          <w:rFonts w:hint="eastAsia" w:ascii="宋体" w:hAnsi="宋体" w:eastAsia="宋体" w:cs="宋体"/>
          <w:color w:val="auto"/>
          <w:sz w:val="24"/>
          <w:szCs w:val="24"/>
          <w:highlight w:val="none"/>
          <w:lang w:val="en-US" w:eastAsia="zh-CN"/>
        </w:rPr>
        <w:t>珠山镇兴隆安置小区16栋201室（湖北省致兴工程管理有限公司）</w:t>
      </w:r>
    </w:p>
    <w:p w14:paraId="25C1AF8B">
      <w:pPr>
        <w:keepNext w:val="0"/>
        <w:keepLines w:val="0"/>
        <w:pageBreakBefore w:val="0"/>
        <w:kinsoku/>
        <w:wordWrap/>
        <w:overflowPunct/>
        <w:topLinePunct w:val="0"/>
        <w:autoSpaceDE/>
        <w:autoSpaceDN/>
        <w:bidi w:val="0"/>
        <w:adjustRightInd/>
        <w:snapToGrid/>
        <w:spacing w:line="440" w:lineRule="exact"/>
        <w:jc w:val="left"/>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7.发布公告的媒介</w:t>
      </w:r>
      <w:bookmarkEnd w:id="28"/>
      <w:bookmarkEnd w:id="29"/>
      <w:bookmarkEnd w:id="30"/>
      <w:bookmarkEnd w:id="31"/>
      <w:bookmarkEnd w:id="32"/>
    </w:p>
    <w:p w14:paraId="2BCA5D77">
      <w:pPr>
        <w:keepNext w:val="0"/>
        <w:keepLines w:val="0"/>
        <w:pageBreakBefore w:val="0"/>
        <w:kinsoku/>
        <w:wordWrap/>
        <w:overflowPunct/>
        <w:topLinePunct w:val="0"/>
        <w:autoSpaceDE/>
        <w:autoSpaceDN/>
        <w:bidi w:val="0"/>
        <w:adjustRightInd/>
        <w:snapToGrid/>
        <w:spacing w:line="440" w:lineRule="exact"/>
        <w:ind w:firstLine="480" w:firstLineChars="200"/>
        <w:outlineLvl w:val="9"/>
        <w:rPr>
          <w:rFonts w:hint="eastAsia" w:ascii="宋体" w:hAnsi="宋体" w:eastAsia="宋体" w:cs="宋体"/>
          <w:color w:val="auto"/>
          <w:sz w:val="24"/>
          <w:szCs w:val="24"/>
          <w:highlight w:val="none"/>
          <w:lang w:val="en-US" w:eastAsia="zh-CN"/>
        </w:rPr>
      </w:pPr>
      <w:bookmarkStart w:id="33" w:name="_Toc152045517"/>
      <w:bookmarkStart w:id="34" w:name="_Toc179632534"/>
      <w:bookmarkStart w:id="35" w:name="_Toc387647198"/>
      <w:bookmarkStart w:id="36" w:name="_Toc152042293"/>
      <w:bookmarkStart w:id="37" w:name="_Toc144974485"/>
      <w:bookmarkStart w:id="38" w:name="_Toc16870"/>
      <w:r>
        <w:rPr>
          <w:rFonts w:hint="eastAsia" w:ascii="宋体" w:hAnsi="宋体" w:eastAsia="宋体" w:cs="宋体"/>
          <w:color w:val="auto"/>
          <w:sz w:val="24"/>
          <w:szCs w:val="24"/>
          <w:highlight w:val="none"/>
          <w:lang w:val="en-US" w:eastAsia="zh-CN"/>
        </w:rPr>
        <w:t>本次招标公告在全国招标采购公共服务平台上发布。</w:t>
      </w:r>
    </w:p>
    <w:p w14:paraId="36E3680D">
      <w:pPr>
        <w:keepNext w:val="0"/>
        <w:keepLines w:val="0"/>
        <w:pageBreakBefore w:val="0"/>
        <w:kinsoku/>
        <w:wordWrap/>
        <w:overflowPunct/>
        <w:topLinePunct w:val="0"/>
        <w:autoSpaceDE/>
        <w:autoSpaceDN/>
        <w:bidi w:val="0"/>
        <w:adjustRightInd/>
        <w:snapToGrid/>
        <w:spacing w:line="440" w:lineRule="exact"/>
        <w:jc w:val="left"/>
        <w:outlineLvl w:val="9"/>
        <w:rPr>
          <w:rFonts w:hint="eastAsia" w:ascii="宋体" w:hAnsi="宋体" w:eastAsia="宋体" w:cs="宋体"/>
          <w:b/>
          <w:bCs/>
          <w:color w:val="auto"/>
          <w:sz w:val="28"/>
          <w:szCs w:val="28"/>
          <w:highlight w:val="none"/>
          <w:lang w:val="en-US" w:eastAsia="zh-CN"/>
        </w:rPr>
      </w:pPr>
      <w:bookmarkStart w:id="39" w:name="_Toc9614"/>
      <w:bookmarkStart w:id="40" w:name="_Toc18475"/>
      <w:bookmarkStart w:id="41" w:name="_Toc25178"/>
      <w:bookmarkStart w:id="42" w:name="_Toc17941"/>
      <w:bookmarkStart w:id="43" w:name="_Toc6"/>
      <w:r>
        <w:rPr>
          <w:rFonts w:hint="eastAsia" w:ascii="宋体" w:hAnsi="宋体" w:eastAsia="宋体" w:cs="宋体"/>
          <w:b/>
          <w:bCs/>
          <w:color w:val="auto"/>
          <w:sz w:val="28"/>
          <w:szCs w:val="28"/>
          <w:highlight w:val="none"/>
          <w:lang w:val="en-US" w:eastAsia="zh-CN"/>
        </w:rPr>
        <w:t>8.联系方式</w:t>
      </w:r>
      <w:bookmarkEnd w:id="33"/>
      <w:bookmarkEnd w:id="34"/>
      <w:bookmarkEnd w:id="35"/>
      <w:bookmarkEnd w:id="36"/>
      <w:bookmarkEnd w:id="37"/>
      <w:bookmarkEnd w:id="38"/>
      <w:bookmarkEnd w:id="39"/>
      <w:bookmarkEnd w:id="40"/>
      <w:bookmarkEnd w:id="41"/>
      <w:bookmarkEnd w:id="42"/>
      <w:bookmarkEnd w:id="43"/>
    </w:p>
    <w:p w14:paraId="3D864FD1">
      <w:pPr>
        <w:keepNext w:val="0"/>
        <w:keepLines w:val="0"/>
        <w:pageBreakBefore w:val="0"/>
        <w:kinsoku/>
        <w:wordWrap/>
        <w:overflowPunct/>
        <w:topLinePunct w:val="0"/>
        <w:autoSpaceDE/>
        <w:autoSpaceDN/>
        <w:bidi w:val="0"/>
        <w:adjustRightInd/>
        <w:snapToGrid/>
        <w:spacing w:line="44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招标人：宣恩仙山贡水商贸有限公司</w:t>
      </w:r>
    </w:p>
    <w:p w14:paraId="39BA3D9E">
      <w:pPr>
        <w:keepNext w:val="0"/>
        <w:keepLines w:val="0"/>
        <w:pageBreakBefore w:val="0"/>
        <w:kinsoku/>
        <w:wordWrap/>
        <w:overflowPunct/>
        <w:topLinePunct w:val="0"/>
        <w:autoSpaceDE/>
        <w:autoSpaceDN/>
        <w:bidi w:val="0"/>
        <w:adjustRightInd/>
        <w:snapToGrid/>
        <w:spacing w:line="440" w:lineRule="exact"/>
        <w:ind w:firstLine="480" w:firstLineChars="200"/>
        <w:outlineLvl w:val="9"/>
        <w:rPr>
          <w:rFonts w:hint="eastAsia" w:ascii="宋体" w:hAnsi="宋体" w:eastAsia="宋体" w:cs="宋体"/>
          <w:color w:val="auto"/>
          <w:szCs w:val="21"/>
          <w:highlight w:val="none"/>
          <w:lang w:eastAsia="zh-CN"/>
        </w:rPr>
      </w:pPr>
      <w:r>
        <w:rPr>
          <w:rFonts w:hint="eastAsia" w:ascii="宋体" w:hAnsi="宋体" w:eastAsia="宋体" w:cs="宋体"/>
          <w:color w:val="auto"/>
          <w:sz w:val="24"/>
          <w:szCs w:val="24"/>
          <w:highlight w:val="none"/>
          <w:lang w:val="en-US" w:eastAsia="zh-CN"/>
        </w:rPr>
        <w:t>地址：宣恩县珠山镇凌云路马家坪还建房1楼</w:t>
      </w:r>
    </w:p>
    <w:p w14:paraId="018ABEEC">
      <w:pPr>
        <w:keepNext w:val="0"/>
        <w:keepLines w:val="0"/>
        <w:pageBreakBefore w:val="0"/>
        <w:kinsoku/>
        <w:wordWrap/>
        <w:overflowPunct/>
        <w:topLinePunct w:val="0"/>
        <w:autoSpaceDE/>
        <w:autoSpaceDN/>
        <w:bidi w:val="0"/>
        <w:adjustRightInd/>
        <w:snapToGrid/>
        <w:spacing w:line="44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联系人：康女士</w:t>
      </w:r>
    </w:p>
    <w:p w14:paraId="38A24BD6">
      <w:pPr>
        <w:keepNext w:val="0"/>
        <w:keepLines w:val="0"/>
        <w:pageBreakBefore w:val="0"/>
        <w:kinsoku/>
        <w:wordWrap/>
        <w:overflowPunct/>
        <w:topLinePunct w:val="0"/>
        <w:autoSpaceDE/>
        <w:autoSpaceDN/>
        <w:bidi w:val="0"/>
        <w:adjustRightInd/>
        <w:snapToGrid/>
        <w:spacing w:line="44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电话：13264932828</w:t>
      </w:r>
    </w:p>
    <w:p w14:paraId="1E856EF1">
      <w:pPr>
        <w:keepNext w:val="0"/>
        <w:keepLines w:val="0"/>
        <w:pageBreakBefore w:val="0"/>
        <w:kinsoku/>
        <w:wordWrap/>
        <w:overflowPunct/>
        <w:topLinePunct w:val="0"/>
        <w:autoSpaceDE/>
        <w:autoSpaceDN/>
        <w:bidi w:val="0"/>
        <w:adjustRightInd/>
        <w:snapToGrid/>
        <w:spacing w:line="44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招标代理机构：湖北省致兴工程管理有限公司</w:t>
      </w:r>
    </w:p>
    <w:p w14:paraId="191E67C1">
      <w:pPr>
        <w:keepNext w:val="0"/>
        <w:keepLines w:val="0"/>
        <w:pageBreakBefore w:val="0"/>
        <w:kinsoku/>
        <w:wordWrap/>
        <w:overflowPunct/>
        <w:topLinePunct w:val="0"/>
        <w:autoSpaceDE/>
        <w:autoSpaceDN/>
        <w:bidi w:val="0"/>
        <w:adjustRightInd/>
        <w:snapToGrid/>
        <w:spacing w:line="44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地址：宣恩县今典城市之星长茅岭安置小区2栋201</w:t>
      </w:r>
    </w:p>
    <w:p w14:paraId="53D333F7">
      <w:pPr>
        <w:keepNext w:val="0"/>
        <w:keepLines w:val="0"/>
        <w:pageBreakBefore w:val="0"/>
        <w:kinsoku/>
        <w:wordWrap/>
        <w:overflowPunct/>
        <w:topLinePunct w:val="0"/>
        <w:autoSpaceDE/>
        <w:autoSpaceDN/>
        <w:bidi w:val="0"/>
        <w:adjustRightInd/>
        <w:snapToGrid/>
        <w:spacing w:line="44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联系人：何先生</w:t>
      </w:r>
    </w:p>
    <w:p w14:paraId="11C5962D">
      <w:pPr>
        <w:keepNext w:val="0"/>
        <w:keepLines w:val="0"/>
        <w:pageBreakBefore w:val="0"/>
        <w:kinsoku/>
        <w:wordWrap/>
        <w:overflowPunct/>
        <w:topLinePunct w:val="0"/>
        <w:autoSpaceDE/>
        <w:autoSpaceDN/>
        <w:bidi w:val="0"/>
        <w:adjustRightInd/>
        <w:snapToGrid/>
        <w:spacing w:line="440" w:lineRule="exact"/>
        <w:ind w:firstLine="480" w:firstLineChars="200"/>
        <w:outlineLvl w:val="9"/>
        <w:rPr>
          <w:rFonts w:hint="eastAsia" w:ascii="宋体" w:hAnsi="宋体" w:eastAsia="宋体" w:cs="宋体"/>
          <w:color w:val="auto"/>
          <w:sz w:val="24"/>
          <w:szCs w:val="24"/>
          <w:highlight w:val="none"/>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宋体" w:hAnsi="宋体" w:eastAsia="宋体" w:cs="宋体"/>
          <w:color w:val="auto"/>
          <w:sz w:val="24"/>
          <w:szCs w:val="24"/>
          <w:highlight w:val="none"/>
          <w:lang w:val="en-US" w:eastAsia="zh-CN"/>
        </w:rPr>
        <w:t>电话：18672081751</w:t>
      </w:r>
    </w:p>
    <w:p w14:paraId="4869DE7F">
      <w:pPr>
        <w:pStyle w:val="3"/>
        <w:spacing w:before="0" w:after="0" w:line="240" w:lineRule="auto"/>
        <w:jc w:val="center"/>
        <w:rPr>
          <w:rFonts w:hint="eastAsia" w:ascii="宋体" w:hAnsi="宋体" w:eastAsia="宋体" w:cs="宋体"/>
          <w:bCs w:val="0"/>
          <w:color w:val="auto"/>
          <w:sz w:val="48"/>
          <w:szCs w:val="48"/>
          <w:highlight w:val="none"/>
        </w:rPr>
      </w:pPr>
      <w:bookmarkStart w:id="44" w:name="_Toc12814"/>
      <w:bookmarkStart w:id="45" w:name="_Toc11737"/>
      <w:bookmarkStart w:id="46" w:name="_Toc18361"/>
      <w:bookmarkStart w:id="47" w:name="_Toc25234"/>
      <w:bookmarkStart w:id="48" w:name="_Toc25045"/>
      <w:bookmarkStart w:id="49" w:name="_Toc28126"/>
      <w:r>
        <w:rPr>
          <w:rFonts w:hint="eastAsia" w:ascii="宋体" w:hAnsi="宋体" w:eastAsia="宋体" w:cs="宋体"/>
          <w:bCs w:val="0"/>
          <w:color w:val="auto"/>
          <w:sz w:val="48"/>
          <w:szCs w:val="48"/>
          <w:highlight w:val="none"/>
        </w:rPr>
        <w:t>第二章</w:t>
      </w:r>
      <w:r>
        <w:rPr>
          <w:rFonts w:hint="eastAsia" w:ascii="宋体" w:hAnsi="宋体" w:eastAsia="宋体" w:cs="宋体"/>
          <w:bCs w:val="0"/>
          <w:color w:val="auto"/>
          <w:sz w:val="48"/>
          <w:szCs w:val="48"/>
          <w:highlight w:val="none"/>
          <w:lang w:val="en-US" w:eastAsia="zh-CN"/>
        </w:rPr>
        <w:t>供应商</w:t>
      </w:r>
      <w:r>
        <w:rPr>
          <w:rFonts w:hint="eastAsia" w:ascii="宋体" w:hAnsi="宋体" w:eastAsia="宋体" w:cs="宋体"/>
          <w:bCs w:val="0"/>
          <w:color w:val="auto"/>
          <w:sz w:val="48"/>
          <w:szCs w:val="48"/>
          <w:highlight w:val="none"/>
        </w:rPr>
        <w:t>须知</w:t>
      </w:r>
      <w:bookmarkEnd w:id="44"/>
      <w:bookmarkEnd w:id="45"/>
      <w:bookmarkEnd w:id="46"/>
      <w:bookmarkEnd w:id="47"/>
      <w:bookmarkEnd w:id="48"/>
      <w:bookmarkEnd w:id="49"/>
    </w:p>
    <w:p w14:paraId="7892DCF6">
      <w:pPr>
        <w:spacing w:line="360" w:lineRule="auto"/>
        <w:jc w:val="center"/>
        <w:rPr>
          <w:rFonts w:hint="eastAsia" w:ascii="宋体" w:hAnsi="宋体" w:eastAsia="宋体" w:cs="宋体"/>
          <w:b/>
          <w:bCs/>
          <w:color w:val="auto"/>
          <w:spacing w:val="12"/>
          <w:sz w:val="28"/>
          <w:szCs w:val="28"/>
          <w:highlight w:val="none"/>
        </w:rPr>
      </w:pPr>
      <w:bookmarkStart w:id="50" w:name="_Toc152042304"/>
      <w:bookmarkStart w:id="51" w:name="_Toc179632545"/>
      <w:bookmarkStart w:id="52" w:name="_Toc408773480"/>
      <w:bookmarkStart w:id="53" w:name="_Toc152045528"/>
      <w:bookmarkStart w:id="54" w:name="_Toc144974496"/>
      <w:r>
        <w:rPr>
          <w:rFonts w:hint="eastAsia" w:ascii="宋体" w:hAnsi="宋体" w:eastAsia="宋体" w:cs="宋体"/>
          <w:b/>
          <w:bCs/>
          <w:color w:val="auto"/>
          <w:spacing w:val="12"/>
          <w:sz w:val="28"/>
          <w:szCs w:val="28"/>
          <w:highlight w:val="none"/>
          <w:lang w:val="en-US" w:eastAsia="zh-CN"/>
        </w:rPr>
        <w:t>供应商</w:t>
      </w:r>
      <w:r>
        <w:rPr>
          <w:rFonts w:hint="eastAsia" w:ascii="宋体" w:hAnsi="宋体" w:eastAsia="宋体" w:cs="宋体"/>
          <w:b/>
          <w:bCs/>
          <w:color w:val="auto"/>
          <w:spacing w:val="12"/>
          <w:sz w:val="28"/>
          <w:szCs w:val="28"/>
          <w:highlight w:val="none"/>
        </w:rPr>
        <w:t>须知前附表</w:t>
      </w:r>
      <w:bookmarkEnd w:id="50"/>
      <w:bookmarkEnd w:id="51"/>
      <w:bookmarkEnd w:id="52"/>
      <w:bookmarkEnd w:id="53"/>
      <w:bookmarkEnd w:id="54"/>
    </w:p>
    <w:tbl>
      <w:tblPr>
        <w:tblStyle w:val="23"/>
        <w:tblW w:w="9800" w:type="dxa"/>
        <w:jc w:val="center"/>
        <w:tblLayout w:type="fixed"/>
        <w:tblCellMar>
          <w:top w:w="0" w:type="dxa"/>
          <w:left w:w="108" w:type="dxa"/>
          <w:bottom w:w="0" w:type="dxa"/>
          <w:right w:w="108" w:type="dxa"/>
        </w:tblCellMar>
      </w:tblPr>
      <w:tblGrid>
        <w:gridCol w:w="1226"/>
        <w:gridCol w:w="2282"/>
        <w:gridCol w:w="6292"/>
      </w:tblGrid>
      <w:tr w14:paraId="72E30772">
        <w:tblPrEx>
          <w:tblCellMar>
            <w:top w:w="0" w:type="dxa"/>
            <w:left w:w="108" w:type="dxa"/>
            <w:bottom w:w="0" w:type="dxa"/>
            <w:right w:w="108" w:type="dxa"/>
          </w:tblCellMar>
        </w:tblPrEx>
        <w:trPr>
          <w:trHeight w:val="276"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1D3B1FC0">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2282" w:type="dxa"/>
            <w:tcBorders>
              <w:top w:val="single" w:color="auto" w:sz="4" w:space="0"/>
              <w:left w:val="single" w:color="auto" w:sz="4" w:space="0"/>
              <w:bottom w:val="single" w:color="auto" w:sz="4" w:space="0"/>
              <w:right w:val="single" w:color="auto" w:sz="4" w:space="0"/>
            </w:tcBorders>
            <w:vAlign w:val="center"/>
          </w:tcPr>
          <w:p w14:paraId="1557A281">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6292" w:type="dxa"/>
            <w:tcBorders>
              <w:top w:val="single" w:color="auto" w:sz="4" w:space="0"/>
              <w:left w:val="single" w:color="auto" w:sz="4" w:space="0"/>
              <w:bottom w:val="single" w:color="auto" w:sz="4" w:space="0"/>
              <w:right w:val="single" w:color="auto" w:sz="4" w:space="0"/>
            </w:tcBorders>
            <w:vAlign w:val="center"/>
          </w:tcPr>
          <w:p w14:paraId="5A4C4FCD">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14:paraId="3F070202">
        <w:tblPrEx>
          <w:tblCellMar>
            <w:top w:w="0" w:type="dxa"/>
            <w:left w:w="108" w:type="dxa"/>
            <w:bottom w:w="0" w:type="dxa"/>
            <w:right w:w="108" w:type="dxa"/>
          </w:tblCellMar>
        </w:tblPrEx>
        <w:trPr>
          <w:jc w:val="center"/>
        </w:trPr>
        <w:tc>
          <w:tcPr>
            <w:tcW w:w="1226" w:type="dxa"/>
            <w:tcBorders>
              <w:top w:val="single" w:color="auto" w:sz="4" w:space="0"/>
              <w:left w:val="single" w:color="auto" w:sz="4" w:space="0"/>
              <w:bottom w:val="single" w:color="auto" w:sz="4" w:space="0"/>
              <w:right w:val="single" w:color="auto" w:sz="4" w:space="0"/>
            </w:tcBorders>
            <w:vAlign w:val="center"/>
          </w:tcPr>
          <w:p w14:paraId="25BC0FA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w:t>
            </w:r>
          </w:p>
        </w:tc>
        <w:tc>
          <w:tcPr>
            <w:tcW w:w="2282" w:type="dxa"/>
            <w:tcBorders>
              <w:top w:val="single" w:color="auto" w:sz="4" w:space="0"/>
              <w:left w:val="single" w:color="auto" w:sz="4" w:space="0"/>
              <w:bottom w:val="single" w:color="auto" w:sz="4" w:space="0"/>
              <w:right w:val="single" w:color="auto" w:sz="4" w:space="0"/>
            </w:tcBorders>
            <w:vAlign w:val="center"/>
          </w:tcPr>
          <w:p w14:paraId="636C1C4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w:t>
            </w:r>
          </w:p>
        </w:tc>
        <w:tc>
          <w:tcPr>
            <w:tcW w:w="6292" w:type="dxa"/>
            <w:tcBorders>
              <w:top w:val="single" w:color="auto" w:sz="4" w:space="0"/>
              <w:left w:val="single" w:color="auto" w:sz="4" w:space="0"/>
              <w:bottom w:val="single" w:color="auto" w:sz="4" w:space="0"/>
              <w:right w:val="single" w:color="auto" w:sz="4" w:space="0"/>
            </w:tcBorders>
            <w:vAlign w:val="center"/>
          </w:tcPr>
          <w:p w14:paraId="113F0288">
            <w:pPr>
              <w:pStyle w:val="32"/>
              <w:spacing w:line="340" w:lineRule="exact"/>
              <w:ind w:firstLine="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招标人：宣恩仙山贡水商贸有限公司</w:t>
            </w:r>
          </w:p>
          <w:p w14:paraId="7CA5900B">
            <w:pPr>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highlight w:val="none"/>
                <w:lang w:val="en-US" w:eastAsia="zh-CN"/>
              </w:rPr>
              <w:t>地址：</w:t>
            </w:r>
            <w:r>
              <w:rPr>
                <w:rFonts w:hint="eastAsia" w:ascii="宋体" w:hAnsi="宋体" w:eastAsia="宋体" w:cs="宋体"/>
                <w:color w:val="auto"/>
                <w:szCs w:val="21"/>
                <w:highlight w:val="none"/>
                <w:lang w:eastAsia="zh-CN"/>
              </w:rPr>
              <w:t>宣恩县珠山镇凌云路马家坪还建房1楼</w:t>
            </w:r>
          </w:p>
          <w:p w14:paraId="306A14CF">
            <w:pPr>
              <w:pStyle w:val="32"/>
              <w:spacing w:line="340" w:lineRule="exact"/>
              <w:ind w:firstLine="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联系人：康女士</w:t>
            </w:r>
          </w:p>
          <w:p w14:paraId="190E0AD1">
            <w:pPr>
              <w:pStyle w:val="32"/>
              <w:spacing w:line="340" w:lineRule="exact"/>
              <w:ind w:firstLine="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电话：13264932828</w:t>
            </w:r>
          </w:p>
        </w:tc>
      </w:tr>
      <w:tr w14:paraId="55590487">
        <w:tblPrEx>
          <w:tblCellMar>
            <w:top w:w="0" w:type="dxa"/>
            <w:left w:w="108" w:type="dxa"/>
            <w:bottom w:w="0" w:type="dxa"/>
            <w:right w:w="108" w:type="dxa"/>
          </w:tblCellMar>
        </w:tblPrEx>
        <w:trPr>
          <w:jc w:val="center"/>
        </w:trPr>
        <w:tc>
          <w:tcPr>
            <w:tcW w:w="1226" w:type="dxa"/>
            <w:tcBorders>
              <w:top w:val="single" w:color="auto" w:sz="4" w:space="0"/>
              <w:left w:val="single" w:color="auto" w:sz="4" w:space="0"/>
              <w:bottom w:val="single" w:color="auto" w:sz="4" w:space="0"/>
              <w:right w:val="single" w:color="auto" w:sz="4" w:space="0"/>
            </w:tcBorders>
            <w:vAlign w:val="center"/>
          </w:tcPr>
          <w:p w14:paraId="0C9A8FB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w:t>
            </w:r>
          </w:p>
        </w:tc>
        <w:tc>
          <w:tcPr>
            <w:tcW w:w="2282" w:type="dxa"/>
            <w:tcBorders>
              <w:top w:val="single" w:color="auto" w:sz="4" w:space="0"/>
              <w:left w:val="single" w:color="auto" w:sz="4" w:space="0"/>
              <w:bottom w:val="single" w:color="auto" w:sz="4" w:space="0"/>
              <w:right w:val="single" w:color="auto" w:sz="4" w:space="0"/>
            </w:tcBorders>
            <w:vAlign w:val="center"/>
          </w:tcPr>
          <w:p w14:paraId="60A0BE6A">
            <w:pPr>
              <w:pStyle w:val="32"/>
              <w:spacing w:line="340" w:lineRule="exact"/>
              <w:ind w:firstLine="0"/>
              <w:rPr>
                <w:rFonts w:hint="eastAsia" w:ascii="宋体" w:hAnsi="宋体" w:eastAsia="宋体" w:cs="宋体"/>
                <w:color w:val="auto"/>
                <w:highlight w:val="none"/>
              </w:rPr>
            </w:pPr>
            <w:r>
              <w:rPr>
                <w:rFonts w:hint="eastAsia" w:ascii="宋体" w:hAnsi="宋体" w:eastAsia="宋体" w:cs="宋体"/>
                <w:color w:val="auto"/>
                <w:highlight w:val="none"/>
              </w:rPr>
              <w:t>招标代理机构</w:t>
            </w:r>
          </w:p>
        </w:tc>
        <w:tc>
          <w:tcPr>
            <w:tcW w:w="6292" w:type="dxa"/>
            <w:tcBorders>
              <w:top w:val="single" w:color="auto" w:sz="4" w:space="0"/>
              <w:left w:val="single" w:color="auto" w:sz="4" w:space="0"/>
              <w:bottom w:val="single" w:color="auto" w:sz="4" w:space="0"/>
              <w:right w:val="single" w:color="auto" w:sz="4" w:space="0"/>
            </w:tcBorders>
            <w:vAlign w:val="center"/>
          </w:tcPr>
          <w:p w14:paraId="7909A9D8">
            <w:pPr>
              <w:pStyle w:val="32"/>
              <w:spacing w:line="340" w:lineRule="exact"/>
              <w:ind w:firstLine="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招标代理机构：湖北省致兴工程管理有限公司</w:t>
            </w:r>
          </w:p>
          <w:p w14:paraId="0EA221BD">
            <w:pPr>
              <w:pStyle w:val="32"/>
              <w:spacing w:line="340" w:lineRule="exact"/>
              <w:ind w:firstLine="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地址：宣恩县今典城市之星长茅岭安置小区2栋201</w:t>
            </w:r>
          </w:p>
          <w:p w14:paraId="47306F50">
            <w:pPr>
              <w:pStyle w:val="32"/>
              <w:spacing w:line="340" w:lineRule="exact"/>
              <w:ind w:firstLine="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联系人：何先生</w:t>
            </w:r>
          </w:p>
          <w:p w14:paraId="65CF36EA">
            <w:pPr>
              <w:pStyle w:val="32"/>
              <w:spacing w:line="340" w:lineRule="exact"/>
              <w:ind w:firstLine="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电话：18672081751</w:t>
            </w:r>
          </w:p>
        </w:tc>
      </w:tr>
      <w:tr w14:paraId="1C3FF70C">
        <w:tblPrEx>
          <w:tblCellMar>
            <w:top w:w="0" w:type="dxa"/>
            <w:left w:w="108" w:type="dxa"/>
            <w:bottom w:w="0" w:type="dxa"/>
            <w:right w:w="108" w:type="dxa"/>
          </w:tblCellMar>
        </w:tblPrEx>
        <w:trPr>
          <w:jc w:val="center"/>
        </w:trPr>
        <w:tc>
          <w:tcPr>
            <w:tcW w:w="1226" w:type="dxa"/>
            <w:tcBorders>
              <w:top w:val="single" w:color="auto" w:sz="4" w:space="0"/>
              <w:left w:val="single" w:color="auto" w:sz="4" w:space="0"/>
              <w:bottom w:val="single" w:color="auto" w:sz="4" w:space="0"/>
              <w:right w:val="single" w:color="auto" w:sz="4" w:space="0"/>
            </w:tcBorders>
            <w:vAlign w:val="center"/>
          </w:tcPr>
          <w:p w14:paraId="6F84FDF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w:t>
            </w:r>
          </w:p>
        </w:tc>
        <w:tc>
          <w:tcPr>
            <w:tcW w:w="2282" w:type="dxa"/>
            <w:tcBorders>
              <w:top w:val="single" w:color="auto" w:sz="4" w:space="0"/>
              <w:left w:val="single" w:color="auto" w:sz="4" w:space="0"/>
              <w:bottom w:val="single" w:color="auto" w:sz="4" w:space="0"/>
              <w:right w:val="single" w:color="auto" w:sz="4" w:space="0"/>
            </w:tcBorders>
            <w:vAlign w:val="center"/>
          </w:tcPr>
          <w:p w14:paraId="7154227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招标项目名称、招标编号</w:t>
            </w:r>
          </w:p>
        </w:tc>
        <w:tc>
          <w:tcPr>
            <w:tcW w:w="6292" w:type="dxa"/>
            <w:tcBorders>
              <w:top w:val="single" w:color="auto" w:sz="4" w:space="0"/>
              <w:left w:val="single" w:color="auto" w:sz="4" w:space="0"/>
              <w:bottom w:val="single" w:color="auto" w:sz="4" w:space="0"/>
              <w:right w:val="single" w:color="auto" w:sz="4" w:space="0"/>
            </w:tcBorders>
            <w:vAlign w:val="center"/>
          </w:tcPr>
          <w:p w14:paraId="41F9FB2C">
            <w:pPr>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rPr>
              <w:t>招标项目名称</w:t>
            </w:r>
            <w:r>
              <w:rPr>
                <w:rFonts w:hint="eastAsia" w:ascii="宋体" w:hAnsi="宋体" w:eastAsia="宋体" w:cs="宋体"/>
                <w:color w:val="auto"/>
                <w:kern w:val="0"/>
                <w:sz w:val="21"/>
                <w:szCs w:val="21"/>
                <w:highlight w:val="none"/>
                <w:lang w:val="en-US" w:eastAsia="zh-CN" w:bidi="ar-SA"/>
              </w:rPr>
              <w:t>：宣恩仙山贡水商贸有限公司供应商遴选建库</w:t>
            </w:r>
          </w:p>
          <w:p w14:paraId="63B49C5E">
            <w:pPr>
              <w:spacing w:line="360" w:lineRule="auto"/>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SA"/>
              </w:rPr>
              <w:t>项目编号：HBZX-GC-2024-ES080</w:t>
            </w:r>
          </w:p>
        </w:tc>
      </w:tr>
      <w:tr w14:paraId="52DA25F9">
        <w:tblPrEx>
          <w:tblCellMar>
            <w:top w:w="0" w:type="dxa"/>
            <w:left w:w="108" w:type="dxa"/>
            <w:bottom w:w="0" w:type="dxa"/>
            <w:right w:w="108" w:type="dxa"/>
          </w:tblCellMar>
        </w:tblPrEx>
        <w:trPr>
          <w:trHeight w:val="597"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3E2E8B7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w:t>
            </w:r>
          </w:p>
        </w:tc>
        <w:tc>
          <w:tcPr>
            <w:tcW w:w="2282" w:type="dxa"/>
            <w:tcBorders>
              <w:top w:val="single" w:color="auto" w:sz="4" w:space="0"/>
              <w:left w:val="single" w:color="auto" w:sz="4" w:space="0"/>
              <w:bottom w:val="single" w:color="auto" w:sz="4" w:space="0"/>
              <w:right w:val="single" w:color="auto" w:sz="4" w:space="0"/>
            </w:tcBorders>
            <w:vAlign w:val="center"/>
          </w:tcPr>
          <w:p w14:paraId="5541A3E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服务期限</w:t>
            </w:r>
          </w:p>
        </w:tc>
        <w:tc>
          <w:tcPr>
            <w:tcW w:w="6292" w:type="dxa"/>
            <w:tcBorders>
              <w:top w:val="single" w:color="auto" w:sz="4" w:space="0"/>
              <w:left w:val="single" w:color="auto" w:sz="4" w:space="0"/>
              <w:bottom w:val="single" w:color="auto" w:sz="4" w:space="0"/>
              <w:right w:val="single" w:color="auto" w:sz="4" w:space="0"/>
            </w:tcBorders>
            <w:vAlign w:val="center"/>
          </w:tcPr>
          <w:p w14:paraId="3893C743">
            <w:pPr>
              <w:wordWrap w:val="0"/>
              <w:topLinePunct/>
              <w:spacing w:line="288"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拟定为3年，自合同签订之日起计算，合同实行一年一签，第二年，第三年考核合格后续签</w:t>
            </w:r>
          </w:p>
        </w:tc>
      </w:tr>
      <w:tr w14:paraId="48B24D89">
        <w:tblPrEx>
          <w:tblCellMar>
            <w:top w:w="0" w:type="dxa"/>
            <w:left w:w="108" w:type="dxa"/>
            <w:bottom w:w="0" w:type="dxa"/>
            <w:right w:w="108" w:type="dxa"/>
          </w:tblCellMar>
        </w:tblPrEx>
        <w:trPr>
          <w:trHeight w:val="597"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5003CA9A">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1.2.4</w:t>
            </w:r>
          </w:p>
        </w:tc>
        <w:tc>
          <w:tcPr>
            <w:tcW w:w="2282" w:type="dxa"/>
            <w:tcBorders>
              <w:top w:val="single" w:color="auto" w:sz="4" w:space="0"/>
              <w:left w:val="single" w:color="auto" w:sz="4" w:space="0"/>
              <w:bottom w:val="single" w:color="auto" w:sz="4" w:space="0"/>
              <w:right w:val="single" w:color="auto" w:sz="4" w:space="0"/>
            </w:tcBorders>
            <w:vAlign w:val="center"/>
          </w:tcPr>
          <w:p w14:paraId="70027D50">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服务地点</w:t>
            </w:r>
          </w:p>
        </w:tc>
        <w:tc>
          <w:tcPr>
            <w:tcW w:w="6292" w:type="dxa"/>
            <w:tcBorders>
              <w:top w:val="single" w:color="auto" w:sz="4" w:space="0"/>
              <w:left w:val="single" w:color="auto" w:sz="4" w:space="0"/>
              <w:bottom w:val="single" w:color="auto" w:sz="4" w:space="0"/>
              <w:right w:val="single" w:color="auto" w:sz="4" w:space="0"/>
            </w:tcBorders>
            <w:vAlign w:val="center"/>
          </w:tcPr>
          <w:p w14:paraId="71C45A10">
            <w:pPr>
              <w:wordWrap w:val="0"/>
              <w:topLinePunct/>
              <w:spacing w:line="288"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宣恩县</w:t>
            </w:r>
          </w:p>
        </w:tc>
      </w:tr>
      <w:tr w14:paraId="74B06B68">
        <w:tblPrEx>
          <w:tblCellMar>
            <w:top w:w="0" w:type="dxa"/>
            <w:left w:w="108" w:type="dxa"/>
            <w:bottom w:w="0" w:type="dxa"/>
            <w:right w:w="108" w:type="dxa"/>
          </w:tblCellMar>
        </w:tblPrEx>
        <w:trPr>
          <w:trHeight w:val="597"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28348666">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1.2.5</w:t>
            </w:r>
          </w:p>
        </w:tc>
        <w:tc>
          <w:tcPr>
            <w:tcW w:w="2282" w:type="dxa"/>
            <w:tcBorders>
              <w:top w:val="single" w:color="auto" w:sz="4" w:space="0"/>
              <w:left w:val="single" w:color="auto" w:sz="4" w:space="0"/>
              <w:bottom w:val="single" w:color="auto" w:sz="4" w:space="0"/>
              <w:right w:val="single" w:color="auto" w:sz="4" w:space="0"/>
            </w:tcBorders>
            <w:vAlign w:val="center"/>
          </w:tcPr>
          <w:p w14:paraId="21E81264">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招标内容</w:t>
            </w:r>
          </w:p>
        </w:tc>
        <w:tc>
          <w:tcPr>
            <w:tcW w:w="6292" w:type="dxa"/>
            <w:tcBorders>
              <w:top w:val="single" w:color="auto" w:sz="4" w:space="0"/>
              <w:left w:val="single" w:color="auto" w:sz="4" w:space="0"/>
              <w:bottom w:val="single" w:color="auto" w:sz="4" w:space="0"/>
              <w:right w:val="single" w:color="auto" w:sz="4" w:space="0"/>
            </w:tcBorders>
            <w:vAlign w:val="center"/>
          </w:tcPr>
          <w:p w14:paraId="35C0456F">
            <w:pPr>
              <w:wordWrap w:val="0"/>
              <w:topLinePunct/>
              <w:spacing w:line="288"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详见招标公告中项目概况内容</w:t>
            </w:r>
          </w:p>
        </w:tc>
      </w:tr>
      <w:tr w14:paraId="730AAB55">
        <w:tblPrEx>
          <w:tblCellMar>
            <w:top w:w="0" w:type="dxa"/>
            <w:left w:w="108" w:type="dxa"/>
            <w:bottom w:w="0" w:type="dxa"/>
            <w:right w:w="108" w:type="dxa"/>
          </w:tblCellMar>
        </w:tblPrEx>
        <w:trPr>
          <w:trHeight w:val="597"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1A77BCE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w:t>
            </w:r>
          </w:p>
        </w:tc>
        <w:tc>
          <w:tcPr>
            <w:tcW w:w="2282" w:type="dxa"/>
            <w:tcBorders>
              <w:top w:val="single" w:color="auto" w:sz="4" w:space="0"/>
              <w:left w:val="single" w:color="auto" w:sz="4" w:space="0"/>
              <w:bottom w:val="single" w:color="auto" w:sz="4" w:space="0"/>
              <w:right w:val="single" w:color="auto" w:sz="4" w:space="0"/>
            </w:tcBorders>
            <w:vAlign w:val="center"/>
          </w:tcPr>
          <w:p w14:paraId="3DB687C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是否接受联合体投标</w:t>
            </w:r>
          </w:p>
        </w:tc>
        <w:tc>
          <w:tcPr>
            <w:tcW w:w="6292" w:type="dxa"/>
            <w:tcBorders>
              <w:top w:val="single" w:color="auto" w:sz="4" w:space="0"/>
              <w:left w:val="single" w:color="auto" w:sz="4" w:space="0"/>
              <w:bottom w:val="single" w:color="auto" w:sz="4" w:space="0"/>
              <w:right w:val="single" w:color="auto" w:sz="4" w:space="0"/>
            </w:tcBorders>
            <w:vAlign w:val="center"/>
          </w:tcPr>
          <w:p w14:paraId="6255397A">
            <w:pPr>
              <w:pStyle w:val="9"/>
              <w:topLinePunct/>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不接受</w:t>
            </w:r>
          </w:p>
        </w:tc>
      </w:tr>
      <w:tr w14:paraId="007632B2">
        <w:tblPrEx>
          <w:tblCellMar>
            <w:top w:w="0" w:type="dxa"/>
            <w:left w:w="108" w:type="dxa"/>
            <w:bottom w:w="0" w:type="dxa"/>
            <w:right w:w="108" w:type="dxa"/>
          </w:tblCellMar>
        </w:tblPrEx>
        <w:trPr>
          <w:trHeight w:val="597"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71D6FCB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w:t>
            </w:r>
          </w:p>
        </w:tc>
        <w:tc>
          <w:tcPr>
            <w:tcW w:w="2282" w:type="dxa"/>
            <w:tcBorders>
              <w:top w:val="single" w:color="auto" w:sz="4" w:space="0"/>
              <w:left w:val="single" w:color="auto" w:sz="4" w:space="0"/>
              <w:bottom w:val="single" w:color="auto" w:sz="4" w:space="0"/>
              <w:right w:val="single" w:color="auto" w:sz="4" w:space="0"/>
            </w:tcBorders>
            <w:vAlign w:val="center"/>
          </w:tcPr>
          <w:p w14:paraId="00E8948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踏勘现场</w:t>
            </w:r>
          </w:p>
        </w:tc>
        <w:tc>
          <w:tcPr>
            <w:tcW w:w="6292" w:type="dxa"/>
            <w:tcBorders>
              <w:top w:val="single" w:color="auto" w:sz="4" w:space="0"/>
              <w:left w:val="single" w:color="auto" w:sz="4" w:space="0"/>
              <w:bottom w:val="single" w:color="auto" w:sz="4" w:space="0"/>
              <w:right w:val="single" w:color="auto" w:sz="4" w:space="0"/>
            </w:tcBorders>
            <w:vAlign w:val="center"/>
          </w:tcPr>
          <w:p w14:paraId="69B47EF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不组织</w:t>
            </w:r>
          </w:p>
        </w:tc>
      </w:tr>
      <w:tr w14:paraId="3E9E67FD">
        <w:tblPrEx>
          <w:tblCellMar>
            <w:top w:w="0" w:type="dxa"/>
            <w:left w:w="108" w:type="dxa"/>
            <w:bottom w:w="0" w:type="dxa"/>
            <w:right w:w="108" w:type="dxa"/>
          </w:tblCellMar>
        </w:tblPrEx>
        <w:trPr>
          <w:trHeight w:val="597"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4F2C3CD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1.3.4</w:t>
            </w:r>
          </w:p>
        </w:tc>
        <w:tc>
          <w:tcPr>
            <w:tcW w:w="2282" w:type="dxa"/>
            <w:tcBorders>
              <w:top w:val="single" w:color="auto" w:sz="4" w:space="0"/>
              <w:left w:val="single" w:color="auto" w:sz="4" w:space="0"/>
              <w:bottom w:val="single" w:color="auto" w:sz="4" w:space="0"/>
              <w:right w:val="single" w:color="auto" w:sz="4" w:space="0"/>
            </w:tcBorders>
            <w:vAlign w:val="center"/>
          </w:tcPr>
          <w:p w14:paraId="210961F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投标预备会</w:t>
            </w:r>
          </w:p>
        </w:tc>
        <w:tc>
          <w:tcPr>
            <w:tcW w:w="6292" w:type="dxa"/>
            <w:tcBorders>
              <w:top w:val="single" w:color="auto" w:sz="4" w:space="0"/>
              <w:left w:val="single" w:color="auto" w:sz="4" w:space="0"/>
              <w:bottom w:val="single" w:color="auto" w:sz="4" w:space="0"/>
              <w:right w:val="single" w:color="auto" w:sz="4" w:space="0"/>
            </w:tcBorders>
            <w:vAlign w:val="center"/>
          </w:tcPr>
          <w:p w14:paraId="4930A454">
            <w:pPr>
              <w:pStyle w:val="9"/>
              <w:topLinePunct/>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不召开</w:t>
            </w:r>
          </w:p>
        </w:tc>
      </w:tr>
      <w:tr w14:paraId="3168DFE9">
        <w:tblPrEx>
          <w:tblCellMar>
            <w:top w:w="0" w:type="dxa"/>
            <w:left w:w="108" w:type="dxa"/>
            <w:bottom w:w="0" w:type="dxa"/>
            <w:right w:w="108" w:type="dxa"/>
          </w:tblCellMar>
        </w:tblPrEx>
        <w:trPr>
          <w:trHeight w:val="597"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7AC4131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1.3.5</w:t>
            </w:r>
          </w:p>
        </w:tc>
        <w:tc>
          <w:tcPr>
            <w:tcW w:w="2282" w:type="dxa"/>
            <w:tcBorders>
              <w:top w:val="single" w:color="auto" w:sz="4" w:space="0"/>
              <w:left w:val="single" w:color="auto" w:sz="4" w:space="0"/>
              <w:bottom w:val="single" w:color="auto" w:sz="4" w:space="0"/>
              <w:right w:val="single" w:color="auto" w:sz="4" w:space="0"/>
            </w:tcBorders>
            <w:vAlign w:val="center"/>
          </w:tcPr>
          <w:p w14:paraId="28C6FDB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提出问题的截止时间</w:t>
            </w:r>
          </w:p>
        </w:tc>
        <w:tc>
          <w:tcPr>
            <w:tcW w:w="6292" w:type="dxa"/>
            <w:tcBorders>
              <w:top w:val="single" w:color="auto" w:sz="4" w:space="0"/>
              <w:left w:val="single" w:color="auto" w:sz="4" w:space="0"/>
              <w:bottom w:val="single" w:color="auto" w:sz="4" w:space="0"/>
              <w:right w:val="single" w:color="auto" w:sz="4" w:space="0"/>
            </w:tcBorders>
            <w:vAlign w:val="center"/>
          </w:tcPr>
          <w:p w14:paraId="0717D70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递交投标文件截止之日10日前</w:t>
            </w:r>
          </w:p>
        </w:tc>
      </w:tr>
      <w:tr w14:paraId="2447D6E8">
        <w:tblPrEx>
          <w:tblCellMar>
            <w:top w:w="0" w:type="dxa"/>
            <w:left w:w="108" w:type="dxa"/>
            <w:bottom w:w="0" w:type="dxa"/>
            <w:right w:w="108" w:type="dxa"/>
          </w:tblCellMar>
        </w:tblPrEx>
        <w:trPr>
          <w:trHeight w:val="597"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74DBE16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1.3.6</w:t>
            </w:r>
          </w:p>
        </w:tc>
        <w:tc>
          <w:tcPr>
            <w:tcW w:w="2282" w:type="dxa"/>
            <w:tcBorders>
              <w:top w:val="single" w:color="auto" w:sz="4" w:space="0"/>
              <w:left w:val="single" w:color="auto" w:sz="4" w:space="0"/>
              <w:bottom w:val="single" w:color="auto" w:sz="4" w:space="0"/>
              <w:right w:val="single" w:color="auto" w:sz="4" w:space="0"/>
            </w:tcBorders>
            <w:vAlign w:val="center"/>
          </w:tcPr>
          <w:p w14:paraId="3C08163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转包、分包</w:t>
            </w:r>
          </w:p>
        </w:tc>
        <w:tc>
          <w:tcPr>
            <w:tcW w:w="6292" w:type="dxa"/>
            <w:tcBorders>
              <w:top w:val="single" w:color="auto" w:sz="4" w:space="0"/>
              <w:left w:val="single" w:color="auto" w:sz="4" w:space="0"/>
              <w:bottom w:val="single" w:color="auto" w:sz="4" w:space="0"/>
              <w:right w:val="single" w:color="auto" w:sz="4" w:space="0"/>
            </w:tcBorders>
            <w:vAlign w:val="center"/>
          </w:tcPr>
          <w:p w14:paraId="41B1DB9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☑不允许</w:t>
            </w:r>
          </w:p>
          <w:p w14:paraId="054C85AC">
            <w:pPr>
              <w:pStyle w:val="34"/>
              <w:ind w:firstLine="0" w:firstLineChars="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□允许</w:t>
            </w:r>
          </w:p>
        </w:tc>
      </w:tr>
      <w:tr w14:paraId="1296CE9A">
        <w:tblPrEx>
          <w:tblCellMar>
            <w:top w:w="0" w:type="dxa"/>
            <w:left w:w="108" w:type="dxa"/>
            <w:bottom w:w="0" w:type="dxa"/>
            <w:right w:w="108" w:type="dxa"/>
          </w:tblCellMar>
        </w:tblPrEx>
        <w:trPr>
          <w:trHeight w:val="90"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3F6C7BB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w:t>
            </w:r>
          </w:p>
        </w:tc>
        <w:tc>
          <w:tcPr>
            <w:tcW w:w="2282" w:type="dxa"/>
            <w:tcBorders>
              <w:top w:val="single" w:color="auto" w:sz="4" w:space="0"/>
              <w:left w:val="single" w:color="auto" w:sz="4" w:space="0"/>
              <w:bottom w:val="single" w:color="auto" w:sz="4" w:space="0"/>
              <w:right w:val="single" w:color="auto" w:sz="4" w:space="0"/>
            </w:tcBorders>
            <w:vAlign w:val="center"/>
          </w:tcPr>
          <w:p w14:paraId="654BD9F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资格条件</w:t>
            </w:r>
          </w:p>
        </w:tc>
        <w:tc>
          <w:tcPr>
            <w:tcW w:w="6292" w:type="dxa"/>
            <w:tcBorders>
              <w:top w:val="single" w:color="auto" w:sz="4" w:space="0"/>
              <w:left w:val="single" w:color="auto" w:sz="4" w:space="0"/>
              <w:bottom w:val="single" w:color="auto" w:sz="4" w:space="0"/>
              <w:right w:val="single" w:color="auto" w:sz="4" w:space="0"/>
            </w:tcBorders>
            <w:vAlign w:val="center"/>
          </w:tcPr>
          <w:p w14:paraId="372D0C62">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详见第一章 招标公告“供应商的资格要求”</w:t>
            </w:r>
          </w:p>
        </w:tc>
      </w:tr>
      <w:tr w14:paraId="68540516">
        <w:tblPrEx>
          <w:tblCellMar>
            <w:top w:w="0" w:type="dxa"/>
            <w:left w:w="108" w:type="dxa"/>
            <w:bottom w:w="0" w:type="dxa"/>
            <w:right w:w="108" w:type="dxa"/>
          </w:tblCellMar>
        </w:tblPrEx>
        <w:trPr>
          <w:trHeight w:val="634"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3F8C4EB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w:t>
            </w:r>
          </w:p>
        </w:tc>
        <w:tc>
          <w:tcPr>
            <w:tcW w:w="2282" w:type="dxa"/>
            <w:tcBorders>
              <w:top w:val="single" w:color="auto" w:sz="4" w:space="0"/>
              <w:left w:val="single" w:color="auto" w:sz="4" w:space="0"/>
              <w:bottom w:val="single" w:color="auto" w:sz="4" w:space="0"/>
              <w:right w:val="single" w:color="auto" w:sz="4" w:space="0"/>
            </w:tcBorders>
            <w:vAlign w:val="center"/>
          </w:tcPr>
          <w:p w14:paraId="66B540F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构成招标文件的其他材料</w:t>
            </w:r>
          </w:p>
        </w:tc>
        <w:tc>
          <w:tcPr>
            <w:tcW w:w="6292" w:type="dxa"/>
            <w:tcBorders>
              <w:top w:val="single" w:color="auto" w:sz="4" w:space="0"/>
              <w:left w:val="single" w:color="auto" w:sz="4" w:space="0"/>
              <w:bottom w:val="single" w:color="auto" w:sz="4" w:space="0"/>
              <w:right w:val="single" w:color="auto" w:sz="4" w:space="0"/>
            </w:tcBorders>
            <w:vAlign w:val="center"/>
          </w:tcPr>
          <w:p w14:paraId="0B7E4BC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答疑澄清等技术资料</w:t>
            </w:r>
          </w:p>
        </w:tc>
      </w:tr>
      <w:tr w14:paraId="6DF05576">
        <w:tblPrEx>
          <w:tblCellMar>
            <w:top w:w="0" w:type="dxa"/>
            <w:left w:w="108" w:type="dxa"/>
            <w:bottom w:w="0" w:type="dxa"/>
            <w:right w:w="108" w:type="dxa"/>
          </w:tblCellMar>
        </w:tblPrEx>
        <w:trPr>
          <w:trHeight w:val="613"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1F2836D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2282" w:type="dxa"/>
            <w:tcBorders>
              <w:top w:val="single" w:color="auto" w:sz="4" w:space="0"/>
              <w:left w:val="single" w:color="auto" w:sz="4" w:space="0"/>
              <w:bottom w:val="single" w:color="auto" w:sz="4" w:space="0"/>
              <w:right w:val="single" w:color="auto" w:sz="4" w:space="0"/>
            </w:tcBorders>
            <w:vAlign w:val="center"/>
          </w:tcPr>
          <w:p w14:paraId="4FA9592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要求澄清</w:t>
            </w:r>
          </w:p>
          <w:p w14:paraId="3BC059E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招标文件的截止时间</w:t>
            </w:r>
          </w:p>
        </w:tc>
        <w:tc>
          <w:tcPr>
            <w:tcW w:w="6292" w:type="dxa"/>
            <w:tcBorders>
              <w:top w:val="single" w:color="auto" w:sz="4" w:space="0"/>
              <w:left w:val="single" w:color="auto" w:sz="4" w:space="0"/>
              <w:bottom w:val="single" w:color="auto" w:sz="4" w:space="0"/>
              <w:right w:val="single" w:color="auto" w:sz="4" w:space="0"/>
            </w:tcBorders>
            <w:vAlign w:val="center"/>
          </w:tcPr>
          <w:p w14:paraId="210970D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递交投标文件截止之日10日前</w:t>
            </w:r>
          </w:p>
        </w:tc>
      </w:tr>
      <w:tr w14:paraId="245ECD98">
        <w:tblPrEx>
          <w:tblCellMar>
            <w:top w:w="0" w:type="dxa"/>
            <w:left w:w="108" w:type="dxa"/>
            <w:bottom w:w="0" w:type="dxa"/>
            <w:right w:w="108" w:type="dxa"/>
          </w:tblCellMar>
        </w:tblPrEx>
        <w:trPr>
          <w:trHeight w:val="607"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7FE130A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w:t>
            </w:r>
          </w:p>
        </w:tc>
        <w:tc>
          <w:tcPr>
            <w:tcW w:w="2282" w:type="dxa"/>
            <w:tcBorders>
              <w:top w:val="single" w:color="auto" w:sz="4" w:space="0"/>
              <w:left w:val="single" w:color="auto" w:sz="4" w:space="0"/>
              <w:bottom w:val="single" w:color="auto" w:sz="4" w:space="0"/>
              <w:right w:val="single" w:color="auto" w:sz="4" w:space="0"/>
            </w:tcBorders>
            <w:vAlign w:val="center"/>
          </w:tcPr>
          <w:p w14:paraId="3D6E0FB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确认收到</w:t>
            </w:r>
          </w:p>
          <w:p w14:paraId="34DAD60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招标文件澄清的时间</w:t>
            </w:r>
          </w:p>
        </w:tc>
        <w:tc>
          <w:tcPr>
            <w:tcW w:w="6292" w:type="dxa"/>
            <w:tcBorders>
              <w:top w:val="single" w:color="auto" w:sz="4" w:space="0"/>
              <w:left w:val="single" w:color="auto" w:sz="4" w:space="0"/>
              <w:bottom w:val="single" w:color="auto" w:sz="4" w:space="0"/>
              <w:right w:val="single" w:color="auto" w:sz="4" w:space="0"/>
            </w:tcBorders>
            <w:vAlign w:val="center"/>
          </w:tcPr>
          <w:p w14:paraId="2CCF5751">
            <w:pPr>
              <w:pStyle w:val="9"/>
              <w:topLinePunct/>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收到澄清通知后</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小时内（以发出时间为准）</w:t>
            </w:r>
          </w:p>
        </w:tc>
      </w:tr>
      <w:tr w14:paraId="1CAFB948">
        <w:tblPrEx>
          <w:tblCellMar>
            <w:top w:w="0" w:type="dxa"/>
            <w:left w:w="108" w:type="dxa"/>
            <w:bottom w:w="0" w:type="dxa"/>
            <w:right w:w="108" w:type="dxa"/>
          </w:tblCellMar>
        </w:tblPrEx>
        <w:trPr>
          <w:trHeight w:val="735"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791F996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w:t>
            </w:r>
          </w:p>
        </w:tc>
        <w:tc>
          <w:tcPr>
            <w:tcW w:w="2282" w:type="dxa"/>
            <w:tcBorders>
              <w:top w:val="single" w:color="auto" w:sz="4" w:space="0"/>
              <w:left w:val="single" w:color="auto" w:sz="4" w:space="0"/>
              <w:bottom w:val="single" w:color="auto" w:sz="4" w:space="0"/>
              <w:right w:val="single" w:color="auto" w:sz="4" w:space="0"/>
            </w:tcBorders>
            <w:vAlign w:val="center"/>
          </w:tcPr>
          <w:p w14:paraId="2E277D9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确认收到</w:t>
            </w:r>
          </w:p>
          <w:p w14:paraId="6A0BF33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招标文件修改的时间</w:t>
            </w:r>
          </w:p>
        </w:tc>
        <w:tc>
          <w:tcPr>
            <w:tcW w:w="6292" w:type="dxa"/>
            <w:tcBorders>
              <w:top w:val="single" w:color="auto" w:sz="4" w:space="0"/>
              <w:left w:val="single" w:color="auto" w:sz="4" w:space="0"/>
              <w:bottom w:val="single" w:color="auto" w:sz="4" w:space="0"/>
              <w:right w:val="single" w:color="auto" w:sz="4" w:space="0"/>
            </w:tcBorders>
            <w:vAlign w:val="center"/>
          </w:tcPr>
          <w:p w14:paraId="16C90978">
            <w:pPr>
              <w:pStyle w:val="19"/>
              <w:topLinePunct/>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收到修改通知后</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小时内（以发出时间为准）</w:t>
            </w:r>
          </w:p>
        </w:tc>
      </w:tr>
      <w:tr w14:paraId="28AC79C7">
        <w:tblPrEx>
          <w:tblCellMar>
            <w:top w:w="0" w:type="dxa"/>
            <w:left w:w="108" w:type="dxa"/>
            <w:bottom w:w="0" w:type="dxa"/>
            <w:right w:w="108" w:type="dxa"/>
          </w:tblCellMar>
        </w:tblPrEx>
        <w:trPr>
          <w:trHeight w:val="597"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3EFDC72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w:t>
            </w:r>
          </w:p>
        </w:tc>
        <w:tc>
          <w:tcPr>
            <w:tcW w:w="2282" w:type="dxa"/>
            <w:tcBorders>
              <w:top w:val="single" w:color="auto" w:sz="4" w:space="0"/>
              <w:left w:val="single" w:color="auto" w:sz="4" w:space="0"/>
              <w:bottom w:val="single" w:color="auto" w:sz="4" w:space="0"/>
              <w:right w:val="single" w:color="auto" w:sz="4" w:space="0"/>
            </w:tcBorders>
            <w:vAlign w:val="center"/>
          </w:tcPr>
          <w:p w14:paraId="1F1A6C0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构成投标文件的其他材料</w:t>
            </w:r>
          </w:p>
        </w:tc>
        <w:tc>
          <w:tcPr>
            <w:tcW w:w="6292" w:type="dxa"/>
            <w:tcBorders>
              <w:top w:val="single" w:color="auto" w:sz="4" w:space="0"/>
              <w:left w:val="single" w:color="auto" w:sz="4" w:space="0"/>
              <w:bottom w:val="single" w:color="auto" w:sz="4" w:space="0"/>
              <w:right w:val="single" w:color="auto" w:sz="4" w:space="0"/>
            </w:tcBorders>
            <w:vAlign w:val="center"/>
          </w:tcPr>
          <w:p w14:paraId="3E36E8F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566D95D5">
        <w:tblPrEx>
          <w:tblCellMar>
            <w:top w:w="0" w:type="dxa"/>
            <w:left w:w="108" w:type="dxa"/>
            <w:bottom w:w="0" w:type="dxa"/>
            <w:right w:w="108" w:type="dxa"/>
          </w:tblCellMar>
        </w:tblPrEx>
        <w:trPr>
          <w:jc w:val="center"/>
        </w:trPr>
        <w:tc>
          <w:tcPr>
            <w:tcW w:w="1226" w:type="dxa"/>
            <w:tcBorders>
              <w:top w:val="single" w:color="auto" w:sz="4" w:space="0"/>
              <w:left w:val="single" w:color="auto" w:sz="4" w:space="0"/>
              <w:bottom w:val="single" w:color="auto" w:sz="4" w:space="0"/>
              <w:right w:val="single" w:color="auto" w:sz="4" w:space="0"/>
            </w:tcBorders>
            <w:vAlign w:val="center"/>
          </w:tcPr>
          <w:p w14:paraId="1AE54A5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w:t>
            </w:r>
          </w:p>
        </w:tc>
        <w:tc>
          <w:tcPr>
            <w:tcW w:w="2282" w:type="dxa"/>
            <w:tcBorders>
              <w:top w:val="single" w:color="auto" w:sz="4" w:space="0"/>
              <w:left w:val="single" w:color="auto" w:sz="4" w:space="0"/>
              <w:bottom w:val="single" w:color="auto" w:sz="4" w:space="0"/>
              <w:right w:val="single" w:color="auto" w:sz="4" w:space="0"/>
            </w:tcBorders>
            <w:vAlign w:val="center"/>
          </w:tcPr>
          <w:p w14:paraId="62582D6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其他伴随服务费用</w:t>
            </w:r>
          </w:p>
        </w:tc>
        <w:tc>
          <w:tcPr>
            <w:tcW w:w="6292" w:type="dxa"/>
            <w:tcBorders>
              <w:top w:val="single" w:color="auto" w:sz="4" w:space="0"/>
              <w:left w:val="single" w:color="auto" w:sz="4" w:space="0"/>
              <w:bottom w:val="single" w:color="auto" w:sz="4" w:space="0"/>
              <w:right w:val="single" w:color="auto" w:sz="4" w:space="0"/>
            </w:tcBorders>
            <w:vAlign w:val="center"/>
          </w:tcPr>
          <w:p w14:paraId="6582E4E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3F101A03">
        <w:tblPrEx>
          <w:tblCellMar>
            <w:top w:w="0" w:type="dxa"/>
            <w:left w:w="108" w:type="dxa"/>
            <w:bottom w:w="0" w:type="dxa"/>
            <w:right w:w="108" w:type="dxa"/>
          </w:tblCellMar>
        </w:tblPrEx>
        <w:trPr>
          <w:trHeight w:val="90"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79452FD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w:t>
            </w:r>
          </w:p>
        </w:tc>
        <w:tc>
          <w:tcPr>
            <w:tcW w:w="2282" w:type="dxa"/>
            <w:tcBorders>
              <w:top w:val="single" w:color="auto" w:sz="4" w:space="0"/>
              <w:left w:val="single" w:color="auto" w:sz="4" w:space="0"/>
              <w:bottom w:val="single" w:color="auto" w:sz="4" w:space="0"/>
              <w:right w:val="single" w:color="auto" w:sz="4" w:space="0"/>
            </w:tcBorders>
            <w:vAlign w:val="center"/>
          </w:tcPr>
          <w:p w14:paraId="0BD3880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最高投标限价</w:t>
            </w:r>
          </w:p>
        </w:tc>
        <w:tc>
          <w:tcPr>
            <w:tcW w:w="6292" w:type="dxa"/>
            <w:tcBorders>
              <w:top w:val="single" w:color="auto" w:sz="4" w:space="0"/>
              <w:left w:val="single" w:color="auto" w:sz="4" w:space="0"/>
              <w:bottom w:val="single" w:color="auto" w:sz="4" w:space="0"/>
              <w:right w:val="single" w:color="auto" w:sz="4" w:space="0"/>
            </w:tcBorders>
            <w:vAlign w:val="center"/>
          </w:tcPr>
          <w:p w14:paraId="3DE633BE">
            <w:pPr>
              <w:pStyle w:val="30"/>
              <w:ind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本项目为供应商遴选建库，不设置最高投标限价，项目不需要报价</w:t>
            </w:r>
          </w:p>
        </w:tc>
      </w:tr>
      <w:tr w14:paraId="0F017A0D">
        <w:tblPrEx>
          <w:tblCellMar>
            <w:top w:w="0" w:type="dxa"/>
            <w:left w:w="108" w:type="dxa"/>
            <w:bottom w:w="0" w:type="dxa"/>
            <w:right w:w="108" w:type="dxa"/>
          </w:tblCellMar>
        </w:tblPrEx>
        <w:trPr>
          <w:trHeight w:val="575"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31B1E9C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w:t>
            </w:r>
          </w:p>
        </w:tc>
        <w:tc>
          <w:tcPr>
            <w:tcW w:w="2282" w:type="dxa"/>
            <w:tcBorders>
              <w:top w:val="single" w:color="auto" w:sz="4" w:space="0"/>
              <w:left w:val="single" w:color="auto" w:sz="4" w:space="0"/>
              <w:bottom w:val="single" w:color="auto" w:sz="4" w:space="0"/>
              <w:right w:val="single" w:color="auto" w:sz="4" w:space="0"/>
            </w:tcBorders>
            <w:vAlign w:val="center"/>
          </w:tcPr>
          <w:p w14:paraId="6E9F2FD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是否允许调整合同价</w:t>
            </w:r>
          </w:p>
        </w:tc>
        <w:tc>
          <w:tcPr>
            <w:tcW w:w="6292" w:type="dxa"/>
            <w:tcBorders>
              <w:top w:val="single" w:color="auto" w:sz="4" w:space="0"/>
              <w:left w:val="single" w:color="auto" w:sz="4" w:space="0"/>
              <w:bottom w:val="single" w:color="auto" w:sz="4" w:space="0"/>
              <w:right w:val="single" w:color="auto" w:sz="4" w:space="0"/>
            </w:tcBorders>
            <w:vAlign w:val="center"/>
          </w:tcPr>
          <w:p w14:paraId="20634CEF">
            <w:pPr>
              <w:pStyle w:val="9"/>
              <w:topLinePunct/>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4BCF7549">
        <w:tblPrEx>
          <w:tblCellMar>
            <w:top w:w="0" w:type="dxa"/>
            <w:left w:w="108" w:type="dxa"/>
            <w:bottom w:w="0" w:type="dxa"/>
            <w:right w:w="108" w:type="dxa"/>
          </w:tblCellMar>
        </w:tblPrEx>
        <w:trPr>
          <w:trHeight w:val="581"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36C154A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w:t>
            </w:r>
          </w:p>
        </w:tc>
        <w:tc>
          <w:tcPr>
            <w:tcW w:w="2282" w:type="dxa"/>
            <w:tcBorders>
              <w:top w:val="single" w:color="auto" w:sz="4" w:space="0"/>
              <w:left w:val="single" w:color="auto" w:sz="4" w:space="0"/>
              <w:bottom w:val="single" w:color="auto" w:sz="4" w:space="0"/>
              <w:right w:val="single" w:color="auto" w:sz="4" w:space="0"/>
            </w:tcBorders>
            <w:vAlign w:val="center"/>
          </w:tcPr>
          <w:p w14:paraId="2EDB503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6292" w:type="dxa"/>
            <w:tcBorders>
              <w:top w:val="single" w:color="auto" w:sz="4" w:space="0"/>
              <w:left w:val="single" w:color="auto" w:sz="4" w:space="0"/>
              <w:bottom w:val="single" w:color="auto" w:sz="4" w:space="0"/>
              <w:right w:val="single" w:color="auto" w:sz="4" w:space="0"/>
            </w:tcBorders>
            <w:vAlign w:val="center"/>
          </w:tcPr>
          <w:p w14:paraId="2B9D73F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90</w:t>
            </w:r>
            <w:r>
              <w:rPr>
                <w:rFonts w:hint="eastAsia" w:ascii="宋体" w:hAnsi="宋体" w:eastAsia="宋体" w:cs="宋体"/>
                <w:color w:val="auto"/>
                <w:szCs w:val="21"/>
                <w:highlight w:val="none"/>
              </w:rPr>
              <w:t>天（从投标截止之日起）</w:t>
            </w:r>
          </w:p>
        </w:tc>
      </w:tr>
      <w:tr w14:paraId="60C6F082">
        <w:tblPrEx>
          <w:tblCellMar>
            <w:top w:w="0" w:type="dxa"/>
            <w:left w:w="108" w:type="dxa"/>
            <w:bottom w:w="0" w:type="dxa"/>
            <w:right w:w="108" w:type="dxa"/>
          </w:tblCellMar>
        </w:tblPrEx>
        <w:trPr>
          <w:trHeight w:val="90"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765AF94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w:t>
            </w:r>
          </w:p>
        </w:tc>
        <w:tc>
          <w:tcPr>
            <w:tcW w:w="2282" w:type="dxa"/>
            <w:tcBorders>
              <w:top w:val="single" w:color="auto" w:sz="4" w:space="0"/>
              <w:left w:val="single" w:color="auto" w:sz="4" w:space="0"/>
              <w:bottom w:val="single" w:color="auto" w:sz="4" w:space="0"/>
              <w:right w:val="single" w:color="auto" w:sz="4" w:space="0"/>
            </w:tcBorders>
            <w:vAlign w:val="center"/>
          </w:tcPr>
          <w:p w14:paraId="4BB50FC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6292" w:type="dxa"/>
            <w:tcBorders>
              <w:top w:val="single" w:color="auto" w:sz="4" w:space="0"/>
              <w:left w:val="single" w:color="auto" w:sz="4" w:space="0"/>
              <w:bottom w:val="single" w:color="auto" w:sz="4" w:space="0"/>
              <w:right w:val="single" w:color="auto" w:sz="4" w:space="0"/>
            </w:tcBorders>
            <w:vAlign w:val="center"/>
          </w:tcPr>
          <w:p w14:paraId="7F688954">
            <w:pPr>
              <w:pStyle w:val="2"/>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☑不要求递交投标保证金</w:t>
            </w:r>
          </w:p>
          <w:p w14:paraId="29FA0079">
            <w:pPr>
              <w:wordWrap w:val="0"/>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□要求递交投标保证金</w:t>
            </w:r>
          </w:p>
        </w:tc>
      </w:tr>
      <w:tr w14:paraId="1DAC5E00">
        <w:tblPrEx>
          <w:tblCellMar>
            <w:top w:w="0" w:type="dxa"/>
            <w:left w:w="108" w:type="dxa"/>
            <w:bottom w:w="0" w:type="dxa"/>
            <w:right w:w="108" w:type="dxa"/>
          </w:tblCellMar>
        </w:tblPrEx>
        <w:trPr>
          <w:trHeight w:val="535"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7AEF127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2282" w:type="dxa"/>
            <w:tcBorders>
              <w:top w:val="single" w:color="auto" w:sz="4" w:space="0"/>
              <w:left w:val="single" w:color="auto" w:sz="4" w:space="0"/>
              <w:bottom w:val="single" w:color="auto" w:sz="4" w:space="0"/>
              <w:right w:val="single" w:color="auto" w:sz="4" w:space="0"/>
            </w:tcBorders>
            <w:vAlign w:val="center"/>
          </w:tcPr>
          <w:p w14:paraId="0BC05D4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依法经营必须具备的其他证明材料</w:t>
            </w:r>
          </w:p>
        </w:tc>
        <w:tc>
          <w:tcPr>
            <w:tcW w:w="6292" w:type="dxa"/>
            <w:tcBorders>
              <w:top w:val="single" w:color="auto" w:sz="4" w:space="0"/>
              <w:left w:val="single" w:color="auto" w:sz="4" w:space="0"/>
              <w:bottom w:val="single" w:color="auto" w:sz="4" w:space="0"/>
              <w:right w:val="single" w:color="auto" w:sz="4" w:space="0"/>
            </w:tcBorders>
            <w:vAlign w:val="center"/>
          </w:tcPr>
          <w:p w14:paraId="39F377AD">
            <w:pP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供应商认为需要提供的其他证明材料</w:t>
            </w:r>
          </w:p>
        </w:tc>
      </w:tr>
      <w:tr w14:paraId="787B7C43">
        <w:tblPrEx>
          <w:tblCellMar>
            <w:top w:w="0" w:type="dxa"/>
            <w:left w:w="108" w:type="dxa"/>
            <w:bottom w:w="0" w:type="dxa"/>
            <w:right w:w="108" w:type="dxa"/>
          </w:tblCellMar>
        </w:tblPrEx>
        <w:trPr>
          <w:trHeight w:val="693"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6127777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2282" w:type="dxa"/>
            <w:tcBorders>
              <w:top w:val="single" w:color="auto" w:sz="4" w:space="0"/>
              <w:left w:val="single" w:color="auto" w:sz="4" w:space="0"/>
              <w:bottom w:val="single" w:color="auto" w:sz="4" w:space="0"/>
              <w:right w:val="single" w:color="auto" w:sz="4" w:space="0"/>
            </w:tcBorders>
            <w:vAlign w:val="center"/>
          </w:tcPr>
          <w:p w14:paraId="585335D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近年财务状况的年份要求</w:t>
            </w:r>
          </w:p>
        </w:tc>
        <w:tc>
          <w:tcPr>
            <w:tcW w:w="6292" w:type="dxa"/>
            <w:tcBorders>
              <w:top w:val="single" w:color="auto" w:sz="4" w:space="0"/>
              <w:left w:val="single" w:color="auto" w:sz="4" w:space="0"/>
              <w:bottom w:val="single" w:color="auto" w:sz="4" w:space="0"/>
              <w:right w:val="single" w:color="auto" w:sz="4" w:space="0"/>
            </w:tcBorders>
            <w:vAlign w:val="center"/>
          </w:tcPr>
          <w:p w14:paraId="7F3E929C">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2023年</w:t>
            </w:r>
          </w:p>
        </w:tc>
      </w:tr>
      <w:tr w14:paraId="57BA915F">
        <w:tblPrEx>
          <w:tblCellMar>
            <w:top w:w="0" w:type="dxa"/>
            <w:left w:w="108" w:type="dxa"/>
            <w:bottom w:w="0" w:type="dxa"/>
            <w:right w:w="108" w:type="dxa"/>
          </w:tblCellMar>
        </w:tblPrEx>
        <w:trPr>
          <w:jc w:val="center"/>
        </w:trPr>
        <w:tc>
          <w:tcPr>
            <w:tcW w:w="1226" w:type="dxa"/>
            <w:vMerge w:val="restart"/>
            <w:tcBorders>
              <w:top w:val="single" w:color="auto" w:sz="4" w:space="0"/>
              <w:left w:val="single" w:color="auto" w:sz="4" w:space="0"/>
              <w:right w:val="single" w:color="auto" w:sz="4" w:space="0"/>
            </w:tcBorders>
            <w:vAlign w:val="center"/>
          </w:tcPr>
          <w:p w14:paraId="0AC48DF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3.4.3</w:t>
            </w:r>
          </w:p>
        </w:tc>
        <w:tc>
          <w:tcPr>
            <w:tcW w:w="2282" w:type="dxa"/>
            <w:tcBorders>
              <w:top w:val="single" w:color="auto" w:sz="4" w:space="0"/>
              <w:left w:val="single" w:color="auto" w:sz="4" w:space="0"/>
              <w:bottom w:val="single" w:color="auto" w:sz="4" w:space="0"/>
              <w:right w:val="single" w:color="auto" w:sz="4" w:space="0"/>
            </w:tcBorders>
            <w:vAlign w:val="center"/>
          </w:tcPr>
          <w:p w14:paraId="141C266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近年同类业绩时间要求</w:t>
            </w:r>
          </w:p>
        </w:tc>
        <w:tc>
          <w:tcPr>
            <w:tcW w:w="6292" w:type="dxa"/>
            <w:tcBorders>
              <w:top w:val="single" w:color="auto" w:sz="4" w:space="0"/>
              <w:left w:val="single" w:color="auto" w:sz="4" w:space="0"/>
              <w:bottom w:val="single" w:color="auto" w:sz="4" w:space="0"/>
              <w:right w:val="single" w:color="auto" w:sz="4" w:space="0"/>
            </w:tcBorders>
            <w:vAlign w:val="center"/>
          </w:tcPr>
          <w:p w14:paraId="2C4D78CB">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u w:val="single"/>
                <w:lang w:val="en-US" w:eastAsia="zh-CN"/>
              </w:rPr>
              <w:t>2021</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eastAsia="zh-CN"/>
              </w:rPr>
              <w:t>以来</w:t>
            </w:r>
          </w:p>
        </w:tc>
      </w:tr>
      <w:tr w14:paraId="4E89C739">
        <w:tblPrEx>
          <w:tblCellMar>
            <w:top w:w="0" w:type="dxa"/>
            <w:left w:w="108" w:type="dxa"/>
            <w:bottom w:w="0" w:type="dxa"/>
            <w:right w:w="108" w:type="dxa"/>
          </w:tblCellMar>
        </w:tblPrEx>
        <w:trPr>
          <w:trHeight w:val="597" w:hRule="atLeast"/>
          <w:jc w:val="center"/>
        </w:trPr>
        <w:tc>
          <w:tcPr>
            <w:tcW w:w="1226" w:type="dxa"/>
            <w:vMerge w:val="continue"/>
            <w:tcBorders>
              <w:left w:val="single" w:color="auto" w:sz="4" w:space="0"/>
              <w:right w:val="single" w:color="auto" w:sz="4" w:space="0"/>
            </w:tcBorders>
            <w:vAlign w:val="center"/>
          </w:tcPr>
          <w:p w14:paraId="21D8922E">
            <w:pPr>
              <w:spacing w:line="360" w:lineRule="auto"/>
              <w:rPr>
                <w:rFonts w:hint="eastAsia" w:ascii="宋体" w:hAnsi="宋体" w:eastAsia="宋体" w:cs="宋体"/>
                <w:color w:val="auto"/>
                <w:szCs w:val="21"/>
                <w:highlight w:val="none"/>
              </w:rPr>
            </w:pPr>
          </w:p>
        </w:tc>
        <w:tc>
          <w:tcPr>
            <w:tcW w:w="2282" w:type="dxa"/>
            <w:tcBorders>
              <w:top w:val="single" w:color="auto" w:sz="4" w:space="0"/>
              <w:left w:val="single" w:color="auto" w:sz="4" w:space="0"/>
              <w:bottom w:val="single" w:color="auto" w:sz="4" w:space="0"/>
              <w:right w:val="single" w:color="auto" w:sz="4" w:space="0"/>
            </w:tcBorders>
            <w:vAlign w:val="center"/>
          </w:tcPr>
          <w:p w14:paraId="6B4AFDA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同类业绩是指</w:t>
            </w:r>
          </w:p>
        </w:tc>
        <w:tc>
          <w:tcPr>
            <w:tcW w:w="6292" w:type="dxa"/>
            <w:tcBorders>
              <w:top w:val="single" w:color="auto" w:sz="4" w:space="0"/>
              <w:left w:val="single" w:color="auto" w:sz="4" w:space="0"/>
              <w:bottom w:val="single" w:color="auto" w:sz="4" w:space="0"/>
              <w:right w:val="single" w:color="auto" w:sz="4" w:space="0"/>
            </w:tcBorders>
            <w:vAlign w:val="center"/>
          </w:tcPr>
          <w:p w14:paraId="46F710C2">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详见招标文件</w:t>
            </w:r>
            <w:r>
              <w:rPr>
                <w:rFonts w:hint="eastAsia" w:ascii="宋体" w:hAnsi="宋体" w:eastAsia="宋体" w:cs="宋体"/>
                <w:color w:val="auto"/>
                <w:szCs w:val="21"/>
                <w:highlight w:val="none"/>
                <w:lang w:val="en-US" w:eastAsia="zh-CN"/>
              </w:rPr>
              <w:t>每标包中业绩的要求</w:t>
            </w:r>
          </w:p>
        </w:tc>
      </w:tr>
      <w:tr w14:paraId="0D6C9FBD">
        <w:tblPrEx>
          <w:tblCellMar>
            <w:top w:w="0" w:type="dxa"/>
            <w:left w:w="108" w:type="dxa"/>
            <w:bottom w:w="0" w:type="dxa"/>
            <w:right w:w="108" w:type="dxa"/>
          </w:tblCellMar>
        </w:tblPrEx>
        <w:trPr>
          <w:trHeight w:val="766"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0D0358E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3.4.4</w:t>
            </w:r>
          </w:p>
        </w:tc>
        <w:tc>
          <w:tcPr>
            <w:tcW w:w="2282" w:type="dxa"/>
            <w:tcBorders>
              <w:top w:val="single" w:color="auto" w:sz="4" w:space="0"/>
              <w:left w:val="single" w:color="auto" w:sz="4" w:space="0"/>
              <w:bottom w:val="single" w:color="auto" w:sz="4" w:space="0"/>
              <w:right w:val="single" w:color="auto" w:sz="4" w:space="0"/>
            </w:tcBorders>
            <w:vAlign w:val="center"/>
          </w:tcPr>
          <w:p w14:paraId="196B006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诉讼及仲裁情况年份时间要求</w:t>
            </w:r>
          </w:p>
        </w:tc>
        <w:tc>
          <w:tcPr>
            <w:tcW w:w="6292" w:type="dxa"/>
            <w:tcBorders>
              <w:top w:val="single" w:color="auto" w:sz="4" w:space="0"/>
              <w:left w:val="single" w:color="auto" w:sz="4" w:space="0"/>
              <w:bottom w:val="single" w:color="auto" w:sz="4" w:space="0"/>
              <w:right w:val="single" w:color="auto" w:sz="4" w:space="0"/>
            </w:tcBorders>
            <w:vAlign w:val="center"/>
          </w:tcPr>
          <w:p w14:paraId="54461D9A">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u w:val="none"/>
                <w:lang w:val="en-US" w:eastAsia="zh-CN"/>
              </w:rPr>
              <w:t>2021年-2024年</w:t>
            </w:r>
          </w:p>
        </w:tc>
      </w:tr>
      <w:tr w14:paraId="25DDC72F">
        <w:tblPrEx>
          <w:tblCellMar>
            <w:top w:w="0" w:type="dxa"/>
            <w:left w:w="108" w:type="dxa"/>
            <w:bottom w:w="0" w:type="dxa"/>
            <w:right w:w="108" w:type="dxa"/>
          </w:tblCellMar>
        </w:tblPrEx>
        <w:trPr>
          <w:trHeight w:val="761"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222AFFE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w:t>
            </w:r>
          </w:p>
        </w:tc>
        <w:tc>
          <w:tcPr>
            <w:tcW w:w="2282" w:type="dxa"/>
            <w:tcBorders>
              <w:top w:val="single" w:color="auto" w:sz="4" w:space="0"/>
              <w:left w:val="single" w:color="auto" w:sz="4" w:space="0"/>
              <w:bottom w:val="single" w:color="auto" w:sz="4" w:space="0"/>
              <w:right w:val="single" w:color="auto" w:sz="4" w:space="0"/>
            </w:tcBorders>
            <w:vAlign w:val="center"/>
          </w:tcPr>
          <w:p w14:paraId="78B23F7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是否允许递交备选投标方案</w:t>
            </w:r>
          </w:p>
        </w:tc>
        <w:tc>
          <w:tcPr>
            <w:tcW w:w="6292" w:type="dxa"/>
            <w:tcBorders>
              <w:top w:val="single" w:color="auto" w:sz="4" w:space="0"/>
              <w:left w:val="single" w:color="auto" w:sz="4" w:space="0"/>
              <w:bottom w:val="single" w:color="auto" w:sz="4" w:space="0"/>
              <w:right w:val="single" w:color="auto" w:sz="4" w:space="0"/>
            </w:tcBorders>
            <w:vAlign w:val="center"/>
          </w:tcPr>
          <w:p w14:paraId="5E0102D9">
            <w:pPr>
              <w:pStyle w:val="9"/>
              <w:topLinePunct/>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64932DD7">
        <w:tblPrEx>
          <w:tblCellMar>
            <w:top w:w="0" w:type="dxa"/>
            <w:left w:w="108" w:type="dxa"/>
            <w:bottom w:w="0" w:type="dxa"/>
            <w:right w:w="108" w:type="dxa"/>
          </w:tblCellMar>
        </w:tblPrEx>
        <w:trPr>
          <w:trHeight w:val="555"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315A3B9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3.7.1</w:t>
            </w:r>
          </w:p>
        </w:tc>
        <w:tc>
          <w:tcPr>
            <w:tcW w:w="2282" w:type="dxa"/>
            <w:tcBorders>
              <w:top w:val="single" w:color="auto" w:sz="4" w:space="0"/>
              <w:left w:val="single" w:color="auto" w:sz="4" w:space="0"/>
              <w:bottom w:val="single" w:color="auto" w:sz="4" w:space="0"/>
              <w:right w:val="single" w:color="auto" w:sz="4" w:space="0"/>
            </w:tcBorders>
            <w:vAlign w:val="center"/>
          </w:tcPr>
          <w:p w14:paraId="5D618DC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其他需要说明的内容</w:t>
            </w:r>
          </w:p>
        </w:tc>
        <w:tc>
          <w:tcPr>
            <w:tcW w:w="6292" w:type="dxa"/>
            <w:tcBorders>
              <w:top w:val="single" w:color="auto" w:sz="4" w:space="0"/>
              <w:left w:val="single" w:color="auto" w:sz="4" w:space="0"/>
              <w:bottom w:val="single" w:color="auto" w:sz="4" w:space="0"/>
              <w:right w:val="single" w:color="auto" w:sz="4" w:space="0"/>
            </w:tcBorders>
            <w:vAlign w:val="center"/>
          </w:tcPr>
          <w:p w14:paraId="6E6EBA2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3354CF4D">
        <w:tblPrEx>
          <w:tblCellMar>
            <w:top w:w="0" w:type="dxa"/>
            <w:left w:w="108" w:type="dxa"/>
            <w:bottom w:w="0" w:type="dxa"/>
            <w:right w:w="108" w:type="dxa"/>
          </w:tblCellMar>
        </w:tblPrEx>
        <w:trPr>
          <w:trHeight w:val="767"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123B869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3.7.2</w:t>
            </w:r>
          </w:p>
        </w:tc>
        <w:tc>
          <w:tcPr>
            <w:tcW w:w="2282" w:type="dxa"/>
            <w:tcBorders>
              <w:top w:val="single" w:color="auto" w:sz="4" w:space="0"/>
              <w:left w:val="single" w:color="auto" w:sz="4" w:space="0"/>
              <w:bottom w:val="single" w:color="auto" w:sz="4" w:space="0"/>
              <w:right w:val="single" w:color="auto" w:sz="4" w:space="0"/>
            </w:tcBorders>
            <w:vAlign w:val="center"/>
          </w:tcPr>
          <w:p w14:paraId="7F10A3F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一般条款偏离范围和幅度</w:t>
            </w:r>
          </w:p>
        </w:tc>
        <w:tc>
          <w:tcPr>
            <w:tcW w:w="6292" w:type="dxa"/>
            <w:tcBorders>
              <w:top w:val="single" w:color="auto" w:sz="4" w:space="0"/>
              <w:left w:val="single" w:color="auto" w:sz="4" w:space="0"/>
              <w:bottom w:val="single" w:color="auto" w:sz="4" w:space="0"/>
              <w:right w:val="single" w:color="auto" w:sz="4" w:space="0"/>
            </w:tcBorders>
            <w:vAlign w:val="center"/>
          </w:tcPr>
          <w:p w14:paraId="27CB98A1">
            <w:pPr>
              <w:pStyle w:val="9"/>
              <w:topLinePunct/>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0A72FCA9">
        <w:tblPrEx>
          <w:tblCellMar>
            <w:top w:w="0" w:type="dxa"/>
            <w:left w:w="108" w:type="dxa"/>
            <w:bottom w:w="0" w:type="dxa"/>
            <w:right w:w="108" w:type="dxa"/>
          </w:tblCellMar>
        </w:tblPrEx>
        <w:trPr>
          <w:trHeight w:val="331"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4044BC6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w:t>
            </w:r>
          </w:p>
        </w:tc>
        <w:tc>
          <w:tcPr>
            <w:tcW w:w="2282" w:type="dxa"/>
            <w:tcBorders>
              <w:top w:val="single" w:color="auto" w:sz="4" w:space="0"/>
              <w:left w:val="single" w:color="auto" w:sz="4" w:space="0"/>
              <w:bottom w:val="single" w:color="auto" w:sz="4" w:space="0"/>
              <w:right w:val="single" w:color="auto" w:sz="4" w:space="0"/>
            </w:tcBorders>
            <w:vAlign w:val="bottom"/>
          </w:tcPr>
          <w:p w14:paraId="5DB48AA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招标（采购）类型</w:t>
            </w:r>
          </w:p>
        </w:tc>
        <w:tc>
          <w:tcPr>
            <w:tcW w:w="6292" w:type="dxa"/>
            <w:tcBorders>
              <w:top w:val="single" w:color="auto" w:sz="4" w:space="0"/>
              <w:left w:val="single" w:color="auto" w:sz="4" w:space="0"/>
              <w:bottom w:val="single" w:color="auto" w:sz="4" w:space="0"/>
              <w:right w:val="single" w:color="auto" w:sz="4" w:space="0"/>
            </w:tcBorders>
            <w:vAlign w:val="bottom"/>
          </w:tcPr>
          <w:p w14:paraId="3CED17A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r>
      <w:tr w14:paraId="711EA8CE">
        <w:tblPrEx>
          <w:tblCellMar>
            <w:top w:w="0" w:type="dxa"/>
            <w:left w:w="108" w:type="dxa"/>
            <w:bottom w:w="0" w:type="dxa"/>
            <w:right w:w="108" w:type="dxa"/>
          </w:tblCellMar>
        </w:tblPrEx>
        <w:trPr>
          <w:trHeight w:val="460"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32169CF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w:t>
            </w:r>
          </w:p>
        </w:tc>
        <w:tc>
          <w:tcPr>
            <w:tcW w:w="2282" w:type="dxa"/>
            <w:tcBorders>
              <w:top w:val="single" w:color="auto" w:sz="4" w:space="0"/>
              <w:left w:val="single" w:color="auto" w:sz="4" w:space="0"/>
              <w:bottom w:val="single" w:color="auto" w:sz="4" w:space="0"/>
              <w:right w:val="single" w:color="auto" w:sz="4" w:space="0"/>
            </w:tcBorders>
            <w:vAlign w:val="center"/>
          </w:tcPr>
          <w:p w14:paraId="196F5F6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签字和（或）盖单位章要求</w:t>
            </w:r>
          </w:p>
        </w:tc>
        <w:tc>
          <w:tcPr>
            <w:tcW w:w="6292" w:type="dxa"/>
            <w:tcBorders>
              <w:top w:val="single" w:color="auto" w:sz="4" w:space="0"/>
              <w:left w:val="single" w:color="auto" w:sz="4" w:space="0"/>
              <w:bottom w:val="single" w:color="auto" w:sz="4" w:space="0"/>
              <w:right w:val="single" w:color="auto" w:sz="4" w:space="0"/>
            </w:tcBorders>
            <w:vAlign w:val="center"/>
          </w:tcPr>
          <w:p w14:paraId="721E2EF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“盖单位章”是指：盖标明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法定名称的公章，不得用如“投标专用章”、“业务专用章”、“合同专用章”代替。</w:t>
            </w:r>
          </w:p>
          <w:p w14:paraId="48274C5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“签字”是指：手写签字、签名章或其他电子制版签名。</w:t>
            </w:r>
          </w:p>
        </w:tc>
      </w:tr>
      <w:tr w14:paraId="628B0ACE">
        <w:tblPrEx>
          <w:tblCellMar>
            <w:top w:w="0" w:type="dxa"/>
            <w:left w:w="108" w:type="dxa"/>
            <w:bottom w:w="0" w:type="dxa"/>
            <w:right w:w="108" w:type="dxa"/>
          </w:tblCellMar>
        </w:tblPrEx>
        <w:trPr>
          <w:trHeight w:val="636"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220F0A2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w:t>
            </w:r>
          </w:p>
        </w:tc>
        <w:tc>
          <w:tcPr>
            <w:tcW w:w="2282" w:type="dxa"/>
            <w:tcBorders>
              <w:top w:val="single" w:color="auto" w:sz="4" w:space="0"/>
              <w:left w:val="single" w:color="auto" w:sz="4" w:space="0"/>
              <w:bottom w:val="single" w:color="auto" w:sz="4" w:space="0"/>
              <w:right w:val="single" w:color="auto" w:sz="4" w:space="0"/>
            </w:tcBorders>
            <w:vAlign w:val="center"/>
          </w:tcPr>
          <w:p w14:paraId="18F302A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投标文件份数</w:t>
            </w:r>
          </w:p>
        </w:tc>
        <w:tc>
          <w:tcPr>
            <w:tcW w:w="6292" w:type="dxa"/>
            <w:tcBorders>
              <w:top w:val="single" w:color="auto" w:sz="4" w:space="0"/>
              <w:left w:val="single" w:color="auto" w:sz="4" w:space="0"/>
              <w:bottom w:val="single" w:color="auto" w:sz="4" w:space="0"/>
              <w:right w:val="single" w:color="auto" w:sz="4" w:space="0"/>
            </w:tcBorders>
            <w:vAlign w:val="center"/>
          </w:tcPr>
          <w:p w14:paraId="40AC9675">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壹式伍份，壹份正本，肆份副本（副本中印章可以是复印件），</w:t>
            </w:r>
            <w:r>
              <w:rPr>
                <w:rFonts w:hint="eastAsia" w:ascii="宋体" w:hAnsi="宋体" w:eastAsia="宋体" w:cs="宋体"/>
                <w:color w:val="auto"/>
                <w:szCs w:val="21"/>
                <w:highlight w:val="none"/>
                <w:lang w:val="en-US" w:eastAsia="zh-CN"/>
              </w:rPr>
              <w:t>供应商应按不同标包/不同分类分别准备响应文件。</w:t>
            </w:r>
          </w:p>
        </w:tc>
      </w:tr>
      <w:tr w14:paraId="6DD16112">
        <w:tblPrEx>
          <w:tblCellMar>
            <w:top w:w="0" w:type="dxa"/>
            <w:left w:w="108" w:type="dxa"/>
            <w:bottom w:w="0" w:type="dxa"/>
            <w:right w:w="108" w:type="dxa"/>
          </w:tblCellMar>
        </w:tblPrEx>
        <w:trPr>
          <w:trHeight w:val="606"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51BC91A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4.1.3</w:t>
            </w:r>
          </w:p>
        </w:tc>
        <w:tc>
          <w:tcPr>
            <w:tcW w:w="2282" w:type="dxa"/>
            <w:tcBorders>
              <w:top w:val="single" w:color="auto" w:sz="4" w:space="0"/>
              <w:left w:val="single" w:color="auto" w:sz="4" w:space="0"/>
              <w:bottom w:val="single" w:color="auto" w:sz="4" w:space="0"/>
              <w:right w:val="single" w:color="auto" w:sz="4" w:space="0"/>
            </w:tcBorders>
            <w:vAlign w:val="center"/>
          </w:tcPr>
          <w:p w14:paraId="1B007B23">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w:t>
            </w:r>
          </w:p>
        </w:tc>
        <w:tc>
          <w:tcPr>
            <w:tcW w:w="6292" w:type="dxa"/>
            <w:tcBorders>
              <w:top w:val="single" w:color="auto" w:sz="4" w:space="0"/>
              <w:left w:val="single" w:color="auto" w:sz="4" w:space="0"/>
              <w:bottom w:val="single" w:color="auto" w:sz="4" w:space="0"/>
              <w:right w:val="single" w:color="auto" w:sz="4" w:space="0"/>
            </w:tcBorders>
            <w:vAlign w:val="center"/>
          </w:tcPr>
          <w:p w14:paraId="634DD8E0">
            <w:pPr>
              <w:pStyle w:val="9"/>
              <w:topLinePunct/>
              <w:spacing w:after="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不需要提供</w:t>
            </w:r>
          </w:p>
        </w:tc>
      </w:tr>
      <w:tr w14:paraId="19C4FD23">
        <w:tblPrEx>
          <w:tblCellMar>
            <w:top w:w="0" w:type="dxa"/>
            <w:left w:w="108" w:type="dxa"/>
            <w:bottom w:w="0" w:type="dxa"/>
            <w:right w:w="108" w:type="dxa"/>
          </w:tblCellMar>
        </w:tblPrEx>
        <w:trPr>
          <w:trHeight w:val="1700"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3AC2B94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w:t>
            </w:r>
          </w:p>
        </w:tc>
        <w:tc>
          <w:tcPr>
            <w:tcW w:w="2282" w:type="dxa"/>
            <w:tcBorders>
              <w:top w:val="single" w:color="auto" w:sz="4" w:space="0"/>
              <w:left w:val="single" w:color="auto" w:sz="4" w:space="0"/>
              <w:bottom w:val="single" w:color="auto" w:sz="4" w:space="0"/>
              <w:right w:val="single" w:color="auto" w:sz="4" w:space="0"/>
            </w:tcBorders>
            <w:vAlign w:val="center"/>
          </w:tcPr>
          <w:p w14:paraId="3CFAD80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封套上写明</w:t>
            </w:r>
          </w:p>
        </w:tc>
        <w:tc>
          <w:tcPr>
            <w:tcW w:w="6292" w:type="dxa"/>
            <w:tcBorders>
              <w:top w:val="single" w:color="auto" w:sz="4" w:space="0"/>
              <w:left w:val="single" w:color="auto" w:sz="4" w:space="0"/>
              <w:bottom w:val="single" w:color="auto" w:sz="4" w:space="0"/>
              <w:right w:val="single" w:color="auto" w:sz="4" w:space="0"/>
            </w:tcBorders>
            <w:vAlign w:val="center"/>
          </w:tcPr>
          <w:p w14:paraId="32B648D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p w14:paraId="6C9410A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p>
          <w:p w14:paraId="63A2D08C">
            <w:pPr>
              <w:pStyle w:val="31"/>
              <w:rPr>
                <w:rFonts w:hint="eastAsia" w:ascii="宋体" w:hAnsi="宋体" w:eastAsia="宋体" w:cs="宋体"/>
                <w:b w:val="0"/>
                <w:bCs w:val="0"/>
                <w:caps w:val="0"/>
                <w:color w:val="auto"/>
                <w:kern w:val="2"/>
                <w:sz w:val="21"/>
                <w:szCs w:val="21"/>
                <w:highlight w:val="none"/>
                <w:lang w:val="en-US" w:eastAsia="zh-CN" w:bidi="ar-SA"/>
              </w:rPr>
            </w:pPr>
            <w:r>
              <w:rPr>
                <w:rFonts w:hint="eastAsia" w:ascii="宋体" w:hAnsi="宋体" w:eastAsia="宋体" w:cs="宋体"/>
                <w:b w:val="0"/>
                <w:bCs w:val="0"/>
                <w:caps w:val="0"/>
                <w:color w:val="auto"/>
                <w:kern w:val="2"/>
                <w:sz w:val="21"/>
                <w:szCs w:val="21"/>
                <w:highlight w:val="none"/>
                <w:lang w:val="en-US" w:eastAsia="zh-CN" w:bidi="ar-SA"/>
              </w:rPr>
              <w:t>标包号及名称：</w:t>
            </w:r>
          </w:p>
          <w:p w14:paraId="6E225A9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名称：</w:t>
            </w:r>
          </w:p>
          <w:p w14:paraId="45B83CC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地址、联系人、电话</w:t>
            </w:r>
          </w:p>
          <w:p w14:paraId="459C8159">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在规定的开标时间202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9:00</w:t>
            </w:r>
            <w:r>
              <w:rPr>
                <w:rFonts w:hint="eastAsia" w:ascii="宋体" w:hAnsi="宋体" w:eastAsia="宋体" w:cs="宋体"/>
                <w:color w:val="auto"/>
                <w:szCs w:val="21"/>
                <w:highlight w:val="none"/>
              </w:rPr>
              <w:t>之前不得启封</w:t>
            </w:r>
          </w:p>
        </w:tc>
      </w:tr>
      <w:tr w14:paraId="42DE06BC">
        <w:tblPrEx>
          <w:tblCellMar>
            <w:top w:w="0" w:type="dxa"/>
            <w:left w:w="108" w:type="dxa"/>
            <w:bottom w:w="0" w:type="dxa"/>
            <w:right w:w="108" w:type="dxa"/>
          </w:tblCellMar>
        </w:tblPrEx>
        <w:trPr>
          <w:trHeight w:val="393"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3346047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4.3.1</w:t>
            </w:r>
          </w:p>
        </w:tc>
        <w:tc>
          <w:tcPr>
            <w:tcW w:w="2282" w:type="dxa"/>
            <w:tcBorders>
              <w:top w:val="single" w:color="auto" w:sz="4" w:space="0"/>
              <w:left w:val="single" w:color="auto" w:sz="4" w:space="0"/>
              <w:bottom w:val="single" w:color="auto" w:sz="4" w:space="0"/>
              <w:right w:val="single" w:color="auto" w:sz="4" w:space="0"/>
            </w:tcBorders>
            <w:vAlign w:val="center"/>
          </w:tcPr>
          <w:p w14:paraId="4A13D27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投标截止时间</w:t>
            </w:r>
          </w:p>
        </w:tc>
        <w:tc>
          <w:tcPr>
            <w:tcW w:w="6292" w:type="dxa"/>
            <w:tcBorders>
              <w:top w:val="single" w:color="auto" w:sz="4" w:space="0"/>
              <w:left w:val="single" w:color="auto" w:sz="4" w:space="0"/>
              <w:bottom w:val="single" w:color="auto" w:sz="4" w:space="0"/>
              <w:right w:val="single" w:color="auto" w:sz="4" w:space="0"/>
            </w:tcBorders>
            <w:vAlign w:val="center"/>
          </w:tcPr>
          <w:p w14:paraId="7AA1220C">
            <w:pPr>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9:00</w:t>
            </w:r>
          </w:p>
        </w:tc>
      </w:tr>
      <w:tr w14:paraId="7594738D">
        <w:tblPrEx>
          <w:tblCellMar>
            <w:top w:w="0" w:type="dxa"/>
            <w:left w:w="108" w:type="dxa"/>
            <w:bottom w:w="0" w:type="dxa"/>
            <w:right w:w="108" w:type="dxa"/>
          </w:tblCellMar>
        </w:tblPrEx>
        <w:trPr>
          <w:trHeight w:val="90"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2A96FF4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4.4.1</w:t>
            </w:r>
          </w:p>
        </w:tc>
        <w:tc>
          <w:tcPr>
            <w:tcW w:w="2282" w:type="dxa"/>
            <w:tcBorders>
              <w:top w:val="single" w:color="auto" w:sz="4" w:space="0"/>
              <w:left w:val="single" w:color="auto" w:sz="4" w:space="0"/>
              <w:bottom w:val="single" w:color="auto" w:sz="4" w:space="0"/>
              <w:right w:val="single" w:color="auto" w:sz="4" w:space="0"/>
            </w:tcBorders>
            <w:vAlign w:val="center"/>
          </w:tcPr>
          <w:p w14:paraId="5A63775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递交投标文件地点</w:t>
            </w:r>
          </w:p>
        </w:tc>
        <w:tc>
          <w:tcPr>
            <w:tcW w:w="6292" w:type="dxa"/>
            <w:tcBorders>
              <w:top w:val="single" w:color="auto" w:sz="4" w:space="0"/>
              <w:left w:val="single" w:color="auto" w:sz="4" w:space="0"/>
              <w:bottom w:val="single" w:color="auto" w:sz="4" w:space="0"/>
              <w:right w:val="single" w:color="auto" w:sz="4" w:space="0"/>
            </w:tcBorders>
            <w:vAlign w:val="center"/>
          </w:tcPr>
          <w:p w14:paraId="490372C3">
            <w:pPr>
              <w:spacing w:line="360" w:lineRule="auto"/>
              <w:rPr>
                <w:rFonts w:hint="eastAsia" w:ascii="宋体" w:hAnsi="宋体" w:eastAsia="宋体" w:cs="宋体"/>
                <w:color w:val="auto"/>
                <w:szCs w:val="21"/>
                <w:highlight w:val="none"/>
              </w:rPr>
            </w:pPr>
          </w:p>
        </w:tc>
      </w:tr>
      <w:tr w14:paraId="264670BB">
        <w:tblPrEx>
          <w:tblCellMar>
            <w:top w:w="0" w:type="dxa"/>
            <w:left w:w="108" w:type="dxa"/>
            <w:bottom w:w="0" w:type="dxa"/>
            <w:right w:w="108" w:type="dxa"/>
          </w:tblCellMar>
        </w:tblPrEx>
        <w:trPr>
          <w:trHeight w:val="369"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4CADF82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4.5.1</w:t>
            </w:r>
          </w:p>
        </w:tc>
        <w:tc>
          <w:tcPr>
            <w:tcW w:w="2282" w:type="dxa"/>
            <w:tcBorders>
              <w:top w:val="single" w:color="auto" w:sz="4" w:space="0"/>
              <w:left w:val="single" w:color="auto" w:sz="4" w:space="0"/>
              <w:bottom w:val="single" w:color="auto" w:sz="4" w:space="0"/>
              <w:right w:val="single" w:color="auto" w:sz="4" w:space="0"/>
            </w:tcBorders>
            <w:vAlign w:val="center"/>
          </w:tcPr>
          <w:p w14:paraId="282F980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是否退还投标文件</w:t>
            </w:r>
          </w:p>
        </w:tc>
        <w:tc>
          <w:tcPr>
            <w:tcW w:w="6292" w:type="dxa"/>
            <w:tcBorders>
              <w:top w:val="single" w:color="auto" w:sz="4" w:space="0"/>
              <w:left w:val="single" w:color="auto" w:sz="4" w:space="0"/>
              <w:bottom w:val="single" w:color="auto" w:sz="4" w:space="0"/>
              <w:right w:val="single" w:color="auto" w:sz="4" w:space="0"/>
            </w:tcBorders>
            <w:vAlign w:val="center"/>
          </w:tcPr>
          <w:p w14:paraId="0920013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否</w:t>
            </w:r>
          </w:p>
        </w:tc>
      </w:tr>
      <w:tr w14:paraId="648C9C50">
        <w:tblPrEx>
          <w:tblCellMar>
            <w:top w:w="0" w:type="dxa"/>
            <w:left w:w="108" w:type="dxa"/>
            <w:bottom w:w="0" w:type="dxa"/>
            <w:right w:w="108" w:type="dxa"/>
          </w:tblCellMar>
        </w:tblPrEx>
        <w:trPr>
          <w:trHeight w:val="675"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5AD8BCD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w:t>
            </w:r>
          </w:p>
        </w:tc>
        <w:tc>
          <w:tcPr>
            <w:tcW w:w="2282" w:type="dxa"/>
            <w:tcBorders>
              <w:top w:val="single" w:color="auto" w:sz="4" w:space="0"/>
              <w:left w:val="single" w:color="auto" w:sz="4" w:space="0"/>
              <w:bottom w:val="single" w:color="auto" w:sz="4" w:space="0"/>
              <w:right w:val="single" w:color="auto" w:sz="4" w:space="0"/>
            </w:tcBorders>
            <w:vAlign w:val="center"/>
          </w:tcPr>
          <w:p w14:paraId="03B0C57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投标文件递交</w:t>
            </w:r>
          </w:p>
        </w:tc>
        <w:tc>
          <w:tcPr>
            <w:tcW w:w="6292" w:type="dxa"/>
            <w:tcBorders>
              <w:top w:val="single" w:color="auto" w:sz="4" w:space="0"/>
              <w:left w:val="single" w:color="auto" w:sz="4" w:space="0"/>
              <w:bottom w:val="single" w:color="auto" w:sz="4" w:space="0"/>
              <w:right w:val="single" w:color="auto" w:sz="4" w:space="0"/>
            </w:tcBorders>
            <w:vAlign w:val="center"/>
          </w:tcPr>
          <w:p w14:paraId="769AA1CD">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请各供应商持法人或个体工商户经营者授权委托书原件及被授权人身份证原件在递交投标文件的截止时间前，将密封完好的投标文件送达指定地点</w:t>
            </w:r>
          </w:p>
        </w:tc>
      </w:tr>
      <w:tr w14:paraId="2309995B">
        <w:tblPrEx>
          <w:tblCellMar>
            <w:top w:w="0" w:type="dxa"/>
            <w:left w:w="108" w:type="dxa"/>
            <w:bottom w:w="0" w:type="dxa"/>
            <w:right w:w="108" w:type="dxa"/>
          </w:tblCellMar>
        </w:tblPrEx>
        <w:trPr>
          <w:trHeight w:val="640"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4F29457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w:t>
            </w:r>
          </w:p>
        </w:tc>
        <w:tc>
          <w:tcPr>
            <w:tcW w:w="2282" w:type="dxa"/>
            <w:tcBorders>
              <w:top w:val="single" w:color="auto" w:sz="4" w:space="0"/>
              <w:left w:val="single" w:color="auto" w:sz="4" w:space="0"/>
              <w:bottom w:val="single" w:color="auto" w:sz="4" w:space="0"/>
              <w:right w:val="single" w:color="auto" w:sz="4" w:space="0"/>
            </w:tcBorders>
            <w:vAlign w:val="center"/>
          </w:tcPr>
          <w:p w14:paraId="119C915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评标委员会的组建</w:t>
            </w:r>
          </w:p>
        </w:tc>
        <w:tc>
          <w:tcPr>
            <w:tcW w:w="6292" w:type="dxa"/>
            <w:tcBorders>
              <w:top w:val="single" w:color="auto" w:sz="4" w:space="0"/>
              <w:left w:val="single" w:color="auto" w:sz="4" w:space="0"/>
              <w:bottom w:val="single" w:color="auto" w:sz="4" w:space="0"/>
              <w:right w:val="single" w:color="auto" w:sz="4" w:space="0"/>
            </w:tcBorders>
            <w:vAlign w:val="center"/>
          </w:tcPr>
          <w:p w14:paraId="2047434C">
            <w:pPr>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9人组成，其中招标人代表3人，评标专家6人。评标专家在湖北省政府采购专家库中随机抽取，最终抽取专家数量视报名供应商数量而定</w:t>
            </w:r>
          </w:p>
        </w:tc>
      </w:tr>
      <w:tr w14:paraId="7BD4E991">
        <w:tblPrEx>
          <w:tblCellMar>
            <w:top w:w="0" w:type="dxa"/>
            <w:left w:w="108" w:type="dxa"/>
            <w:bottom w:w="0" w:type="dxa"/>
            <w:right w:w="108" w:type="dxa"/>
          </w:tblCellMar>
        </w:tblPrEx>
        <w:trPr>
          <w:trHeight w:val="513"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5DD0036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7.1.1</w:t>
            </w:r>
          </w:p>
        </w:tc>
        <w:tc>
          <w:tcPr>
            <w:tcW w:w="2282" w:type="dxa"/>
            <w:tcBorders>
              <w:top w:val="single" w:color="auto" w:sz="4" w:space="0"/>
              <w:left w:val="single" w:color="auto" w:sz="4" w:space="0"/>
              <w:bottom w:val="single" w:color="auto" w:sz="4" w:space="0"/>
              <w:right w:val="single" w:color="auto" w:sz="4" w:space="0"/>
            </w:tcBorders>
            <w:vAlign w:val="center"/>
          </w:tcPr>
          <w:p w14:paraId="38BCFE8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中标人确定</w:t>
            </w:r>
          </w:p>
        </w:tc>
        <w:tc>
          <w:tcPr>
            <w:tcW w:w="6292" w:type="dxa"/>
            <w:tcBorders>
              <w:top w:val="single" w:color="auto" w:sz="4" w:space="0"/>
              <w:left w:val="single" w:color="auto" w:sz="4" w:space="0"/>
              <w:bottom w:val="single" w:color="auto" w:sz="4" w:space="0"/>
              <w:right w:val="single" w:color="auto" w:sz="4" w:space="0"/>
            </w:tcBorders>
            <w:vAlign w:val="center"/>
          </w:tcPr>
          <w:p w14:paraId="01559751">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按照每标包拟建供应商家</w:t>
            </w:r>
            <w:bookmarkStart w:id="706" w:name="_GoBack"/>
            <w:bookmarkEnd w:id="706"/>
            <w:r>
              <w:rPr>
                <w:rFonts w:hint="eastAsia" w:ascii="宋体" w:hAnsi="宋体" w:eastAsia="宋体" w:cs="宋体"/>
                <w:color w:val="auto"/>
                <w:szCs w:val="21"/>
                <w:highlight w:val="none"/>
                <w:lang w:val="en-US" w:eastAsia="zh-CN"/>
              </w:rPr>
              <w:t>数的数量确定中标人</w:t>
            </w:r>
          </w:p>
        </w:tc>
      </w:tr>
      <w:tr w14:paraId="06A46AD0">
        <w:tblPrEx>
          <w:tblCellMar>
            <w:top w:w="0" w:type="dxa"/>
            <w:left w:w="108" w:type="dxa"/>
            <w:bottom w:w="0" w:type="dxa"/>
            <w:right w:w="108" w:type="dxa"/>
          </w:tblCellMar>
        </w:tblPrEx>
        <w:trPr>
          <w:trHeight w:val="547"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447AF4D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7.2.1</w:t>
            </w:r>
          </w:p>
        </w:tc>
        <w:tc>
          <w:tcPr>
            <w:tcW w:w="2282" w:type="dxa"/>
            <w:tcBorders>
              <w:top w:val="single" w:color="auto" w:sz="4" w:space="0"/>
              <w:left w:val="single" w:color="auto" w:sz="4" w:space="0"/>
              <w:bottom w:val="single" w:color="auto" w:sz="4" w:space="0"/>
              <w:right w:val="single" w:color="auto" w:sz="4" w:space="0"/>
            </w:tcBorders>
            <w:vAlign w:val="center"/>
          </w:tcPr>
          <w:p w14:paraId="1617D71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评标结果公示媒介</w:t>
            </w:r>
          </w:p>
        </w:tc>
        <w:tc>
          <w:tcPr>
            <w:tcW w:w="6292" w:type="dxa"/>
            <w:tcBorders>
              <w:top w:val="single" w:color="auto" w:sz="4" w:space="0"/>
              <w:left w:val="single" w:color="auto" w:sz="4" w:space="0"/>
              <w:bottom w:val="single" w:color="auto" w:sz="4" w:space="0"/>
              <w:right w:val="single" w:color="auto" w:sz="4" w:space="0"/>
            </w:tcBorders>
            <w:vAlign w:val="center"/>
          </w:tcPr>
          <w:p w14:paraId="69829B2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全国招标采购公共服务平台</w:t>
            </w:r>
          </w:p>
        </w:tc>
      </w:tr>
      <w:tr w14:paraId="35D00F18">
        <w:tblPrEx>
          <w:tblCellMar>
            <w:top w:w="0" w:type="dxa"/>
            <w:left w:w="108" w:type="dxa"/>
            <w:bottom w:w="0" w:type="dxa"/>
            <w:right w:w="108" w:type="dxa"/>
          </w:tblCellMar>
        </w:tblPrEx>
        <w:trPr>
          <w:trHeight w:val="90"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4302008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7.3.1</w:t>
            </w:r>
          </w:p>
        </w:tc>
        <w:tc>
          <w:tcPr>
            <w:tcW w:w="2282" w:type="dxa"/>
            <w:tcBorders>
              <w:top w:val="single" w:color="auto" w:sz="4" w:space="0"/>
              <w:left w:val="single" w:color="auto" w:sz="4" w:space="0"/>
              <w:bottom w:val="single" w:color="auto" w:sz="4" w:space="0"/>
              <w:right w:val="single" w:color="auto" w:sz="4" w:space="0"/>
            </w:tcBorders>
            <w:vAlign w:val="center"/>
          </w:tcPr>
          <w:p w14:paraId="091F66E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292" w:type="dxa"/>
            <w:tcBorders>
              <w:top w:val="single" w:color="auto" w:sz="4" w:space="0"/>
              <w:left w:val="single" w:color="auto" w:sz="4" w:space="0"/>
              <w:bottom w:val="single" w:color="auto" w:sz="4" w:space="0"/>
              <w:right w:val="single" w:color="auto" w:sz="4" w:space="0"/>
            </w:tcBorders>
            <w:vAlign w:val="center"/>
          </w:tcPr>
          <w:p w14:paraId="6420EAC1">
            <w:pPr>
              <w:pStyle w:val="2"/>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不要求缴纳履约保证金</w:t>
            </w:r>
          </w:p>
        </w:tc>
      </w:tr>
      <w:tr w14:paraId="0B4E1737">
        <w:tblPrEx>
          <w:tblCellMar>
            <w:top w:w="0" w:type="dxa"/>
            <w:left w:w="108" w:type="dxa"/>
            <w:bottom w:w="0" w:type="dxa"/>
            <w:right w:w="108" w:type="dxa"/>
          </w:tblCellMar>
        </w:tblPrEx>
        <w:trPr>
          <w:trHeight w:val="524"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3827BB6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9.1.1</w:t>
            </w:r>
          </w:p>
        </w:tc>
        <w:tc>
          <w:tcPr>
            <w:tcW w:w="2282" w:type="dxa"/>
            <w:tcBorders>
              <w:top w:val="single" w:color="auto" w:sz="4" w:space="0"/>
              <w:left w:val="single" w:color="auto" w:sz="4" w:space="0"/>
              <w:bottom w:val="single" w:color="auto" w:sz="4" w:space="0"/>
              <w:right w:val="single" w:color="auto" w:sz="4" w:space="0"/>
            </w:tcBorders>
            <w:vAlign w:val="center"/>
          </w:tcPr>
          <w:p w14:paraId="76A1BDC5">
            <w:pPr>
              <w:spacing w:line="360" w:lineRule="auto"/>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招标补充规定</w:t>
            </w:r>
          </w:p>
        </w:tc>
        <w:tc>
          <w:tcPr>
            <w:tcW w:w="6292" w:type="dxa"/>
            <w:tcBorders>
              <w:top w:val="single" w:color="auto" w:sz="4" w:space="0"/>
              <w:left w:val="single" w:color="auto" w:sz="4" w:space="0"/>
              <w:bottom w:val="single" w:color="auto" w:sz="4" w:space="0"/>
              <w:right w:val="single" w:color="auto" w:sz="4" w:space="0"/>
            </w:tcBorders>
            <w:vAlign w:val="center"/>
          </w:tcPr>
          <w:p w14:paraId="63652A61">
            <w:pPr>
              <w:spacing w:line="360" w:lineRule="auto"/>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lang w:val="en-US" w:eastAsia="zh-CN"/>
              </w:rPr>
              <w:t>供应商可以对上述多个标包投标，也可以中多个标包</w:t>
            </w:r>
          </w:p>
        </w:tc>
      </w:tr>
      <w:tr w14:paraId="55D02BAC">
        <w:tblPrEx>
          <w:tblCellMar>
            <w:top w:w="0" w:type="dxa"/>
            <w:left w:w="108" w:type="dxa"/>
            <w:bottom w:w="0" w:type="dxa"/>
            <w:right w:w="108" w:type="dxa"/>
          </w:tblCellMar>
        </w:tblPrEx>
        <w:trPr>
          <w:jc w:val="center"/>
        </w:trPr>
        <w:tc>
          <w:tcPr>
            <w:tcW w:w="1226" w:type="dxa"/>
            <w:tcBorders>
              <w:top w:val="single" w:color="auto" w:sz="4" w:space="0"/>
              <w:left w:val="single" w:color="auto" w:sz="4" w:space="0"/>
              <w:bottom w:val="single" w:color="auto" w:sz="4" w:space="0"/>
              <w:right w:val="single" w:color="auto" w:sz="4" w:space="0"/>
            </w:tcBorders>
            <w:vAlign w:val="center"/>
          </w:tcPr>
          <w:p w14:paraId="54FE05C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10.3.1</w:t>
            </w:r>
          </w:p>
        </w:tc>
        <w:tc>
          <w:tcPr>
            <w:tcW w:w="2282" w:type="dxa"/>
            <w:tcBorders>
              <w:top w:val="single" w:color="auto" w:sz="4" w:space="0"/>
              <w:left w:val="single" w:color="auto" w:sz="4" w:space="0"/>
              <w:bottom w:val="single" w:color="auto" w:sz="4" w:space="0"/>
              <w:right w:val="single" w:color="auto" w:sz="4" w:space="0"/>
            </w:tcBorders>
            <w:vAlign w:val="center"/>
          </w:tcPr>
          <w:p w14:paraId="3D45174B">
            <w:pPr>
              <w:autoSpaceDE w:val="0"/>
              <w:autoSpaceDN w:val="0"/>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招标代理服务费</w:t>
            </w:r>
          </w:p>
        </w:tc>
        <w:tc>
          <w:tcPr>
            <w:tcW w:w="6292" w:type="dxa"/>
            <w:tcBorders>
              <w:top w:val="single" w:color="auto" w:sz="4" w:space="0"/>
              <w:left w:val="single" w:color="auto" w:sz="4" w:space="0"/>
              <w:bottom w:val="single" w:color="auto" w:sz="4" w:space="0"/>
              <w:right w:val="single" w:color="auto" w:sz="4" w:space="0"/>
            </w:tcBorders>
            <w:vAlign w:val="center"/>
          </w:tcPr>
          <w:p w14:paraId="0DE7412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依据本项目招标代理合同，本项目招标代理费用由成交供应商在领取中标通知书时一次付清。（代理服务费为每标包/每类别500元人民币/家），</w:t>
            </w:r>
            <w:r>
              <w:rPr>
                <w:rFonts w:hint="eastAsia" w:ascii="宋体" w:hAnsi="宋体" w:eastAsia="宋体" w:cs="宋体"/>
                <w:color w:val="auto"/>
                <w:szCs w:val="21"/>
                <w:highlight w:val="none"/>
              </w:rPr>
              <w:t>在发放中标通知书时由中标人支付。</w:t>
            </w:r>
          </w:p>
        </w:tc>
      </w:tr>
      <w:tr w14:paraId="07EAE5F9">
        <w:tblPrEx>
          <w:tblCellMar>
            <w:top w:w="0" w:type="dxa"/>
            <w:left w:w="108" w:type="dxa"/>
            <w:bottom w:w="0" w:type="dxa"/>
            <w:right w:w="108" w:type="dxa"/>
          </w:tblCellMar>
        </w:tblPrEx>
        <w:trPr>
          <w:jc w:val="center"/>
        </w:trPr>
        <w:tc>
          <w:tcPr>
            <w:tcW w:w="1226" w:type="dxa"/>
            <w:tcBorders>
              <w:top w:val="single" w:color="auto" w:sz="4" w:space="0"/>
              <w:left w:val="single" w:color="auto" w:sz="4" w:space="0"/>
              <w:bottom w:val="single" w:color="auto" w:sz="4" w:space="0"/>
              <w:right w:val="single" w:color="auto" w:sz="4" w:space="0"/>
            </w:tcBorders>
            <w:vAlign w:val="center"/>
          </w:tcPr>
          <w:p w14:paraId="015AFECC">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10.4.1</w:t>
            </w:r>
          </w:p>
        </w:tc>
        <w:tc>
          <w:tcPr>
            <w:tcW w:w="2282" w:type="dxa"/>
            <w:tcBorders>
              <w:top w:val="single" w:color="auto" w:sz="4" w:space="0"/>
              <w:left w:val="single" w:color="auto" w:sz="4" w:space="0"/>
              <w:bottom w:val="single" w:color="auto" w:sz="4" w:space="0"/>
              <w:right w:val="single" w:color="auto" w:sz="4" w:space="0"/>
            </w:tcBorders>
            <w:vAlign w:val="center"/>
          </w:tcPr>
          <w:p w14:paraId="545E742F">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其他</w:t>
            </w:r>
          </w:p>
        </w:tc>
        <w:tc>
          <w:tcPr>
            <w:tcW w:w="6292" w:type="dxa"/>
            <w:tcBorders>
              <w:top w:val="single" w:color="auto" w:sz="4" w:space="0"/>
              <w:left w:val="single" w:color="auto" w:sz="4" w:space="0"/>
              <w:bottom w:val="single" w:color="auto" w:sz="4" w:space="0"/>
              <w:right w:val="single" w:color="auto" w:sz="4" w:space="0"/>
            </w:tcBorders>
            <w:vAlign w:val="center"/>
          </w:tcPr>
          <w:p w14:paraId="20E8B5FF">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本次招标不适用政府采购法，招标人和代理机构无责任和义务对未中标人解释未中标原因。</w:t>
            </w:r>
          </w:p>
        </w:tc>
      </w:tr>
    </w:tbl>
    <w:p w14:paraId="411D447A">
      <w:pPr>
        <w:rPr>
          <w:rFonts w:hint="eastAsia" w:ascii="宋体" w:hAnsi="宋体" w:eastAsia="宋体" w:cs="宋体"/>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BD63C26">
      <w:pPr>
        <w:pStyle w:val="4"/>
        <w:spacing w:before="0" w:after="0" w:line="360" w:lineRule="auto"/>
        <w:rPr>
          <w:rFonts w:hint="eastAsia" w:ascii="宋体" w:hAnsi="宋体" w:eastAsia="宋体" w:cs="宋体"/>
          <w:color w:val="auto"/>
          <w:szCs w:val="28"/>
          <w:highlight w:val="none"/>
        </w:rPr>
      </w:pPr>
      <w:bookmarkStart w:id="55" w:name="_Toc32307"/>
      <w:bookmarkStart w:id="56" w:name="_Toc16213"/>
      <w:bookmarkStart w:id="57" w:name="_Toc8950"/>
      <w:bookmarkStart w:id="58" w:name="_Toc15925"/>
      <w:bookmarkStart w:id="59" w:name="_Toc15776"/>
      <w:bookmarkStart w:id="60" w:name="_Toc144974498"/>
      <w:bookmarkStart w:id="61" w:name="_Toc1432"/>
      <w:bookmarkStart w:id="62" w:name="_Toc152045530"/>
      <w:bookmarkStart w:id="63" w:name="_Toc179632547"/>
      <w:bookmarkStart w:id="64" w:name="_Toc152042306"/>
      <w:r>
        <w:rPr>
          <w:rFonts w:hint="eastAsia" w:ascii="宋体" w:hAnsi="宋体" w:eastAsia="宋体" w:cs="宋体"/>
          <w:color w:val="auto"/>
          <w:szCs w:val="28"/>
          <w:highlight w:val="none"/>
        </w:rPr>
        <w:t>1.总则</w:t>
      </w:r>
      <w:bookmarkEnd w:id="55"/>
      <w:bookmarkEnd w:id="56"/>
      <w:bookmarkEnd w:id="57"/>
      <w:bookmarkEnd w:id="58"/>
      <w:bookmarkEnd w:id="59"/>
    </w:p>
    <w:p w14:paraId="67C3916D">
      <w:pPr>
        <w:pStyle w:val="35"/>
        <w:spacing w:line="360" w:lineRule="auto"/>
        <w:rPr>
          <w:rFonts w:hint="eastAsia" w:ascii="宋体" w:hAnsi="宋体" w:eastAsia="宋体" w:cs="宋体"/>
          <w:b/>
          <w:bCs/>
          <w:color w:val="auto"/>
          <w:sz w:val="24"/>
          <w:szCs w:val="24"/>
          <w:highlight w:val="none"/>
        </w:rPr>
      </w:pPr>
      <w:bookmarkStart w:id="65" w:name="_Toc6055"/>
      <w:bookmarkStart w:id="66" w:name="_Toc8169"/>
      <w:bookmarkStart w:id="67" w:name="_Toc1447"/>
      <w:bookmarkStart w:id="68" w:name="_Toc456"/>
      <w:bookmarkStart w:id="69" w:name="_Toc16648"/>
      <w:r>
        <w:rPr>
          <w:rFonts w:hint="eastAsia" w:ascii="宋体" w:hAnsi="宋体" w:eastAsia="宋体" w:cs="宋体"/>
          <w:b/>
          <w:bCs/>
          <w:color w:val="auto"/>
          <w:sz w:val="24"/>
          <w:szCs w:val="24"/>
          <w:highlight w:val="none"/>
        </w:rPr>
        <w:t>1.1项目概况</w:t>
      </w:r>
      <w:bookmarkEnd w:id="60"/>
      <w:bookmarkEnd w:id="61"/>
      <w:bookmarkEnd w:id="62"/>
      <w:bookmarkEnd w:id="63"/>
      <w:bookmarkEnd w:id="64"/>
      <w:bookmarkEnd w:id="65"/>
      <w:bookmarkEnd w:id="66"/>
      <w:bookmarkEnd w:id="67"/>
      <w:bookmarkEnd w:id="68"/>
      <w:bookmarkEnd w:id="69"/>
    </w:p>
    <w:p w14:paraId="0415E5A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1.1.1根据《中华人民共和国招标投标法》等有关法律、法规和规章的规定，本项目有关服务已具备招标条件。</w:t>
      </w:r>
    </w:p>
    <w:p w14:paraId="7EE7B36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招标人：见</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w:t>
      </w:r>
    </w:p>
    <w:p w14:paraId="7867655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招标代理机构：见</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w:t>
      </w:r>
    </w:p>
    <w:p w14:paraId="068A8B4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招标项目名称、招标编号：见</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w:t>
      </w:r>
    </w:p>
    <w:p w14:paraId="091E519D">
      <w:pPr>
        <w:pStyle w:val="35"/>
        <w:spacing w:line="360" w:lineRule="auto"/>
        <w:rPr>
          <w:rFonts w:hint="eastAsia" w:ascii="宋体" w:hAnsi="宋体" w:eastAsia="宋体" w:cs="宋体"/>
          <w:b/>
          <w:bCs/>
          <w:color w:val="auto"/>
          <w:sz w:val="24"/>
          <w:szCs w:val="24"/>
          <w:highlight w:val="none"/>
        </w:rPr>
      </w:pPr>
      <w:bookmarkStart w:id="70" w:name="_Toc144974499"/>
      <w:bookmarkStart w:id="71" w:name="_Toc152042307"/>
      <w:bookmarkStart w:id="72" w:name="_Toc14219"/>
      <w:bookmarkStart w:id="73" w:name="_Toc17071"/>
      <w:bookmarkStart w:id="74" w:name="_Toc7722"/>
      <w:bookmarkStart w:id="75" w:name="_Toc152045531"/>
      <w:bookmarkStart w:id="76" w:name="_Toc3441"/>
      <w:bookmarkStart w:id="77" w:name="_Toc13937"/>
      <w:bookmarkStart w:id="78" w:name="_Toc21810"/>
      <w:bookmarkStart w:id="79" w:name="_Toc179632548"/>
      <w:r>
        <w:rPr>
          <w:rFonts w:hint="eastAsia" w:ascii="宋体" w:hAnsi="宋体" w:eastAsia="宋体" w:cs="宋体"/>
          <w:b/>
          <w:bCs/>
          <w:color w:val="auto"/>
          <w:sz w:val="24"/>
          <w:szCs w:val="24"/>
          <w:highlight w:val="none"/>
        </w:rPr>
        <w:t>1.2 资金来源和落实情况</w:t>
      </w:r>
      <w:bookmarkEnd w:id="70"/>
      <w:bookmarkEnd w:id="71"/>
      <w:bookmarkEnd w:id="72"/>
      <w:bookmarkEnd w:id="73"/>
      <w:bookmarkEnd w:id="74"/>
      <w:bookmarkEnd w:id="75"/>
      <w:bookmarkEnd w:id="76"/>
      <w:bookmarkEnd w:id="77"/>
      <w:bookmarkEnd w:id="78"/>
      <w:bookmarkEnd w:id="79"/>
    </w:p>
    <w:p w14:paraId="306A1CC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本招标项目的资金来源：见</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w:t>
      </w:r>
    </w:p>
    <w:p w14:paraId="4551AF0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本招标项目的资金落实情况：见</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w:t>
      </w:r>
    </w:p>
    <w:p w14:paraId="6B5FBD89">
      <w:pPr>
        <w:pStyle w:val="35"/>
        <w:spacing w:line="360" w:lineRule="auto"/>
        <w:rPr>
          <w:rFonts w:hint="eastAsia" w:ascii="宋体" w:hAnsi="宋体" w:eastAsia="宋体" w:cs="宋体"/>
          <w:b/>
          <w:bCs/>
          <w:color w:val="auto"/>
          <w:sz w:val="24"/>
          <w:szCs w:val="24"/>
          <w:highlight w:val="none"/>
        </w:rPr>
      </w:pPr>
      <w:bookmarkStart w:id="80" w:name="_Toc649"/>
      <w:bookmarkStart w:id="81" w:name="_Toc20041"/>
      <w:bookmarkStart w:id="82" w:name="_Toc144974500"/>
      <w:bookmarkStart w:id="83" w:name="_Toc31977"/>
      <w:bookmarkStart w:id="84" w:name="_Toc17136"/>
      <w:bookmarkStart w:id="85" w:name="_Toc152045532"/>
      <w:bookmarkStart w:id="86" w:name="_Toc8129"/>
      <w:bookmarkStart w:id="87" w:name="_Toc18176"/>
      <w:bookmarkStart w:id="88" w:name="_Toc152042308"/>
      <w:bookmarkStart w:id="89" w:name="_Toc179632549"/>
      <w:r>
        <w:rPr>
          <w:rFonts w:hint="eastAsia" w:ascii="宋体" w:hAnsi="宋体" w:eastAsia="宋体" w:cs="宋体"/>
          <w:b/>
          <w:bCs/>
          <w:color w:val="auto"/>
          <w:sz w:val="24"/>
          <w:szCs w:val="24"/>
          <w:highlight w:val="none"/>
        </w:rPr>
        <w:t>1.3 招标内容、服务地点、服务周期要求</w:t>
      </w:r>
      <w:bookmarkEnd w:id="80"/>
      <w:bookmarkEnd w:id="81"/>
      <w:bookmarkEnd w:id="82"/>
      <w:bookmarkEnd w:id="83"/>
      <w:bookmarkEnd w:id="84"/>
      <w:bookmarkEnd w:id="85"/>
      <w:bookmarkEnd w:id="86"/>
      <w:bookmarkEnd w:id="87"/>
      <w:bookmarkEnd w:id="88"/>
      <w:bookmarkEnd w:id="89"/>
    </w:p>
    <w:p w14:paraId="1D4713C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招标内容：见</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w:t>
      </w:r>
    </w:p>
    <w:p w14:paraId="6B95A30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服务地点：见</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w:t>
      </w:r>
    </w:p>
    <w:p w14:paraId="76F64A0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服务周期：见</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w:t>
      </w:r>
    </w:p>
    <w:p w14:paraId="18EDFF75">
      <w:pPr>
        <w:pStyle w:val="35"/>
        <w:spacing w:line="360" w:lineRule="auto"/>
        <w:rPr>
          <w:rFonts w:hint="eastAsia" w:ascii="宋体" w:hAnsi="宋体" w:eastAsia="宋体" w:cs="宋体"/>
          <w:b/>
          <w:bCs/>
          <w:color w:val="auto"/>
          <w:sz w:val="24"/>
          <w:szCs w:val="24"/>
          <w:highlight w:val="none"/>
        </w:rPr>
      </w:pPr>
      <w:bookmarkStart w:id="90" w:name="_Toc152042310"/>
      <w:bookmarkStart w:id="91" w:name="_Toc12247"/>
      <w:bookmarkStart w:id="92" w:name="_Toc144974502"/>
      <w:bookmarkStart w:id="93" w:name="_Toc179632551"/>
      <w:bookmarkStart w:id="94" w:name="_Toc21522"/>
      <w:bookmarkStart w:id="95" w:name="_Toc152045534"/>
      <w:bookmarkStart w:id="96" w:name="_Toc10602"/>
      <w:bookmarkStart w:id="97" w:name="_Toc14471"/>
      <w:bookmarkStart w:id="98" w:name="_Toc24230"/>
      <w:bookmarkStart w:id="99" w:name="_Toc20136"/>
      <w:r>
        <w:rPr>
          <w:rFonts w:hint="eastAsia" w:ascii="宋体" w:hAnsi="宋体" w:eastAsia="宋体" w:cs="宋体"/>
          <w:b/>
          <w:bCs/>
          <w:color w:val="auto"/>
          <w:sz w:val="24"/>
          <w:szCs w:val="24"/>
          <w:highlight w:val="none"/>
        </w:rPr>
        <w:t xml:space="preserve">1.4 </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资格要求</w:t>
      </w:r>
      <w:bookmarkEnd w:id="90"/>
      <w:bookmarkEnd w:id="91"/>
      <w:bookmarkEnd w:id="92"/>
      <w:bookmarkEnd w:id="93"/>
      <w:bookmarkEnd w:id="94"/>
      <w:bookmarkEnd w:id="95"/>
      <w:bookmarkEnd w:id="96"/>
      <w:bookmarkEnd w:id="97"/>
      <w:bookmarkEnd w:id="98"/>
      <w:bookmarkEnd w:id="99"/>
    </w:p>
    <w:p w14:paraId="5406FA6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应具备承担本次招标服务能力，并满足以下资格条件：见</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w:t>
      </w:r>
    </w:p>
    <w:p w14:paraId="78B05B6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不得存在下列情形之一：</w:t>
      </w:r>
    </w:p>
    <w:p w14:paraId="1755D452">
      <w:pPr>
        <w:spacing w:line="360" w:lineRule="auto"/>
        <w:ind w:firstLine="840" w:firstLine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（1）为本标包提供招标代理服务的；</w:t>
      </w:r>
    </w:p>
    <w:p w14:paraId="076CB82A">
      <w:pPr>
        <w:spacing w:line="360" w:lineRule="auto"/>
        <w:ind w:firstLine="840" w:firstLine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）与本标包的招标代理机构同为一个法定代表人，或者相互控股或参股的，或者相互任职或工作的；</w:t>
      </w:r>
    </w:p>
    <w:p w14:paraId="157C2B22">
      <w:pPr>
        <w:spacing w:line="360" w:lineRule="auto"/>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）被责令停业的；</w:t>
      </w:r>
    </w:p>
    <w:p w14:paraId="43E37664">
      <w:pPr>
        <w:spacing w:line="360" w:lineRule="auto"/>
        <w:ind w:firstLine="840" w:firstLine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）被暂扣或吊销许可证的；</w:t>
      </w:r>
    </w:p>
    <w:p w14:paraId="628BA6C6">
      <w:pPr>
        <w:spacing w:line="360" w:lineRule="auto"/>
        <w:ind w:firstLine="840" w:firstLine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）被暂停或取消投标资格的；</w:t>
      </w:r>
    </w:p>
    <w:p w14:paraId="1326FBD3">
      <w:pPr>
        <w:spacing w:line="360" w:lineRule="auto"/>
        <w:ind w:firstLine="840" w:firstLine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）财产被接管或冻结的；</w:t>
      </w:r>
    </w:p>
    <w:p w14:paraId="02F0589F">
      <w:pPr>
        <w:spacing w:line="360" w:lineRule="auto"/>
        <w:ind w:firstLine="840" w:firstLine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）在最近三年内有骗取中标或严重违约或重大质量问题的。</w:t>
      </w:r>
    </w:p>
    <w:p w14:paraId="6E5E46A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存在下列情形之一的，相关投标均无效：</w:t>
      </w:r>
    </w:p>
    <w:p w14:paraId="73443B57">
      <w:pPr>
        <w:spacing w:line="360" w:lineRule="auto"/>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（1）与招标人存在利害关系影响招标公正性的；</w:t>
      </w:r>
    </w:p>
    <w:p w14:paraId="038CE589">
      <w:pPr>
        <w:spacing w:line="360" w:lineRule="auto"/>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（2）单位负责人为同一人或者存在控股、管理关系的不同单位，参加同一标包投标的。</w:t>
      </w:r>
    </w:p>
    <w:p w14:paraId="186839A8">
      <w:pPr>
        <w:pStyle w:val="35"/>
        <w:spacing w:line="360" w:lineRule="auto"/>
        <w:rPr>
          <w:rFonts w:hint="eastAsia" w:ascii="宋体" w:hAnsi="宋体" w:eastAsia="宋体" w:cs="宋体"/>
          <w:b/>
          <w:bCs/>
          <w:color w:val="auto"/>
          <w:sz w:val="24"/>
          <w:szCs w:val="24"/>
          <w:highlight w:val="none"/>
        </w:rPr>
      </w:pPr>
      <w:bookmarkStart w:id="100" w:name="_Toc152045535"/>
      <w:bookmarkStart w:id="101" w:name="_Toc1816"/>
      <w:bookmarkStart w:id="102" w:name="_Toc152042311"/>
      <w:bookmarkStart w:id="103" w:name="_Toc7970"/>
      <w:bookmarkStart w:id="104" w:name="_Toc24093"/>
      <w:bookmarkStart w:id="105" w:name="_Toc179632552"/>
      <w:bookmarkStart w:id="106" w:name="_Toc9385"/>
      <w:bookmarkStart w:id="107" w:name="_Toc25171"/>
      <w:bookmarkStart w:id="108" w:name="_Toc24062"/>
      <w:bookmarkStart w:id="109" w:name="_Toc144974503"/>
      <w:r>
        <w:rPr>
          <w:rFonts w:hint="eastAsia" w:ascii="宋体" w:hAnsi="宋体" w:eastAsia="宋体" w:cs="宋体"/>
          <w:b/>
          <w:bCs/>
          <w:color w:val="auto"/>
          <w:sz w:val="24"/>
          <w:szCs w:val="24"/>
          <w:highlight w:val="none"/>
        </w:rPr>
        <w:t>1.5 费用承担</w:t>
      </w:r>
      <w:bookmarkEnd w:id="100"/>
      <w:bookmarkEnd w:id="101"/>
      <w:bookmarkEnd w:id="102"/>
      <w:bookmarkEnd w:id="103"/>
      <w:bookmarkEnd w:id="104"/>
      <w:bookmarkEnd w:id="105"/>
      <w:bookmarkEnd w:id="106"/>
      <w:bookmarkEnd w:id="107"/>
      <w:bookmarkEnd w:id="108"/>
      <w:bookmarkEnd w:id="109"/>
    </w:p>
    <w:p w14:paraId="53A9024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准备和参加投标活动发生的费用自理。</w:t>
      </w:r>
    </w:p>
    <w:p w14:paraId="0580790E">
      <w:pPr>
        <w:pStyle w:val="4"/>
        <w:spacing w:before="0" w:after="0" w:line="360" w:lineRule="auto"/>
        <w:rPr>
          <w:rFonts w:hint="eastAsia" w:ascii="宋体" w:hAnsi="宋体" w:eastAsia="宋体" w:cs="宋体"/>
          <w:color w:val="auto"/>
          <w:sz w:val="24"/>
          <w:szCs w:val="24"/>
          <w:highlight w:val="none"/>
        </w:rPr>
      </w:pPr>
      <w:bookmarkStart w:id="110" w:name="_Toc144974510"/>
      <w:bookmarkStart w:id="111" w:name="_Toc152045542"/>
      <w:bookmarkStart w:id="112" w:name="_Toc19016"/>
      <w:bookmarkStart w:id="113" w:name="_Toc152042318"/>
      <w:bookmarkStart w:id="114" w:name="_Toc27037"/>
      <w:bookmarkStart w:id="115" w:name="_Toc408773482"/>
      <w:bookmarkStart w:id="116" w:name="_Toc13677"/>
      <w:bookmarkStart w:id="117" w:name="_Toc179632560"/>
      <w:bookmarkStart w:id="118" w:name="_Toc23545"/>
      <w:bookmarkStart w:id="119" w:name="_Toc2629"/>
      <w:bookmarkStart w:id="120" w:name="_Toc17789"/>
      <w:bookmarkStart w:id="121" w:name="_Toc13358"/>
      <w:bookmarkStart w:id="122" w:name="_Toc14773"/>
      <w:bookmarkStart w:id="123" w:name="_Toc12851"/>
      <w:bookmarkStart w:id="124" w:name="_Toc27811"/>
      <w:r>
        <w:rPr>
          <w:rFonts w:hint="eastAsia" w:ascii="宋体" w:hAnsi="宋体" w:eastAsia="宋体" w:cs="宋体"/>
          <w:color w:val="auto"/>
          <w:sz w:val="24"/>
          <w:szCs w:val="24"/>
          <w:highlight w:val="none"/>
        </w:rPr>
        <w:t>2.招标文件</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1921A707">
      <w:pPr>
        <w:pStyle w:val="35"/>
        <w:spacing w:line="360" w:lineRule="auto"/>
        <w:rPr>
          <w:rFonts w:hint="eastAsia" w:ascii="宋体" w:hAnsi="宋体" w:eastAsia="宋体" w:cs="宋体"/>
          <w:b/>
          <w:bCs/>
          <w:color w:val="auto"/>
          <w:sz w:val="24"/>
          <w:szCs w:val="24"/>
          <w:highlight w:val="none"/>
        </w:rPr>
      </w:pPr>
      <w:bookmarkStart w:id="125" w:name="_Toc152042319"/>
      <w:bookmarkStart w:id="126" w:name="_Toc24738"/>
      <w:bookmarkStart w:id="127" w:name="_Toc3372"/>
      <w:bookmarkStart w:id="128" w:name="_Toc144974511"/>
      <w:bookmarkStart w:id="129" w:name="_Toc30315"/>
      <w:bookmarkStart w:id="130" w:name="_Toc32606"/>
      <w:bookmarkStart w:id="131" w:name="_Toc8938"/>
      <w:bookmarkStart w:id="132" w:name="_Toc179632561"/>
      <w:bookmarkStart w:id="133" w:name="_Toc152045543"/>
      <w:bookmarkStart w:id="134" w:name="_Toc27075"/>
      <w:r>
        <w:rPr>
          <w:rFonts w:hint="eastAsia" w:ascii="宋体" w:hAnsi="宋体" w:eastAsia="宋体" w:cs="宋体"/>
          <w:b/>
          <w:bCs/>
          <w:color w:val="auto"/>
          <w:sz w:val="24"/>
          <w:szCs w:val="24"/>
          <w:highlight w:val="none"/>
        </w:rPr>
        <w:t>2.1 招标文件的组成</w:t>
      </w:r>
      <w:bookmarkEnd w:id="125"/>
      <w:bookmarkEnd w:id="126"/>
      <w:bookmarkEnd w:id="127"/>
      <w:bookmarkEnd w:id="128"/>
      <w:bookmarkEnd w:id="129"/>
      <w:bookmarkEnd w:id="130"/>
      <w:bookmarkEnd w:id="131"/>
      <w:bookmarkEnd w:id="132"/>
      <w:bookmarkEnd w:id="133"/>
      <w:bookmarkEnd w:id="134"/>
    </w:p>
    <w:p w14:paraId="20B742A7">
      <w:pPr>
        <w:spacing w:line="360" w:lineRule="auto"/>
        <w:ind w:firstLine="616" w:firstLineChars="257"/>
        <w:rPr>
          <w:rFonts w:hint="eastAsia" w:ascii="宋体" w:hAnsi="宋体" w:eastAsia="宋体" w:cs="宋体"/>
          <w:color w:val="auto"/>
          <w:sz w:val="24"/>
          <w:szCs w:val="24"/>
          <w:highlight w:val="none"/>
        </w:rPr>
      </w:pPr>
      <w:bookmarkStart w:id="135" w:name="_Toc144974512"/>
      <w:bookmarkStart w:id="136" w:name="_Toc179632562"/>
      <w:bookmarkStart w:id="137" w:name="_Toc152042320"/>
      <w:bookmarkStart w:id="138" w:name="_Toc152045544"/>
      <w:bookmarkStart w:id="139" w:name="_Toc14182"/>
      <w:r>
        <w:rPr>
          <w:rFonts w:hint="eastAsia" w:ascii="宋体" w:hAnsi="宋体" w:eastAsia="宋体" w:cs="宋体"/>
          <w:color w:val="auto"/>
          <w:sz w:val="24"/>
          <w:szCs w:val="24"/>
          <w:highlight w:val="none"/>
        </w:rPr>
        <w:t>招标文件由下列文件以及在招标过程中发出的修正和补充文件组成：</w:t>
      </w:r>
    </w:p>
    <w:p w14:paraId="41025438">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1）招标公告</w:t>
      </w:r>
    </w:p>
    <w:p w14:paraId="0088BC44">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w:t>
      </w:r>
    </w:p>
    <w:p w14:paraId="674F301C">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3）招标需求</w:t>
      </w:r>
    </w:p>
    <w:p w14:paraId="12519217">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4）评标方法、步骤及权重</w:t>
      </w:r>
    </w:p>
    <w:p w14:paraId="15B922A7">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5）合同书格式</w:t>
      </w:r>
    </w:p>
    <w:p w14:paraId="1E4555FB">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6）投标文件格式</w:t>
      </w:r>
    </w:p>
    <w:p w14:paraId="16F2A72D">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7）在招标过程中由招标代理机构发出的修正和补充文件等（如有）</w:t>
      </w:r>
    </w:p>
    <w:p w14:paraId="14C36395">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应认真阅读招标文件中所有的事项、格式、条款和技术规范、参数及要求等。</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没有按照招标文件要求提交全部资料，或者投标没有对招标文件在各方面都做出实质性响应是</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的风险，有可能导致其投标被拒绝。</w:t>
      </w:r>
    </w:p>
    <w:p w14:paraId="70275553">
      <w:pPr>
        <w:pStyle w:val="35"/>
        <w:spacing w:line="360" w:lineRule="auto"/>
        <w:rPr>
          <w:rFonts w:hint="eastAsia" w:ascii="宋体" w:hAnsi="宋体" w:eastAsia="宋体" w:cs="宋体"/>
          <w:b/>
          <w:bCs/>
          <w:color w:val="auto"/>
          <w:sz w:val="24"/>
          <w:szCs w:val="24"/>
          <w:highlight w:val="none"/>
        </w:rPr>
      </w:pPr>
      <w:bookmarkStart w:id="140" w:name="_Toc15612"/>
      <w:bookmarkStart w:id="141" w:name="_Toc23804"/>
      <w:bookmarkStart w:id="142" w:name="_Toc30767"/>
      <w:bookmarkStart w:id="143" w:name="_Toc25538"/>
      <w:bookmarkStart w:id="144" w:name="_Toc13840"/>
      <w:r>
        <w:rPr>
          <w:rFonts w:hint="eastAsia" w:ascii="宋体" w:hAnsi="宋体" w:eastAsia="宋体" w:cs="宋体"/>
          <w:b/>
          <w:bCs/>
          <w:color w:val="auto"/>
          <w:sz w:val="24"/>
          <w:szCs w:val="24"/>
          <w:highlight w:val="none"/>
        </w:rPr>
        <w:t>2.2 招标文件的澄清</w:t>
      </w:r>
      <w:bookmarkEnd w:id="135"/>
      <w:bookmarkEnd w:id="136"/>
      <w:bookmarkEnd w:id="137"/>
      <w:bookmarkEnd w:id="138"/>
      <w:bookmarkEnd w:id="139"/>
      <w:bookmarkEnd w:id="140"/>
      <w:bookmarkEnd w:id="141"/>
      <w:bookmarkEnd w:id="142"/>
      <w:bookmarkEnd w:id="143"/>
      <w:bookmarkEnd w:id="144"/>
    </w:p>
    <w:p w14:paraId="536ACE49">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bookmarkStart w:id="145" w:name="_Toc28547"/>
      <w:bookmarkStart w:id="146" w:name="_Toc152045545"/>
      <w:bookmarkStart w:id="147" w:name="_Toc179632563"/>
      <w:bookmarkStart w:id="148" w:name="_Toc152042321"/>
      <w:bookmarkStart w:id="149" w:name="_Toc144974513"/>
      <w:r>
        <w:rPr>
          <w:rFonts w:hint="eastAsia" w:ascii="宋体" w:hAnsi="宋体" w:eastAsia="宋体" w:cs="宋体"/>
          <w:color w:val="auto"/>
          <w:sz w:val="24"/>
          <w:szCs w:val="24"/>
          <w:highlight w:val="none"/>
        </w:rPr>
        <w:t>1任何要求对招标文件进行澄清的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，均应以书面盖章的形式在开标前10天递交至</w:t>
      </w:r>
      <w:r>
        <w:rPr>
          <w:rFonts w:hint="eastAsia" w:ascii="宋体" w:hAnsi="宋体" w:eastAsia="宋体" w:cs="宋体"/>
          <w:color w:val="auto"/>
          <w:sz w:val="24"/>
          <w:szCs w:val="24"/>
          <w:highlight w:val="none"/>
          <w:lang w:val="en-US" w:eastAsia="zh-CN"/>
        </w:rPr>
        <w:t>招标代理机构</w:t>
      </w:r>
      <w:r>
        <w:rPr>
          <w:rFonts w:hint="eastAsia" w:ascii="宋体" w:hAnsi="宋体" w:eastAsia="宋体" w:cs="宋体"/>
          <w:color w:val="auto"/>
          <w:sz w:val="24"/>
          <w:szCs w:val="24"/>
          <w:highlight w:val="none"/>
        </w:rPr>
        <w:t>。招标代理机构对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所要求澄清的内容于3个工作日内予以书面答复。若有需要，招标代理机构将组织相关专家召开答疑会，并将会议内容以书面形式下发给所有潜在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（不指明问题的来源）。</w:t>
      </w:r>
    </w:p>
    <w:p w14:paraId="2B07A32A">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质疑书应当署名。质疑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为法人或者其他组织的，应当由法定代表人或者委托代理人签名并加盖单位公章。</w:t>
      </w:r>
    </w:p>
    <w:p w14:paraId="4E83EDBE">
      <w:pPr>
        <w:spacing w:line="360" w:lineRule="auto"/>
        <w:ind w:firstLine="616" w:firstLineChars="2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在规定的时间内未对招标文件提出疑问的，招标代理机构将视其为同意，并不在中标结果出来后，受理因招标文件引起的质疑。</w:t>
      </w:r>
    </w:p>
    <w:p w14:paraId="479FE228">
      <w:pPr>
        <w:pStyle w:val="35"/>
        <w:spacing w:line="360" w:lineRule="auto"/>
        <w:rPr>
          <w:rFonts w:hint="eastAsia" w:ascii="宋体" w:hAnsi="宋体" w:eastAsia="宋体" w:cs="宋体"/>
          <w:b/>
          <w:bCs/>
          <w:color w:val="auto"/>
          <w:sz w:val="24"/>
          <w:szCs w:val="24"/>
          <w:highlight w:val="none"/>
        </w:rPr>
      </w:pPr>
      <w:bookmarkStart w:id="150" w:name="_Toc7977"/>
      <w:bookmarkStart w:id="151" w:name="_Toc3295"/>
      <w:bookmarkStart w:id="152" w:name="_Toc10884"/>
      <w:bookmarkStart w:id="153" w:name="_Toc25441"/>
      <w:bookmarkStart w:id="154" w:name="_Toc26598"/>
      <w:r>
        <w:rPr>
          <w:rFonts w:hint="eastAsia" w:ascii="宋体" w:hAnsi="宋体" w:eastAsia="宋体" w:cs="宋体"/>
          <w:b/>
          <w:bCs/>
          <w:color w:val="auto"/>
          <w:sz w:val="24"/>
          <w:szCs w:val="24"/>
          <w:highlight w:val="none"/>
        </w:rPr>
        <w:t>2.3 招标文件的修改</w:t>
      </w:r>
      <w:bookmarkEnd w:id="145"/>
      <w:bookmarkEnd w:id="146"/>
      <w:bookmarkEnd w:id="147"/>
      <w:bookmarkEnd w:id="148"/>
      <w:bookmarkEnd w:id="149"/>
      <w:bookmarkEnd w:id="150"/>
      <w:bookmarkEnd w:id="151"/>
      <w:bookmarkEnd w:id="152"/>
      <w:bookmarkEnd w:id="153"/>
      <w:bookmarkEnd w:id="154"/>
    </w:p>
    <w:p w14:paraId="43AEADFE">
      <w:pPr>
        <w:spacing w:line="360" w:lineRule="auto"/>
        <w:ind w:firstLine="616" w:firstLineChars="257"/>
        <w:rPr>
          <w:rFonts w:hint="eastAsia" w:ascii="宋体" w:hAnsi="宋体" w:eastAsia="宋体" w:cs="宋体"/>
          <w:color w:val="auto"/>
          <w:sz w:val="24"/>
          <w:szCs w:val="24"/>
          <w:highlight w:val="none"/>
        </w:rPr>
      </w:pPr>
      <w:bookmarkStart w:id="155" w:name="_Toc29695"/>
      <w:r>
        <w:rPr>
          <w:rFonts w:hint="eastAsia" w:ascii="宋体" w:hAnsi="宋体" w:eastAsia="宋体" w:cs="宋体"/>
          <w:color w:val="auto"/>
          <w:sz w:val="24"/>
          <w:szCs w:val="24"/>
          <w:highlight w:val="none"/>
        </w:rPr>
        <w:t>2.3.1在投标截止时间15日以前，无论出于何种原因，招标代理机构或招标人可主动的或在解答</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提出的疑问时对招标文件进行修改。</w:t>
      </w:r>
    </w:p>
    <w:p w14:paraId="0BC1A5CE">
      <w:pPr>
        <w:spacing w:line="360" w:lineRule="auto"/>
        <w:ind w:firstLine="616" w:firstLineChars="2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2.3.2修改后的内容是招标文件的组成部分，将以书面形式通知所有领取招标文件的潜在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,并对潜在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具有约束力。潜在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在收到上述通知后,应立即以书面形式确认回函。</w:t>
      </w:r>
    </w:p>
    <w:p w14:paraId="0093DB93">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2.3.3为使</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准备投标时有充足时间对招标文件的修改部分进行研究，招标代理机构可适当推迟投标截止期，并书面通知所有领取招标文件的潜在</w:t>
      </w:r>
      <w:r>
        <w:rPr>
          <w:rFonts w:hint="eastAsia" w:ascii="宋体" w:hAnsi="宋体" w:eastAsia="宋体" w:cs="宋体"/>
          <w:color w:val="auto"/>
          <w:sz w:val="24"/>
          <w:szCs w:val="24"/>
          <w:highlight w:val="none"/>
          <w:lang w:eastAsia="zh-CN"/>
        </w:rPr>
        <w:t>供应商</w:t>
      </w:r>
    </w:p>
    <w:p w14:paraId="626F6FA0">
      <w:pPr>
        <w:pStyle w:val="35"/>
        <w:spacing w:line="360" w:lineRule="auto"/>
        <w:rPr>
          <w:rFonts w:hint="eastAsia" w:ascii="宋体" w:hAnsi="宋体" w:eastAsia="宋体" w:cs="宋体"/>
          <w:b/>
          <w:bCs/>
          <w:color w:val="auto"/>
          <w:sz w:val="24"/>
          <w:szCs w:val="24"/>
          <w:highlight w:val="none"/>
        </w:rPr>
      </w:pPr>
      <w:bookmarkStart w:id="156" w:name="_Toc22332"/>
      <w:bookmarkStart w:id="157" w:name="_Toc9115"/>
      <w:bookmarkStart w:id="158" w:name="_Toc21875"/>
      <w:bookmarkStart w:id="159" w:name="_Toc1460"/>
      <w:r>
        <w:rPr>
          <w:rFonts w:hint="eastAsia" w:ascii="宋体" w:hAnsi="宋体" w:eastAsia="宋体" w:cs="宋体"/>
          <w:b/>
          <w:bCs/>
          <w:color w:val="auto"/>
          <w:sz w:val="24"/>
          <w:szCs w:val="24"/>
          <w:highlight w:val="none"/>
        </w:rPr>
        <w:t>2.4 招标文件的异议</w:t>
      </w:r>
      <w:bookmarkEnd w:id="155"/>
      <w:bookmarkEnd w:id="156"/>
      <w:bookmarkEnd w:id="157"/>
      <w:bookmarkEnd w:id="158"/>
      <w:bookmarkEnd w:id="159"/>
    </w:p>
    <w:p w14:paraId="5C045471">
      <w:pPr>
        <w:spacing w:line="360" w:lineRule="auto"/>
        <w:ind w:firstLine="528" w:firstLineChars="2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或者其他利害关系人对招标文件（包括对招标文件澄清和修改的内容）有异议的，应当在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须知前附表第1.3.5项规定的投标截止时间10日前提出。招标人自收到异议之日起3日内作出答复；作出答复前，招标人将暂停招标投标活动。逾期提出的，招标人可不予受理。</w:t>
      </w:r>
    </w:p>
    <w:p w14:paraId="052E7CD1">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本处所称异议是指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或者其他利害关系人认为招标文件的内容违反法律、法规、规章的强制性规定，违反公开、公平、公正和诚实信用原则，影响</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投标而向招标人提出的质疑。异议与答复应采取书面形式。</w:t>
      </w:r>
    </w:p>
    <w:p w14:paraId="44C0FAF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2.4.2招标人对异议的答复构成对招标文件澄清或者修改的，招标人将按照本章第2.2款、第2.3款规定办理。</w:t>
      </w:r>
    </w:p>
    <w:p w14:paraId="64103BDE">
      <w:pPr>
        <w:pStyle w:val="4"/>
        <w:spacing w:before="0" w:after="0" w:line="360" w:lineRule="auto"/>
        <w:rPr>
          <w:rFonts w:hint="eastAsia" w:ascii="宋体" w:hAnsi="宋体" w:eastAsia="宋体" w:cs="宋体"/>
          <w:color w:val="auto"/>
          <w:sz w:val="24"/>
          <w:szCs w:val="24"/>
          <w:highlight w:val="none"/>
        </w:rPr>
      </w:pPr>
      <w:bookmarkStart w:id="160" w:name="_Toc24756"/>
      <w:bookmarkStart w:id="161" w:name="_Toc17915"/>
      <w:bookmarkStart w:id="162" w:name="_Toc30326"/>
      <w:bookmarkStart w:id="163" w:name="_Toc928"/>
      <w:bookmarkStart w:id="164" w:name="_Toc144974514"/>
      <w:bookmarkStart w:id="165" w:name="_Toc14277"/>
      <w:bookmarkStart w:id="166" w:name="_Toc152042322"/>
      <w:bookmarkStart w:id="167" w:name="_Toc408773483"/>
      <w:bookmarkStart w:id="168" w:name="_Toc152045546"/>
      <w:bookmarkStart w:id="169" w:name="_Toc7191"/>
      <w:bookmarkStart w:id="170" w:name="_Toc31422"/>
      <w:bookmarkStart w:id="171" w:name="_Toc179632564"/>
      <w:bookmarkStart w:id="172" w:name="_Toc27168"/>
      <w:bookmarkStart w:id="173" w:name="_Toc29740"/>
      <w:bookmarkStart w:id="174" w:name="_Toc15153"/>
      <w:r>
        <w:rPr>
          <w:rFonts w:hint="eastAsia" w:ascii="宋体" w:hAnsi="宋体" w:eastAsia="宋体" w:cs="宋体"/>
          <w:color w:val="auto"/>
          <w:sz w:val="24"/>
          <w:szCs w:val="24"/>
          <w:highlight w:val="none"/>
        </w:rPr>
        <w:t>3.投标文件</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447C0EDC">
      <w:pPr>
        <w:pStyle w:val="35"/>
        <w:spacing w:line="360" w:lineRule="auto"/>
        <w:rPr>
          <w:rFonts w:hint="eastAsia" w:ascii="宋体" w:hAnsi="宋体" w:eastAsia="宋体" w:cs="宋体"/>
          <w:b/>
          <w:bCs/>
          <w:color w:val="auto"/>
          <w:sz w:val="24"/>
          <w:szCs w:val="24"/>
          <w:highlight w:val="none"/>
        </w:rPr>
      </w:pPr>
      <w:bookmarkStart w:id="175" w:name="_Toc22154"/>
      <w:bookmarkStart w:id="176" w:name="_Toc24500"/>
      <w:bookmarkStart w:id="177" w:name="_Toc331"/>
      <w:bookmarkStart w:id="178" w:name="_Toc12725"/>
      <w:bookmarkStart w:id="179" w:name="_Toc20244"/>
      <w:bookmarkStart w:id="180" w:name="_Toc8621"/>
      <w:r>
        <w:rPr>
          <w:rFonts w:hint="eastAsia" w:ascii="宋体" w:hAnsi="宋体" w:eastAsia="宋体" w:cs="宋体"/>
          <w:b/>
          <w:bCs/>
          <w:color w:val="auto"/>
          <w:sz w:val="24"/>
          <w:szCs w:val="24"/>
          <w:highlight w:val="none"/>
        </w:rPr>
        <w:t>3.1</w:t>
      </w:r>
      <w:bookmarkStart w:id="181" w:name="_Toc179632565"/>
      <w:bookmarkStart w:id="182" w:name="_Toc152042323"/>
      <w:bookmarkStart w:id="183" w:name="_Toc144974515"/>
      <w:bookmarkStart w:id="184" w:name="_Toc152045547"/>
      <w:r>
        <w:rPr>
          <w:rFonts w:hint="eastAsia" w:ascii="宋体" w:hAnsi="宋体" w:eastAsia="宋体" w:cs="宋体"/>
          <w:b/>
          <w:bCs/>
          <w:color w:val="auto"/>
          <w:sz w:val="24"/>
          <w:szCs w:val="24"/>
          <w:highlight w:val="none"/>
        </w:rPr>
        <w:t>投标文件的组成</w:t>
      </w:r>
      <w:bookmarkEnd w:id="175"/>
      <w:bookmarkEnd w:id="176"/>
      <w:bookmarkEnd w:id="177"/>
      <w:bookmarkEnd w:id="178"/>
      <w:bookmarkEnd w:id="179"/>
      <w:bookmarkEnd w:id="180"/>
      <w:bookmarkEnd w:id="181"/>
      <w:bookmarkEnd w:id="182"/>
      <w:bookmarkEnd w:id="183"/>
      <w:bookmarkEnd w:id="184"/>
    </w:p>
    <w:p w14:paraId="7DFC0F93">
      <w:pPr>
        <w:spacing w:line="400" w:lineRule="exact"/>
        <w:ind w:firstLine="480" w:firstLineChars="200"/>
        <w:rPr>
          <w:rFonts w:hint="eastAsia" w:ascii="宋体" w:hAnsi="宋体" w:eastAsia="宋体" w:cs="宋体"/>
          <w:color w:val="auto"/>
          <w:position w:val="6"/>
          <w:sz w:val="24"/>
          <w:szCs w:val="24"/>
          <w:highlight w:val="none"/>
        </w:rPr>
      </w:pPr>
      <w:bookmarkStart w:id="185" w:name="_Toc2378"/>
      <w:bookmarkStart w:id="186" w:name="_Toc152045548"/>
      <w:bookmarkStart w:id="187" w:name="_Toc152042324"/>
      <w:bookmarkStart w:id="188" w:name="_Toc179632566"/>
      <w:bookmarkStart w:id="189" w:name="_Toc144974516"/>
      <w:r>
        <w:rPr>
          <w:rFonts w:hint="eastAsia" w:ascii="宋体" w:hAnsi="宋体" w:eastAsia="宋体" w:cs="宋体"/>
          <w:color w:val="auto"/>
          <w:position w:val="6"/>
          <w:sz w:val="24"/>
          <w:szCs w:val="24"/>
          <w:highlight w:val="none"/>
        </w:rPr>
        <w:t>3.1.1投标文件应包括下列内容：</w:t>
      </w:r>
    </w:p>
    <w:p w14:paraId="7A27CEE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w:t>
      </w:r>
    </w:p>
    <w:p w14:paraId="303E241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）法定代表人身份证明及法定代表人授权委托书</w:t>
      </w:r>
      <w:r>
        <w:rPr>
          <w:rFonts w:hint="eastAsia" w:ascii="宋体" w:hAnsi="宋体" w:eastAsia="宋体" w:cs="宋体"/>
          <w:color w:val="auto"/>
          <w:sz w:val="24"/>
          <w:szCs w:val="24"/>
          <w:highlight w:val="none"/>
          <w:lang w:val="en-US" w:eastAsia="zh-CN"/>
        </w:rPr>
        <w:t>或个体工商户经营者</w:t>
      </w:r>
      <w:r>
        <w:rPr>
          <w:rFonts w:hint="eastAsia" w:ascii="宋体" w:hAnsi="宋体" w:eastAsia="宋体" w:cs="宋体"/>
          <w:color w:val="auto"/>
          <w:sz w:val="24"/>
          <w:szCs w:val="24"/>
          <w:highlight w:val="none"/>
        </w:rPr>
        <w:t>身份证明及</w:t>
      </w:r>
      <w:r>
        <w:rPr>
          <w:rFonts w:hint="eastAsia" w:ascii="宋体" w:hAnsi="宋体" w:eastAsia="宋体" w:cs="宋体"/>
          <w:color w:val="auto"/>
          <w:sz w:val="24"/>
          <w:szCs w:val="24"/>
          <w:highlight w:val="none"/>
          <w:lang w:val="en-US" w:eastAsia="zh-CN"/>
        </w:rPr>
        <w:t>个体工商户经营者</w:t>
      </w:r>
      <w:r>
        <w:rPr>
          <w:rFonts w:hint="eastAsia" w:ascii="宋体" w:hAnsi="宋体" w:eastAsia="宋体" w:cs="宋体"/>
          <w:color w:val="auto"/>
          <w:sz w:val="24"/>
          <w:szCs w:val="24"/>
          <w:highlight w:val="none"/>
        </w:rPr>
        <w:t>授权委托书；</w:t>
      </w:r>
    </w:p>
    <w:p w14:paraId="04C4322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）资格审查资料；</w:t>
      </w:r>
    </w:p>
    <w:p w14:paraId="4F12E5C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综合部分</w:t>
      </w:r>
      <w:r>
        <w:rPr>
          <w:rFonts w:hint="eastAsia" w:ascii="宋体" w:hAnsi="宋体" w:eastAsia="宋体" w:cs="宋体"/>
          <w:color w:val="auto"/>
          <w:sz w:val="24"/>
          <w:szCs w:val="24"/>
          <w:highlight w:val="none"/>
        </w:rPr>
        <w:t>；</w:t>
      </w:r>
    </w:p>
    <w:p w14:paraId="4F8B5A52">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）技术部分</w:t>
      </w:r>
      <w:r>
        <w:rPr>
          <w:rFonts w:hint="eastAsia" w:ascii="宋体" w:hAnsi="宋体" w:eastAsia="宋体" w:cs="宋体"/>
          <w:color w:val="auto"/>
          <w:sz w:val="24"/>
          <w:szCs w:val="24"/>
          <w:highlight w:val="none"/>
          <w:lang w:eastAsia="zh-CN"/>
        </w:rPr>
        <w:t>；</w:t>
      </w:r>
    </w:p>
    <w:p w14:paraId="269B65F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认为需提供的相关资料。</w:t>
      </w:r>
    </w:p>
    <w:p w14:paraId="1681719D">
      <w:pPr>
        <w:pStyle w:val="35"/>
        <w:spacing w:line="360" w:lineRule="auto"/>
        <w:rPr>
          <w:rFonts w:hint="eastAsia" w:ascii="宋体" w:hAnsi="宋体" w:eastAsia="宋体" w:cs="宋体"/>
          <w:b/>
          <w:bCs/>
          <w:color w:val="auto"/>
          <w:sz w:val="24"/>
          <w:szCs w:val="24"/>
          <w:highlight w:val="none"/>
        </w:rPr>
      </w:pPr>
      <w:bookmarkStart w:id="190" w:name="_Toc8825"/>
      <w:bookmarkStart w:id="191" w:name="_Toc5968"/>
      <w:bookmarkStart w:id="192" w:name="_Toc5"/>
      <w:bookmarkStart w:id="193" w:name="_Toc26194"/>
      <w:bookmarkStart w:id="194" w:name="_Toc31586"/>
      <w:r>
        <w:rPr>
          <w:rFonts w:hint="eastAsia" w:ascii="宋体" w:hAnsi="宋体" w:eastAsia="宋体" w:cs="宋体"/>
          <w:b/>
          <w:bCs/>
          <w:color w:val="auto"/>
          <w:sz w:val="24"/>
          <w:szCs w:val="24"/>
          <w:highlight w:val="none"/>
        </w:rPr>
        <w:t>3.2 投标报价</w:t>
      </w:r>
      <w:bookmarkEnd w:id="185"/>
      <w:bookmarkEnd w:id="186"/>
      <w:bookmarkEnd w:id="187"/>
      <w:bookmarkEnd w:id="188"/>
      <w:bookmarkEnd w:id="189"/>
      <w:bookmarkEnd w:id="190"/>
      <w:bookmarkEnd w:id="191"/>
      <w:bookmarkEnd w:id="192"/>
      <w:bookmarkEnd w:id="193"/>
      <w:bookmarkEnd w:id="194"/>
    </w:p>
    <w:p w14:paraId="6C5D136C">
      <w:pPr>
        <w:spacing w:line="360" w:lineRule="auto"/>
        <w:ind w:firstLine="616" w:firstLineChars="257"/>
        <w:rPr>
          <w:rFonts w:hint="eastAsia" w:ascii="宋体" w:hAnsi="宋体" w:eastAsia="宋体" w:cs="宋体"/>
          <w:color w:val="auto"/>
          <w:sz w:val="24"/>
          <w:szCs w:val="24"/>
          <w:highlight w:val="none"/>
        </w:rPr>
      </w:pPr>
      <w:bookmarkStart w:id="195" w:name="_Toc13002"/>
      <w:bookmarkStart w:id="196" w:name="_Toc152042325"/>
      <w:bookmarkStart w:id="197" w:name="_Toc179632567"/>
      <w:bookmarkStart w:id="198" w:name="_Toc144974517"/>
      <w:bookmarkStart w:id="199" w:name="_Toc152045549"/>
      <w:r>
        <w:rPr>
          <w:rFonts w:hint="eastAsia" w:ascii="宋体" w:hAnsi="宋体" w:eastAsia="宋体" w:cs="宋体"/>
          <w:color w:val="auto"/>
          <w:sz w:val="24"/>
          <w:szCs w:val="24"/>
          <w:highlight w:val="none"/>
        </w:rPr>
        <w:t>3.2.1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应按照招标文件第六章“投标文件格式”完整地填写投标函以及招标文件中规定的其他内容。</w:t>
      </w:r>
    </w:p>
    <w:p w14:paraId="6F74A4D7">
      <w:pPr>
        <w:spacing w:line="360" w:lineRule="auto"/>
        <w:ind w:firstLine="616" w:firstLineChars="2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w:t>
      </w:r>
      <w:r>
        <w:rPr>
          <w:rFonts w:hint="eastAsia" w:ascii="宋体" w:hAnsi="宋体" w:eastAsia="宋体" w:cs="宋体"/>
          <w:color w:val="auto"/>
          <w:sz w:val="24"/>
          <w:szCs w:val="24"/>
          <w:highlight w:val="none"/>
          <w:lang w:val="en-US" w:eastAsia="zh-CN"/>
        </w:rPr>
        <w:t>本项目不存在报价</w:t>
      </w:r>
      <w:r>
        <w:rPr>
          <w:rFonts w:hint="eastAsia" w:ascii="宋体" w:hAnsi="宋体" w:eastAsia="宋体" w:cs="宋体"/>
          <w:color w:val="auto"/>
          <w:sz w:val="24"/>
          <w:szCs w:val="24"/>
          <w:highlight w:val="none"/>
        </w:rPr>
        <w:t>。</w:t>
      </w:r>
    </w:p>
    <w:p w14:paraId="020AECED">
      <w:pPr>
        <w:pStyle w:val="35"/>
        <w:spacing w:line="360" w:lineRule="auto"/>
        <w:rPr>
          <w:rFonts w:hint="eastAsia" w:ascii="宋体" w:hAnsi="宋体" w:eastAsia="宋体" w:cs="宋体"/>
          <w:b/>
          <w:bCs/>
          <w:color w:val="auto"/>
          <w:sz w:val="24"/>
          <w:szCs w:val="24"/>
          <w:highlight w:val="none"/>
        </w:rPr>
      </w:pPr>
      <w:bookmarkStart w:id="200" w:name="_Toc350"/>
      <w:bookmarkStart w:id="201" w:name="_Toc17939"/>
      <w:bookmarkStart w:id="202" w:name="_Toc31461"/>
      <w:bookmarkStart w:id="203" w:name="_Toc5871"/>
      <w:bookmarkStart w:id="204" w:name="_Toc17026"/>
      <w:r>
        <w:rPr>
          <w:rFonts w:hint="eastAsia" w:ascii="宋体" w:hAnsi="宋体" w:eastAsia="宋体" w:cs="宋体"/>
          <w:b/>
          <w:bCs/>
          <w:color w:val="auto"/>
          <w:sz w:val="24"/>
          <w:szCs w:val="24"/>
          <w:highlight w:val="none"/>
        </w:rPr>
        <w:t>3.3 投标有效期</w:t>
      </w:r>
      <w:bookmarkEnd w:id="195"/>
      <w:bookmarkEnd w:id="196"/>
      <w:bookmarkEnd w:id="197"/>
      <w:bookmarkEnd w:id="198"/>
      <w:bookmarkEnd w:id="199"/>
      <w:bookmarkEnd w:id="200"/>
      <w:bookmarkEnd w:id="201"/>
      <w:bookmarkEnd w:id="202"/>
      <w:bookmarkEnd w:id="203"/>
      <w:bookmarkEnd w:id="204"/>
    </w:p>
    <w:p w14:paraId="6440BB7F">
      <w:pPr>
        <w:spacing w:line="360" w:lineRule="auto"/>
        <w:ind w:firstLine="616" w:firstLineChars="2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w:t>
      </w:r>
      <w:bookmarkStart w:id="205" w:name="_Toc179632568"/>
      <w:bookmarkStart w:id="206" w:name="_Toc152042326"/>
      <w:bookmarkStart w:id="207" w:name="_Toc25659"/>
      <w:bookmarkStart w:id="208" w:name="_Toc152045550"/>
      <w:bookmarkStart w:id="209" w:name="_Toc144974518"/>
      <w:r>
        <w:rPr>
          <w:rFonts w:hint="eastAsia" w:ascii="宋体" w:hAnsi="宋体" w:eastAsia="宋体" w:cs="宋体"/>
          <w:color w:val="auto"/>
          <w:sz w:val="24"/>
          <w:szCs w:val="24"/>
          <w:highlight w:val="none"/>
        </w:rPr>
        <w:t>投标有效期为开标之日起至</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0个日历日，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投标有效期不足的投标将被视为无效投标。</w:t>
      </w:r>
    </w:p>
    <w:p w14:paraId="2274F730">
      <w:pPr>
        <w:spacing w:line="360" w:lineRule="auto"/>
        <w:ind w:firstLine="616" w:firstLineChars="2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3.3.2特殊情况下,在原投标有效期截止之前, 招标代理机构或招标人可要求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延长投标有效期.这种要求与答复均应以书面形式提交。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可拒绝此要求。</w:t>
      </w:r>
    </w:p>
    <w:bookmarkEnd w:id="205"/>
    <w:bookmarkEnd w:id="206"/>
    <w:bookmarkEnd w:id="207"/>
    <w:bookmarkEnd w:id="208"/>
    <w:bookmarkEnd w:id="209"/>
    <w:p w14:paraId="5639ABB2">
      <w:pPr>
        <w:pStyle w:val="35"/>
        <w:spacing w:line="360" w:lineRule="auto"/>
        <w:rPr>
          <w:rFonts w:hint="eastAsia" w:ascii="宋体" w:hAnsi="宋体" w:eastAsia="宋体" w:cs="宋体"/>
          <w:b/>
          <w:bCs/>
          <w:color w:val="auto"/>
          <w:sz w:val="24"/>
          <w:szCs w:val="24"/>
          <w:highlight w:val="none"/>
        </w:rPr>
      </w:pPr>
      <w:bookmarkStart w:id="210" w:name="_Toc10757"/>
      <w:bookmarkStart w:id="211" w:name="_Toc27711"/>
      <w:bookmarkStart w:id="212" w:name="_Toc10525"/>
      <w:bookmarkStart w:id="213" w:name="_Toc152042328"/>
      <w:bookmarkStart w:id="214" w:name="_Toc18953"/>
      <w:bookmarkStart w:id="215" w:name="_Toc15763"/>
      <w:bookmarkStart w:id="216" w:name="_Toc179632570"/>
      <w:bookmarkStart w:id="217" w:name="_Toc144974520"/>
      <w:bookmarkStart w:id="218" w:name="_Toc152045552"/>
      <w:bookmarkStart w:id="219" w:name="_Toc25137"/>
      <w:r>
        <w:rPr>
          <w:rFonts w:hint="eastAsia" w:ascii="宋体" w:hAnsi="宋体" w:eastAsia="宋体" w:cs="宋体"/>
          <w:b/>
          <w:bCs/>
          <w:color w:val="auto"/>
          <w:sz w:val="24"/>
          <w:szCs w:val="24"/>
          <w:highlight w:val="none"/>
        </w:rPr>
        <w:t>3.5 资格审查资料</w:t>
      </w:r>
      <w:bookmarkEnd w:id="210"/>
      <w:bookmarkEnd w:id="211"/>
      <w:bookmarkEnd w:id="212"/>
      <w:bookmarkEnd w:id="213"/>
      <w:bookmarkEnd w:id="214"/>
      <w:bookmarkEnd w:id="215"/>
      <w:bookmarkEnd w:id="216"/>
      <w:bookmarkEnd w:id="217"/>
      <w:bookmarkEnd w:id="218"/>
      <w:bookmarkEnd w:id="219"/>
    </w:p>
    <w:p w14:paraId="62AB2752">
      <w:pPr>
        <w:topLinePunct/>
        <w:adjustRightInd w:val="0"/>
        <w:snapToGrid w:val="0"/>
        <w:spacing w:line="360" w:lineRule="auto"/>
        <w:ind w:left="210" w:right="198" w:firstLine="480" w:firstLineChars="200"/>
        <w:rPr>
          <w:rFonts w:hint="eastAsia" w:ascii="宋体" w:hAnsi="宋体" w:eastAsia="宋体" w:cs="宋体"/>
          <w:bCs/>
          <w:color w:val="auto"/>
          <w:sz w:val="24"/>
          <w:szCs w:val="24"/>
          <w:highlight w:val="none"/>
        </w:rPr>
      </w:pPr>
      <w:bookmarkStart w:id="220" w:name="_Toc24178"/>
      <w:bookmarkStart w:id="221" w:name="_Toc144974521"/>
      <w:bookmarkStart w:id="222" w:name="_Toc179632571"/>
      <w:bookmarkStart w:id="223" w:name="_Toc152042329"/>
      <w:bookmarkStart w:id="224" w:name="_Toc152045553"/>
      <w:r>
        <w:rPr>
          <w:rFonts w:hint="eastAsia" w:ascii="宋体" w:hAnsi="宋体" w:eastAsia="宋体" w:cs="宋体"/>
          <w:bCs/>
          <w:color w:val="auto"/>
          <w:sz w:val="24"/>
          <w:szCs w:val="24"/>
          <w:highlight w:val="none"/>
        </w:rPr>
        <w:t>本项目采用资格后审方式。评标委员会将对各</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提供的资格文件进行审查，有一项不符合招标文件要求，视为资格审查不合格。将不能进入下一步评标程序。</w:t>
      </w:r>
    </w:p>
    <w:p w14:paraId="2520359D">
      <w:pPr>
        <w:topLinePunct/>
        <w:adjustRightInd w:val="0"/>
        <w:snapToGrid w:val="0"/>
        <w:spacing w:line="360" w:lineRule="auto"/>
        <w:ind w:left="210" w:right="198" w:firstLine="482" w:firstLineChars="200"/>
        <w:rPr>
          <w:rFonts w:hint="eastAsia" w:ascii="宋体" w:hAnsi="宋体" w:eastAsia="宋体" w:cs="宋体"/>
          <w:b/>
          <w:color w:val="auto"/>
          <w:sz w:val="24"/>
          <w:szCs w:val="24"/>
          <w:highlight w:val="none"/>
          <w:lang w:val="en-US"/>
        </w:rPr>
      </w:pPr>
      <w:r>
        <w:rPr>
          <w:rFonts w:hint="eastAsia" w:ascii="宋体" w:hAnsi="宋体" w:eastAsia="宋体" w:cs="宋体"/>
          <w:b/>
          <w:color w:val="auto"/>
          <w:sz w:val="24"/>
          <w:szCs w:val="24"/>
          <w:highlight w:val="none"/>
        </w:rPr>
        <w:t>资格审查详见</w:t>
      </w:r>
      <w:r>
        <w:rPr>
          <w:rFonts w:hint="eastAsia" w:ascii="宋体" w:hAnsi="宋体" w:eastAsia="宋体" w:cs="宋体"/>
          <w:b/>
          <w:color w:val="auto"/>
          <w:sz w:val="24"/>
          <w:szCs w:val="24"/>
          <w:highlight w:val="none"/>
          <w:lang w:val="en-US" w:eastAsia="zh-CN"/>
        </w:rPr>
        <w:t>评分标准中“资格审查表”</w:t>
      </w:r>
    </w:p>
    <w:p w14:paraId="33BD3F35">
      <w:pPr>
        <w:pStyle w:val="35"/>
        <w:spacing w:line="360" w:lineRule="auto"/>
        <w:rPr>
          <w:rFonts w:hint="eastAsia" w:ascii="宋体" w:hAnsi="宋体" w:eastAsia="宋体" w:cs="宋体"/>
          <w:b/>
          <w:bCs/>
          <w:color w:val="auto"/>
          <w:sz w:val="24"/>
          <w:szCs w:val="24"/>
          <w:highlight w:val="none"/>
        </w:rPr>
      </w:pPr>
      <w:bookmarkStart w:id="225" w:name="_Toc22804"/>
      <w:bookmarkStart w:id="226" w:name="_Toc29583"/>
      <w:bookmarkStart w:id="227" w:name="_Toc21469"/>
      <w:bookmarkStart w:id="228" w:name="_Toc25726"/>
      <w:bookmarkStart w:id="229" w:name="_Toc3508"/>
      <w:r>
        <w:rPr>
          <w:rFonts w:hint="eastAsia" w:ascii="宋体" w:hAnsi="宋体" w:eastAsia="宋体" w:cs="宋体"/>
          <w:b/>
          <w:bCs/>
          <w:color w:val="auto"/>
          <w:sz w:val="24"/>
          <w:szCs w:val="24"/>
          <w:highlight w:val="none"/>
        </w:rPr>
        <w:t>3.6 备选投标方案</w:t>
      </w:r>
      <w:bookmarkEnd w:id="220"/>
      <w:bookmarkEnd w:id="221"/>
      <w:bookmarkEnd w:id="222"/>
      <w:bookmarkEnd w:id="223"/>
      <w:bookmarkEnd w:id="224"/>
      <w:bookmarkEnd w:id="225"/>
      <w:bookmarkEnd w:id="226"/>
      <w:bookmarkEnd w:id="227"/>
      <w:bookmarkEnd w:id="228"/>
      <w:bookmarkEnd w:id="229"/>
    </w:p>
    <w:p w14:paraId="67C0866C">
      <w:pPr>
        <w:spacing w:line="360" w:lineRule="auto"/>
        <w:ind w:firstLine="616" w:firstLineChars="257"/>
        <w:rPr>
          <w:rFonts w:hint="eastAsia" w:ascii="宋体" w:hAnsi="宋体" w:eastAsia="宋体" w:cs="宋体"/>
          <w:color w:val="auto"/>
          <w:sz w:val="24"/>
          <w:szCs w:val="24"/>
          <w:highlight w:val="none"/>
        </w:rPr>
      </w:pPr>
      <w:bookmarkStart w:id="230" w:name="_Toc152045554"/>
      <w:bookmarkStart w:id="231" w:name="_Toc152042330"/>
      <w:bookmarkStart w:id="232" w:name="_Toc29488"/>
      <w:bookmarkStart w:id="233" w:name="_Toc179632572"/>
      <w:bookmarkStart w:id="234" w:name="_Toc144974522"/>
      <w:r>
        <w:rPr>
          <w:rFonts w:hint="eastAsia" w:ascii="宋体" w:hAnsi="宋体" w:eastAsia="宋体" w:cs="宋体"/>
          <w:color w:val="auto"/>
          <w:sz w:val="24"/>
          <w:szCs w:val="24"/>
          <w:highlight w:val="none"/>
        </w:rPr>
        <w:t>只允许</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有一个投标方案,否则将被视为无效投标。</w:t>
      </w:r>
    </w:p>
    <w:p w14:paraId="71F65CB2">
      <w:pPr>
        <w:pStyle w:val="35"/>
        <w:spacing w:line="360" w:lineRule="auto"/>
        <w:rPr>
          <w:rFonts w:hint="eastAsia" w:ascii="宋体" w:hAnsi="宋体" w:eastAsia="宋体" w:cs="宋体"/>
          <w:b/>
          <w:bCs/>
          <w:color w:val="auto"/>
          <w:sz w:val="24"/>
          <w:szCs w:val="24"/>
          <w:highlight w:val="none"/>
        </w:rPr>
      </w:pPr>
      <w:bookmarkStart w:id="235" w:name="_Toc1331"/>
      <w:bookmarkStart w:id="236" w:name="_Toc19067"/>
      <w:bookmarkStart w:id="237" w:name="_Toc1380"/>
      <w:bookmarkStart w:id="238" w:name="_Toc341"/>
      <w:bookmarkStart w:id="239" w:name="_Toc2583"/>
      <w:r>
        <w:rPr>
          <w:rFonts w:hint="eastAsia" w:ascii="宋体" w:hAnsi="宋体" w:eastAsia="宋体" w:cs="宋体"/>
          <w:b/>
          <w:bCs/>
          <w:color w:val="auto"/>
          <w:sz w:val="24"/>
          <w:szCs w:val="24"/>
          <w:highlight w:val="none"/>
        </w:rPr>
        <w:t>3.7 投标文件的编制</w:t>
      </w:r>
      <w:bookmarkEnd w:id="230"/>
      <w:bookmarkEnd w:id="231"/>
      <w:bookmarkEnd w:id="232"/>
      <w:bookmarkEnd w:id="233"/>
      <w:bookmarkEnd w:id="234"/>
      <w:bookmarkEnd w:id="235"/>
      <w:bookmarkEnd w:id="236"/>
      <w:bookmarkEnd w:id="237"/>
      <w:bookmarkEnd w:id="238"/>
      <w:bookmarkEnd w:id="239"/>
    </w:p>
    <w:p w14:paraId="317A10E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3.7.1</w:t>
      </w:r>
      <w:bookmarkStart w:id="240" w:name="_Toc144974523"/>
      <w:bookmarkStart w:id="241" w:name="_Toc408773484"/>
      <w:bookmarkStart w:id="242" w:name="_Toc952"/>
      <w:bookmarkStart w:id="243" w:name="_Toc19907"/>
      <w:bookmarkStart w:id="244" w:name="_Toc152042331"/>
      <w:bookmarkStart w:id="245" w:name="_Toc152045555"/>
      <w:bookmarkStart w:id="246" w:name="_Toc5303"/>
      <w:bookmarkStart w:id="247" w:name="_Toc179632573"/>
      <w:bookmarkStart w:id="248" w:name="_Toc2898"/>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应当对投标文件进行装订(如胶装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订书机装订，打孔装订等</w:t>
      </w:r>
      <w:r>
        <w:rPr>
          <w:rFonts w:hint="eastAsia" w:ascii="宋体" w:hAnsi="宋体" w:eastAsia="宋体" w:cs="宋体"/>
          <w:color w:val="auto"/>
          <w:sz w:val="24"/>
          <w:szCs w:val="24"/>
          <w:highlight w:val="none"/>
        </w:rPr>
        <w:t>)，投标文件编制应清晰明确。</w:t>
      </w:r>
    </w:p>
    <w:p w14:paraId="52C9BC38">
      <w:pPr>
        <w:spacing w:line="360" w:lineRule="auto"/>
        <w:ind w:firstLine="609" w:firstLineChars="25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必须保证投标文件所提供的全部资料真实可靠，并接受招标代理机构对其中任何资料进一步核实的要求。</w:t>
      </w:r>
    </w:p>
    <w:p w14:paraId="1F934F33">
      <w:pPr>
        <w:spacing w:line="360" w:lineRule="auto"/>
        <w:ind w:firstLine="616" w:firstLineChars="2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3.7.3如果因为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投标文件填报的内容不详，或没有提供招标文件中所要求的全部资料及数据，由此造成的后果，其责任由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承担。</w:t>
      </w:r>
    </w:p>
    <w:p w14:paraId="2FA4EACD">
      <w:pPr>
        <w:spacing w:line="360" w:lineRule="auto"/>
        <w:ind w:firstLine="616" w:firstLineChars="2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3.7.4投标文件用纸外形尺寸应统一为A4纸规格。</w:t>
      </w:r>
    </w:p>
    <w:p w14:paraId="61775A9D">
      <w:pPr>
        <w:pStyle w:val="4"/>
        <w:spacing w:before="0" w:after="0" w:line="360" w:lineRule="auto"/>
        <w:rPr>
          <w:rFonts w:hint="eastAsia" w:ascii="宋体" w:hAnsi="宋体" w:eastAsia="宋体" w:cs="宋体"/>
          <w:color w:val="auto"/>
          <w:sz w:val="24"/>
          <w:szCs w:val="24"/>
          <w:highlight w:val="none"/>
        </w:rPr>
      </w:pPr>
      <w:bookmarkStart w:id="249" w:name="_Toc56"/>
      <w:bookmarkStart w:id="250" w:name="_Toc10709"/>
      <w:bookmarkStart w:id="251" w:name="_Toc28863"/>
      <w:bookmarkStart w:id="252" w:name="_Toc17751"/>
      <w:bookmarkStart w:id="253" w:name="_Toc13689"/>
      <w:bookmarkStart w:id="254" w:name="_Toc13462"/>
      <w:r>
        <w:rPr>
          <w:rFonts w:hint="eastAsia" w:ascii="宋体" w:hAnsi="宋体" w:eastAsia="宋体" w:cs="宋体"/>
          <w:color w:val="auto"/>
          <w:sz w:val="24"/>
          <w:szCs w:val="24"/>
          <w:highlight w:val="none"/>
        </w:rPr>
        <w:t>4.投标</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4DFBCDD6">
      <w:pPr>
        <w:pStyle w:val="35"/>
        <w:spacing w:line="360" w:lineRule="auto"/>
        <w:rPr>
          <w:rFonts w:hint="eastAsia" w:ascii="宋体" w:hAnsi="宋体" w:eastAsia="宋体" w:cs="宋体"/>
          <w:b/>
          <w:bCs/>
          <w:color w:val="auto"/>
          <w:sz w:val="24"/>
          <w:szCs w:val="24"/>
          <w:highlight w:val="none"/>
        </w:rPr>
      </w:pPr>
      <w:bookmarkStart w:id="255" w:name="_Toc144974524"/>
      <w:bookmarkStart w:id="256" w:name="_Toc179632574"/>
      <w:bookmarkStart w:id="257" w:name="_Toc152045556"/>
      <w:bookmarkStart w:id="258" w:name="_Toc152042332"/>
      <w:bookmarkStart w:id="259" w:name="_Toc13760"/>
      <w:bookmarkStart w:id="260" w:name="_Toc10349"/>
      <w:bookmarkStart w:id="261" w:name="_Toc3679"/>
      <w:bookmarkStart w:id="262" w:name="_Toc28691"/>
      <w:bookmarkStart w:id="263" w:name="_Toc20426"/>
      <w:bookmarkStart w:id="264" w:name="_Toc22498"/>
      <w:r>
        <w:rPr>
          <w:rFonts w:hint="eastAsia" w:ascii="宋体" w:hAnsi="宋体" w:eastAsia="宋体" w:cs="宋体"/>
          <w:b/>
          <w:bCs/>
          <w:color w:val="auto"/>
          <w:sz w:val="24"/>
          <w:szCs w:val="24"/>
          <w:highlight w:val="none"/>
        </w:rPr>
        <w:t>4.1 投标文件的密封和标</w:t>
      </w:r>
      <w:bookmarkEnd w:id="255"/>
      <w:bookmarkEnd w:id="256"/>
      <w:bookmarkEnd w:id="257"/>
      <w:bookmarkEnd w:id="258"/>
      <w:r>
        <w:rPr>
          <w:rFonts w:hint="eastAsia" w:ascii="宋体" w:hAnsi="宋体" w:eastAsia="宋体" w:cs="宋体"/>
          <w:b/>
          <w:bCs/>
          <w:color w:val="auto"/>
          <w:sz w:val="24"/>
          <w:szCs w:val="24"/>
          <w:highlight w:val="none"/>
        </w:rPr>
        <w:t>识</w:t>
      </w:r>
      <w:bookmarkEnd w:id="259"/>
      <w:bookmarkEnd w:id="260"/>
      <w:bookmarkEnd w:id="261"/>
      <w:bookmarkEnd w:id="262"/>
      <w:bookmarkEnd w:id="263"/>
      <w:bookmarkEnd w:id="264"/>
    </w:p>
    <w:p w14:paraId="611E659B">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4.1.1 </w:t>
      </w:r>
      <w:r>
        <w:rPr>
          <w:rFonts w:hint="eastAsia" w:ascii="宋体" w:hAnsi="宋体" w:eastAsia="宋体" w:cs="宋体"/>
          <w:b/>
          <w:bCs/>
          <w:color w:val="auto"/>
          <w:sz w:val="24"/>
          <w:szCs w:val="24"/>
          <w:highlight w:val="none"/>
        </w:rPr>
        <w:t>投标文件的正本与副本统一密封在一个封套内，加贴封条，并在封套的封口处加盖</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单位章。</w:t>
      </w:r>
    </w:p>
    <w:p w14:paraId="5A42351A">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 投标文件的封套上应写明的内容见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5BC86466">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 未按本章第4.1.1项或第4.1.2项、4.1.3项要求密封或者递交的投标文件，招标人将拒收。</w:t>
      </w:r>
    </w:p>
    <w:p w14:paraId="18027785">
      <w:pPr>
        <w:pStyle w:val="35"/>
        <w:spacing w:line="360" w:lineRule="auto"/>
        <w:rPr>
          <w:rFonts w:hint="eastAsia" w:ascii="宋体" w:hAnsi="宋体" w:eastAsia="宋体" w:cs="宋体"/>
          <w:b/>
          <w:bCs/>
          <w:color w:val="auto"/>
          <w:sz w:val="24"/>
          <w:szCs w:val="24"/>
          <w:highlight w:val="none"/>
        </w:rPr>
      </w:pPr>
      <w:bookmarkStart w:id="265" w:name="_Toc179632575"/>
      <w:bookmarkStart w:id="266" w:name="_Toc17101"/>
      <w:bookmarkStart w:id="267" w:name="_Toc30997"/>
      <w:bookmarkStart w:id="268" w:name="_Toc152042333"/>
      <w:bookmarkStart w:id="269" w:name="_Toc152045557"/>
      <w:bookmarkStart w:id="270" w:name="_Toc512"/>
      <w:bookmarkStart w:id="271" w:name="_Toc21690"/>
      <w:bookmarkStart w:id="272" w:name="_Toc144974525"/>
      <w:bookmarkStart w:id="273" w:name="_Toc28595"/>
      <w:bookmarkStart w:id="274" w:name="_Toc8791"/>
      <w:r>
        <w:rPr>
          <w:rFonts w:hint="eastAsia" w:ascii="宋体" w:hAnsi="宋体" w:eastAsia="宋体" w:cs="宋体"/>
          <w:b/>
          <w:bCs/>
          <w:color w:val="auto"/>
          <w:sz w:val="24"/>
          <w:szCs w:val="24"/>
          <w:highlight w:val="none"/>
        </w:rPr>
        <w:t>4.2 投标文件的递交</w:t>
      </w:r>
      <w:bookmarkEnd w:id="265"/>
      <w:bookmarkEnd w:id="266"/>
      <w:bookmarkEnd w:id="267"/>
      <w:bookmarkEnd w:id="268"/>
      <w:bookmarkEnd w:id="269"/>
      <w:bookmarkEnd w:id="270"/>
      <w:bookmarkEnd w:id="271"/>
      <w:bookmarkEnd w:id="272"/>
      <w:bookmarkEnd w:id="273"/>
      <w:bookmarkEnd w:id="274"/>
    </w:p>
    <w:p w14:paraId="32A300E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4.2.1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递交投标文件的截止时间（投标截止时间）：见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4A7A7CF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4.2.2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递交投标文件的地点：见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4F4E0E62">
      <w:pPr>
        <w:tabs>
          <w:tab w:val="left" w:pos="709"/>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 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须知前附表另有约定外，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所递交的投标文件不予退还。</w:t>
      </w:r>
    </w:p>
    <w:p w14:paraId="48514F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4.2.4逾期送达或者未送达指定地点的投标文件，招标人将拒收。</w:t>
      </w:r>
    </w:p>
    <w:p w14:paraId="2C536247">
      <w:pPr>
        <w:pStyle w:val="35"/>
        <w:spacing w:line="360" w:lineRule="auto"/>
        <w:rPr>
          <w:rFonts w:hint="eastAsia" w:ascii="宋体" w:hAnsi="宋体" w:eastAsia="宋体" w:cs="宋体"/>
          <w:b/>
          <w:bCs/>
          <w:color w:val="auto"/>
          <w:sz w:val="24"/>
          <w:szCs w:val="24"/>
          <w:highlight w:val="none"/>
        </w:rPr>
      </w:pPr>
      <w:bookmarkStart w:id="275" w:name="_Toc9732"/>
      <w:bookmarkStart w:id="276" w:name="_Toc25083"/>
      <w:bookmarkStart w:id="277" w:name="_Toc152045558"/>
      <w:bookmarkStart w:id="278" w:name="_Toc13188"/>
      <w:bookmarkStart w:id="279" w:name="_Toc5072"/>
      <w:bookmarkStart w:id="280" w:name="_Toc25561"/>
      <w:bookmarkStart w:id="281" w:name="_Toc179632576"/>
      <w:bookmarkStart w:id="282" w:name="_Toc20818"/>
      <w:bookmarkStart w:id="283" w:name="_Toc152042334"/>
      <w:bookmarkStart w:id="284" w:name="_Toc144974526"/>
      <w:r>
        <w:rPr>
          <w:rFonts w:hint="eastAsia" w:ascii="宋体" w:hAnsi="宋体" w:eastAsia="宋体" w:cs="宋体"/>
          <w:b/>
          <w:bCs/>
          <w:color w:val="auto"/>
          <w:sz w:val="24"/>
          <w:szCs w:val="24"/>
          <w:highlight w:val="none"/>
        </w:rPr>
        <w:t>4.3 投标文件的修改与撤回</w:t>
      </w:r>
      <w:bookmarkEnd w:id="275"/>
      <w:bookmarkEnd w:id="276"/>
      <w:bookmarkEnd w:id="277"/>
      <w:bookmarkEnd w:id="278"/>
      <w:bookmarkEnd w:id="279"/>
      <w:bookmarkEnd w:id="280"/>
      <w:bookmarkEnd w:id="281"/>
      <w:bookmarkEnd w:id="282"/>
      <w:bookmarkEnd w:id="283"/>
      <w:bookmarkEnd w:id="284"/>
    </w:p>
    <w:p w14:paraId="74E09141">
      <w:pPr>
        <w:spacing w:line="360" w:lineRule="auto"/>
        <w:ind w:firstLine="614" w:firstLineChars="255"/>
        <w:rPr>
          <w:rFonts w:hint="eastAsia" w:ascii="宋体" w:hAnsi="宋体" w:eastAsia="宋体" w:cs="宋体"/>
          <w:b/>
          <w:color w:val="auto"/>
          <w:sz w:val="24"/>
          <w:szCs w:val="24"/>
          <w:highlight w:val="none"/>
        </w:rPr>
      </w:pPr>
      <w:bookmarkStart w:id="285" w:name="_Toc179632577"/>
      <w:bookmarkStart w:id="286" w:name="_Toc144974527"/>
      <w:bookmarkStart w:id="287" w:name="_Toc28502"/>
      <w:bookmarkStart w:id="288" w:name="_Toc3327"/>
      <w:bookmarkStart w:id="289" w:name="_Toc8400"/>
      <w:bookmarkStart w:id="290" w:name="_Toc152042335"/>
      <w:bookmarkStart w:id="291" w:name="_Toc152045559"/>
      <w:bookmarkStart w:id="292" w:name="_Toc9091"/>
      <w:bookmarkStart w:id="293" w:name="_Toc408773485"/>
      <w:r>
        <w:rPr>
          <w:rFonts w:hint="eastAsia" w:ascii="宋体" w:hAnsi="宋体" w:eastAsia="宋体" w:cs="宋体"/>
          <w:b/>
          <w:color w:val="auto"/>
          <w:sz w:val="24"/>
          <w:szCs w:val="24"/>
          <w:highlight w:val="none"/>
        </w:rPr>
        <w:t>4.3.</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投标截止时间</w:t>
      </w:r>
    </w:p>
    <w:p w14:paraId="777D57BA">
      <w:pPr>
        <w:spacing w:line="360" w:lineRule="auto"/>
        <w:ind w:firstLine="616" w:firstLineChars="2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应在招标公告中规定的截止日期和时间之前将投标文件递交至规定地点。</w:t>
      </w:r>
    </w:p>
    <w:p w14:paraId="3713EA91">
      <w:pPr>
        <w:spacing w:line="360" w:lineRule="auto"/>
        <w:ind w:firstLine="614" w:firstLineChars="25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4.3.</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．迟交的投标文件</w:t>
      </w:r>
    </w:p>
    <w:p w14:paraId="0C415EF6">
      <w:pPr>
        <w:spacing w:line="360" w:lineRule="auto"/>
        <w:ind w:firstLine="616" w:firstLineChars="2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.1招标代理机构拒绝并原封退回截止期后收到的任何投标文件。</w:t>
      </w:r>
    </w:p>
    <w:p w14:paraId="4D033A2D">
      <w:pPr>
        <w:spacing w:line="360" w:lineRule="auto"/>
        <w:ind w:firstLine="614" w:firstLineChars="25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4.3.</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．投标文件的修改和撤回</w:t>
      </w:r>
    </w:p>
    <w:p w14:paraId="563ED75A">
      <w:pPr>
        <w:spacing w:line="360" w:lineRule="auto"/>
        <w:ind w:firstLine="616" w:firstLineChars="2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在递交投标文件后,可以修改其投标文件,但</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必须在规定的投标截止期之前将修改的投标文件递交到开标地点。在投标截止期之后，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不得对其投标文件做任何修改。</w:t>
      </w:r>
    </w:p>
    <w:p w14:paraId="00D8CAF8">
      <w:pPr>
        <w:spacing w:line="360" w:lineRule="auto"/>
        <w:ind w:firstLine="616" w:firstLineChars="2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在递交投标文件后，可以撤回其投标，但</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必须在规定的投标截止期之前以书面形式告知招标代理机构。</w:t>
      </w:r>
    </w:p>
    <w:p w14:paraId="1999D77F">
      <w:pPr>
        <w:spacing w:line="360" w:lineRule="auto"/>
        <w:ind w:firstLine="616" w:firstLineChars="2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.3从投标截止期至</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在投标文件中确定的投标有效期期满这段时间内,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不得撤回其投标文件,否则其投标保证金将按规定被没收。</w:t>
      </w:r>
    </w:p>
    <w:p w14:paraId="144BA699">
      <w:pPr>
        <w:spacing w:line="360" w:lineRule="auto"/>
        <w:ind w:firstLine="616" w:firstLineChars="2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所提交的投标文件在评标结束后,无论中标与否都不退还。</w:t>
      </w:r>
    </w:p>
    <w:p w14:paraId="287F9DC0">
      <w:pPr>
        <w:pStyle w:val="4"/>
        <w:spacing w:before="0" w:after="0" w:line="360" w:lineRule="auto"/>
        <w:rPr>
          <w:rFonts w:hint="eastAsia" w:ascii="宋体" w:hAnsi="宋体" w:eastAsia="宋体" w:cs="宋体"/>
          <w:color w:val="auto"/>
          <w:sz w:val="24"/>
          <w:szCs w:val="24"/>
          <w:highlight w:val="none"/>
        </w:rPr>
      </w:pPr>
      <w:bookmarkStart w:id="294" w:name="_Toc20955"/>
      <w:bookmarkStart w:id="295" w:name="_Toc32401"/>
      <w:bookmarkStart w:id="296" w:name="_Toc12891"/>
      <w:bookmarkStart w:id="297" w:name="_Toc19860"/>
      <w:bookmarkStart w:id="298" w:name="_Toc18694"/>
      <w:bookmarkStart w:id="299" w:name="_Toc21838"/>
      <w:r>
        <w:rPr>
          <w:rFonts w:hint="eastAsia" w:ascii="宋体" w:hAnsi="宋体" w:eastAsia="宋体" w:cs="宋体"/>
          <w:color w:val="auto"/>
          <w:sz w:val="24"/>
          <w:szCs w:val="24"/>
          <w:highlight w:val="none"/>
        </w:rPr>
        <w:t>5.开标</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48C7A4F5">
      <w:pPr>
        <w:bidi w:val="0"/>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本项目不组织开标。</w:t>
      </w:r>
    </w:p>
    <w:p w14:paraId="64F0ADD9">
      <w:pPr>
        <w:pStyle w:val="4"/>
        <w:spacing w:before="0" w:after="0" w:line="360" w:lineRule="auto"/>
        <w:rPr>
          <w:rFonts w:hint="eastAsia" w:ascii="宋体" w:hAnsi="宋体" w:eastAsia="宋体" w:cs="宋体"/>
          <w:color w:val="auto"/>
          <w:sz w:val="24"/>
          <w:szCs w:val="24"/>
          <w:highlight w:val="none"/>
        </w:rPr>
      </w:pPr>
      <w:bookmarkStart w:id="300" w:name="_Toc179632580"/>
      <w:bookmarkStart w:id="301" w:name="_Toc152042338"/>
      <w:bookmarkStart w:id="302" w:name="_Toc18431"/>
      <w:bookmarkStart w:id="303" w:name="_Toc152045562"/>
      <w:bookmarkStart w:id="304" w:name="_Toc144974530"/>
      <w:bookmarkStart w:id="305" w:name="_Toc11010"/>
      <w:bookmarkStart w:id="306" w:name="_Toc21676"/>
      <w:bookmarkStart w:id="307" w:name="_Toc376"/>
      <w:bookmarkStart w:id="308" w:name="_Toc441"/>
      <w:bookmarkStart w:id="309" w:name="_Toc2425"/>
      <w:bookmarkStart w:id="310" w:name="_Toc408773486"/>
      <w:bookmarkStart w:id="311" w:name="_Toc9450"/>
      <w:bookmarkStart w:id="312" w:name="_Toc15660"/>
      <w:bookmarkStart w:id="313" w:name="_Toc20403"/>
      <w:bookmarkStart w:id="314" w:name="_Toc11805"/>
      <w:r>
        <w:rPr>
          <w:rFonts w:hint="eastAsia" w:ascii="宋体" w:hAnsi="宋体" w:eastAsia="宋体" w:cs="宋体"/>
          <w:color w:val="auto"/>
          <w:sz w:val="24"/>
          <w:szCs w:val="24"/>
          <w:highlight w:val="none"/>
        </w:rPr>
        <w:t>6.评标</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484214E1">
      <w:pPr>
        <w:pStyle w:val="35"/>
        <w:spacing w:line="360" w:lineRule="auto"/>
        <w:rPr>
          <w:rFonts w:hint="eastAsia" w:ascii="宋体" w:hAnsi="宋体" w:eastAsia="宋体" w:cs="宋体"/>
          <w:b/>
          <w:bCs/>
          <w:color w:val="auto"/>
          <w:sz w:val="24"/>
          <w:szCs w:val="24"/>
          <w:highlight w:val="none"/>
        </w:rPr>
      </w:pPr>
      <w:bookmarkStart w:id="315" w:name="_Toc1434"/>
      <w:bookmarkStart w:id="316" w:name="_Toc8902"/>
      <w:bookmarkStart w:id="317" w:name="_Toc144974531"/>
      <w:bookmarkStart w:id="318" w:name="_Toc25346"/>
      <w:bookmarkStart w:id="319" w:name="_Toc152042339"/>
      <w:bookmarkStart w:id="320" w:name="_Toc152045563"/>
      <w:bookmarkStart w:id="321" w:name="_Toc30138"/>
      <w:bookmarkStart w:id="322" w:name="_Toc179632581"/>
      <w:bookmarkStart w:id="323" w:name="_Toc11161"/>
      <w:bookmarkStart w:id="324" w:name="_Toc13873"/>
      <w:r>
        <w:rPr>
          <w:rFonts w:hint="eastAsia" w:ascii="宋体" w:hAnsi="宋体" w:eastAsia="宋体" w:cs="宋体"/>
          <w:b/>
          <w:bCs/>
          <w:color w:val="auto"/>
          <w:sz w:val="24"/>
          <w:szCs w:val="24"/>
          <w:highlight w:val="none"/>
        </w:rPr>
        <w:t>6.1 评标委员会</w:t>
      </w:r>
      <w:bookmarkEnd w:id="315"/>
      <w:bookmarkEnd w:id="316"/>
      <w:bookmarkEnd w:id="317"/>
      <w:bookmarkEnd w:id="318"/>
      <w:bookmarkEnd w:id="319"/>
      <w:bookmarkEnd w:id="320"/>
      <w:bookmarkEnd w:id="321"/>
      <w:bookmarkEnd w:id="322"/>
      <w:bookmarkEnd w:id="323"/>
      <w:bookmarkEnd w:id="324"/>
    </w:p>
    <w:p w14:paraId="739E3E5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 评标由招标人依法组建的评标委员会负责。评标委员会由招标人正式授权的熟悉相关业务的代表，以及有关技术、经济等方面的专家组成。评标委员会成员人数以及技术、经济等方面专家的确定方式见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71E2500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6.1.2 评标委员会成员有下列情形之一的，应当回避：</w:t>
      </w:r>
    </w:p>
    <w:p w14:paraId="7250426B">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的主要负责人的近亲属；</w:t>
      </w:r>
    </w:p>
    <w:p w14:paraId="2150B400">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（2）项目主管部门或者行政监督部门的人员；</w:t>
      </w:r>
    </w:p>
    <w:p w14:paraId="3FC6A9A6">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有经济利益关系，可能影响对投标公正评审的；</w:t>
      </w:r>
    </w:p>
    <w:p w14:paraId="0EEA96CC">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（4）曾因在招标、评标以及其他与招标投标有关活动中从事违法行为而受过行政处罚或刑事处罚的。</w:t>
      </w:r>
    </w:p>
    <w:p w14:paraId="7D0107D8">
      <w:pPr>
        <w:pStyle w:val="35"/>
        <w:spacing w:line="360" w:lineRule="auto"/>
        <w:rPr>
          <w:rFonts w:hint="eastAsia" w:ascii="宋体" w:hAnsi="宋体" w:eastAsia="宋体" w:cs="宋体"/>
          <w:b/>
          <w:bCs/>
          <w:color w:val="auto"/>
          <w:sz w:val="24"/>
          <w:szCs w:val="24"/>
          <w:highlight w:val="none"/>
        </w:rPr>
      </w:pPr>
      <w:bookmarkStart w:id="325" w:name="_Toc144974532"/>
      <w:bookmarkStart w:id="326" w:name="_Toc152045564"/>
      <w:bookmarkStart w:id="327" w:name="_Toc11070"/>
      <w:bookmarkStart w:id="328" w:name="_Toc1333"/>
      <w:bookmarkStart w:id="329" w:name="_Toc179632582"/>
      <w:bookmarkStart w:id="330" w:name="_Toc27018"/>
      <w:bookmarkStart w:id="331" w:name="_Toc29268"/>
      <w:bookmarkStart w:id="332" w:name="_Toc22422"/>
      <w:bookmarkStart w:id="333" w:name="_Toc8648"/>
      <w:bookmarkStart w:id="334" w:name="_Toc152042340"/>
      <w:r>
        <w:rPr>
          <w:rFonts w:hint="eastAsia" w:ascii="宋体" w:hAnsi="宋体" w:eastAsia="宋体" w:cs="宋体"/>
          <w:b/>
          <w:bCs/>
          <w:color w:val="auto"/>
          <w:sz w:val="24"/>
          <w:szCs w:val="24"/>
          <w:highlight w:val="none"/>
        </w:rPr>
        <w:t>6.2 评标原则</w:t>
      </w:r>
      <w:bookmarkEnd w:id="325"/>
      <w:bookmarkEnd w:id="326"/>
      <w:bookmarkEnd w:id="327"/>
      <w:bookmarkEnd w:id="328"/>
      <w:bookmarkEnd w:id="329"/>
      <w:bookmarkEnd w:id="330"/>
      <w:bookmarkEnd w:id="331"/>
      <w:bookmarkEnd w:id="332"/>
      <w:bookmarkEnd w:id="333"/>
      <w:bookmarkEnd w:id="334"/>
      <w:r>
        <w:rPr>
          <w:rFonts w:hint="eastAsia" w:ascii="宋体" w:hAnsi="宋体" w:eastAsia="宋体" w:cs="宋体"/>
          <w:b/>
          <w:bCs/>
          <w:color w:val="auto"/>
          <w:sz w:val="24"/>
          <w:szCs w:val="24"/>
          <w:highlight w:val="none"/>
        </w:rPr>
        <w:tab/>
      </w:r>
    </w:p>
    <w:p w14:paraId="461035C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评标活动遵循公平、公正、科学和择优的原则。</w:t>
      </w:r>
    </w:p>
    <w:p w14:paraId="2623AE0D">
      <w:pPr>
        <w:pStyle w:val="35"/>
        <w:spacing w:line="360" w:lineRule="auto"/>
        <w:rPr>
          <w:rFonts w:hint="eastAsia" w:ascii="宋体" w:hAnsi="宋体" w:eastAsia="宋体" w:cs="宋体"/>
          <w:b/>
          <w:bCs/>
          <w:color w:val="auto"/>
          <w:sz w:val="24"/>
          <w:szCs w:val="24"/>
          <w:highlight w:val="none"/>
        </w:rPr>
      </w:pPr>
      <w:bookmarkStart w:id="335" w:name="_Toc6240"/>
      <w:bookmarkStart w:id="336" w:name="_Toc7610"/>
      <w:bookmarkStart w:id="337" w:name="_Toc2136"/>
      <w:bookmarkStart w:id="338" w:name="_Toc29549"/>
      <w:bookmarkStart w:id="339" w:name="_Toc144974533"/>
      <w:bookmarkStart w:id="340" w:name="_Toc152042341"/>
      <w:bookmarkStart w:id="341" w:name="_Toc152045565"/>
      <w:bookmarkStart w:id="342" w:name="_Toc13836"/>
      <w:bookmarkStart w:id="343" w:name="_Toc179632583"/>
      <w:bookmarkStart w:id="344" w:name="_Toc5265"/>
      <w:r>
        <w:rPr>
          <w:rFonts w:hint="eastAsia" w:ascii="宋体" w:hAnsi="宋体" w:eastAsia="宋体" w:cs="宋体"/>
          <w:b/>
          <w:bCs/>
          <w:color w:val="auto"/>
          <w:sz w:val="24"/>
          <w:szCs w:val="24"/>
          <w:highlight w:val="none"/>
        </w:rPr>
        <w:t>6.3 评标</w:t>
      </w:r>
      <w:bookmarkEnd w:id="335"/>
      <w:bookmarkEnd w:id="336"/>
      <w:bookmarkEnd w:id="337"/>
      <w:bookmarkEnd w:id="338"/>
      <w:bookmarkEnd w:id="339"/>
      <w:bookmarkEnd w:id="340"/>
      <w:bookmarkEnd w:id="341"/>
      <w:bookmarkEnd w:id="342"/>
      <w:bookmarkEnd w:id="343"/>
      <w:bookmarkEnd w:id="344"/>
    </w:p>
    <w:p w14:paraId="61EFAAC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按照第四章“评标办法”规定的方法、评审因素、标准和程序对投标文件进行系统地评审和比较。第四章“评标办法”中没有规定的方法、评审因素和标准，不作为评标依据。评标委员会将按照招标文件确定的评标方法进行评标。</w:t>
      </w:r>
    </w:p>
    <w:p w14:paraId="0DB91AC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6.3.1本次评标采用综合评标方法, 评标以招标文件规定的条件为依据。</w:t>
      </w:r>
    </w:p>
    <w:p w14:paraId="56F89D70">
      <w:pPr>
        <w:pStyle w:val="5"/>
        <w:bidi w:val="0"/>
        <w:rPr>
          <w:rFonts w:hint="eastAsia" w:ascii="宋体" w:hAnsi="宋体" w:eastAsia="宋体" w:cs="宋体"/>
          <w:b/>
          <w:bCs/>
          <w:color w:val="auto"/>
          <w:kern w:val="2"/>
          <w:sz w:val="24"/>
          <w:szCs w:val="24"/>
          <w:highlight w:val="none"/>
          <w:lang w:val="en-US" w:eastAsia="zh-CN" w:bidi="ar-SA"/>
        </w:rPr>
      </w:pPr>
      <w:bookmarkStart w:id="345" w:name="_Toc23666"/>
      <w:bookmarkStart w:id="346" w:name="_Toc11557"/>
      <w:bookmarkStart w:id="347" w:name="_Toc1717"/>
      <w:r>
        <w:rPr>
          <w:rFonts w:hint="eastAsia" w:ascii="宋体" w:hAnsi="宋体" w:eastAsia="宋体" w:cs="宋体"/>
          <w:b/>
          <w:bCs/>
          <w:color w:val="auto"/>
          <w:kern w:val="2"/>
          <w:sz w:val="24"/>
          <w:szCs w:val="24"/>
          <w:highlight w:val="none"/>
          <w:lang w:val="en-US" w:eastAsia="zh-CN" w:bidi="ar-SA"/>
        </w:rPr>
        <w:t>6.4 投标文件的符合性检查</w:t>
      </w:r>
      <w:bookmarkEnd w:id="345"/>
      <w:bookmarkEnd w:id="346"/>
      <w:bookmarkEnd w:id="347"/>
    </w:p>
    <w:p w14:paraId="3816EA3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在递交投标文件时应同时递交以下资料作为资格审查依据，未按要求递交以下资料的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将不能进入下一步的详细评审：</w:t>
      </w:r>
    </w:p>
    <w:p w14:paraId="0A3F5F8B">
      <w:pPr>
        <w:topLinePunct/>
        <w:adjustRightInd w:val="0"/>
        <w:snapToGrid w:val="0"/>
        <w:spacing w:line="360" w:lineRule="auto"/>
        <w:ind w:right="198"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资格审查详见</w:t>
      </w:r>
      <w:r>
        <w:rPr>
          <w:rFonts w:hint="eastAsia" w:ascii="宋体" w:hAnsi="宋体" w:eastAsia="宋体" w:cs="宋体"/>
          <w:b/>
          <w:color w:val="auto"/>
          <w:sz w:val="24"/>
          <w:szCs w:val="24"/>
          <w:highlight w:val="none"/>
          <w:lang w:val="en-US" w:eastAsia="zh-CN"/>
        </w:rPr>
        <w:t>评分标准中“资格审查表”</w:t>
      </w:r>
    </w:p>
    <w:p w14:paraId="1EAF72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有下列情形之一的,其投标将被视为无效投标:</w:t>
      </w:r>
    </w:p>
    <w:p w14:paraId="2A93CFA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实质上没有响应招标文件要求的投标将被视为无效投标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不得通过修正或撤销不合要求的偏离从而使其投标文件成为实质上响应的投标。</w:t>
      </w:r>
    </w:p>
    <w:p w14:paraId="7CE49A85">
      <w:pPr>
        <w:spacing w:line="360" w:lineRule="auto"/>
        <w:ind w:left="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在符合性检查和商务评议时，如发现下列情形之一的，投标文件将被视为无效投标:</w:t>
      </w:r>
    </w:p>
    <w:p w14:paraId="4006C0C5">
      <w:pPr>
        <w:spacing w:line="360" w:lineRule="auto"/>
        <w:ind w:firstLine="614" w:firstLineChars="25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1.投标文件中的投标函是否加盖</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的公章及法定代表人</w:t>
      </w:r>
      <w:r>
        <w:rPr>
          <w:rFonts w:hint="eastAsia" w:ascii="宋体" w:hAnsi="宋体" w:eastAsia="宋体" w:cs="宋体"/>
          <w:b/>
          <w:color w:val="auto"/>
          <w:sz w:val="24"/>
          <w:szCs w:val="24"/>
          <w:highlight w:val="none"/>
          <w:lang w:val="en-US" w:eastAsia="zh-CN"/>
        </w:rPr>
        <w:t>或个体工商户经营者</w:t>
      </w:r>
      <w:r>
        <w:rPr>
          <w:rFonts w:hint="eastAsia" w:ascii="宋体" w:hAnsi="宋体" w:eastAsia="宋体" w:cs="宋体"/>
          <w:b/>
          <w:color w:val="auto"/>
          <w:sz w:val="24"/>
          <w:szCs w:val="24"/>
          <w:highlight w:val="none"/>
        </w:rPr>
        <w:t>签字，法定代表人委托代理人</w:t>
      </w:r>
      <w:r>
        <w:rPr>
          <w:rFonts w:hint="eastAsia" w:ascii="宋体" w:hAnsi="宋体" w:eastAsia="宋体" w:cs="宋体"/>
          <w:b/>
          <w:color w:val="auto"/>
          <w:sz w:val="24"/>
          <w:szCs w:val="24"/>
          <w:highlight w:val="none"/>
          <w:lang w:val="en-US" w:eastAsia="zh-CN"/>
        </w:rPr>
        <w:t>或个体工商户经营者</w:t>
      </w:r>
      <w:r>
        <w:rPr>
          <w:rFonts w:hint="eastAsia" w:ascii="宋体" w:hAnsi="宋体" w:eastAsia="宋体" w:cs="宋体"/>
          <w:b/>
          <w:color w:val="auto"/>
          <w:sz w:val="24"/>
          <w:szCs w:val="24"/>
          <w:highlight w:val="none"/>
        </w:rPr>
        <w:t>是否有合法、有效的委托书原件及委托代理人签字的，如未有则投标无效</w:t>
      </w:r>
    </w:p>
    <w:p w14:paraId="2C73E1E3">
      <w:pPr>
        <w:spacing w:line="360" w:lineRule="auto"/>
        <w:ind w:firstLine="614" w:firstLineChars="25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是否按照</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须知要求提供投标文件，如未有则投标无效</w:t>
      </w:r>
    </w:p>
    <w:p w14:paraId="15BD58EF">
      <w:pPr>
        <w:spacing w:line="360" w:lineRule="auto"/>
        <w:ind w:firstLine="614" w:firstLineChars="25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提供投标文件是否符合招标文件规定的技术要求和标准，如不符合则投标无效</w:t>
      </w:r>
    </w:p>
    <w:p w14:paraId="560D8E6D">
      <w:pPr>
        <w:spacing w:line="360" w:lineRule="auto"/>
        <w:ind w:firstLine="614" w:firstLineChars="25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.投标文件中投标有效期是否满足招标文件要求，如果不满足则投标无效</w:t>
      </w:r>
    </w:p>
    <w:p w14:paraId="42E0856E">
      <w:pPr>
        <w:spacing w:line="360" w:lineRule="auto"/>
        <w:ind w:firstLine="614" w:firstLineChars="25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.是否响应招标文件中规定的其他实质性要求的，如果不响应则投标无效</w:t>
      </w:r>
    </w:p>
    <w:p w14:paraId="5CAA9C6D">
      <w:pPr>
        <w:spacing w:line="360" w:lineRule="auto"/>
        <w:ind w:firstLine="614" w:firstLineChars="255"/>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en-US" w:eastAsia="zh-CN"/>
        </w:rPr>
        <w:t>6.供应商</w:t>
      </w:r>
      <w:r>
        <w:rPr>
          <w:rFonts w:hint="eastAsia" w:ascii="宋体" w:hAnsi="宋体" w:eastAsia="宋体" w:cs="宋体"/>
          <w:b/>
          <w:color w:val="auto"/>
          <w:sz w:val="24"/>
          <w:szCs w:val="24"/>
          <w:highlight w:val="none"/>
          <w:lang w:val="zh-CN"/>
        </w:rPr>
        <w:t>未有下列任一情形：</w:t>
      </w:r>
    </w:p>
    <w:p w14:paraId="52A4DDFD">
      <w:pPr>
        <w:spacing w:line="360" w:lineRule="auto"/>
        <w:ind w:firstLine="614" w:firstLineChars="255"/>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（1）不同</w:t>
      </w:r>
      <w:r>
        <w:rPr>
          <w:rFonts w:hint="eastAsia" w:ascii="宋体" w:hAnsi="宋体" w:eastAsia="宋体" w:cs="宋体"/>
          <w:b/>
          <w:color w:val="auto"/>
          <w:sz w:val="24"/>
          <w:szCs w:val="24"/>
          <w:highlight w:val="none"/>
          <w:lang w:val="en-US" w:eastAsia="zh-CN"/>
        </w:rPr>
        <w:t>供应商</w:t>
      </w:r>
      <w:r>
        <w:rPr>
          <w:rFonts w:hint="eastAsia" w:ascii="宋体" w:hAnsi="宋体" w:eastAsia="宋体" w:cs="宋体"/>
          <w:b/>
          <w:color w:val="auto"/>
          <w:sz w:val="24"/>
          <w:szCs w:val="24"/>
          <w:highlight w:val="none"/>
          <w:lang w:val="zh-CN"/>
        </w:rPr>
        <w:t>的</w:t>
      </w:r>
      <w:r>
        <w:rPr>
          <w:rFonts w:hint="eastAsia" w:ascii="宋体" w:hAnsi="宋体" w:eastAsia="宋体" w:cs="宋体"/>
          <w:b/>
          <w:color w:val="auto"/>
          <w:sz w:val="24"/>
          <w:szCs w:val="24"/>
          <w:highlight w:val="none"/>
        </w:rPr>
        <w:t>投标</w:t>
      </w:r>
      <w:r>
        <w:rPr>
          <w:rFonts w:hint="eastAsia" w:ascii="宋体" w:hAnsi="宋体" w:eastAsia="宋体" w:cs="宋体"/>
          <w:b/>
          <w:color w:val="auto"/>
          <w:sz w:val="24"/>
          <w:szCs w:val="24"/>
          <w:highlight w:val="none"/>
          <w:lang w:val="zh-CN"/>
        </w:rPr>
        <w:t>文件由同一单位或者个人编制；</w:t>
      </w:r>
    </w:p>
    <w:p w14:paraId="7E61BFF9">
      <w:pPr>
        <w:spacing w:line="360" w:lineRule="auto"/>
        <w:ind w:firstLine="614" w:firstLineChars="255"/>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（2）不同</w:t>
      </w:r>
      <w:r>
        <w:rPr>
          <w:rFonts w:hint="eastAsia" w:ascii="宋体" w:hAnsi="宋体" w:eastAsia="宋体" w:cs="宋体"/>
          <w:b/>
          <w:color w:val="auto"/>
          <w:sz w:val="24"/>
          <w:szCs w:val="24"/>
          <w:highlight w:val="none"/>
          <w:lang w:val="en-US" w:eastAsia="zh-CN"/>
        </w:rPr>
        <w:t>供应商</w:t>
      </w:r>
      <w:r>
        <w:rPr>
          <w:rFonts w:hint="eastAsia" w:ascii="宋体" w:hAnsi="宋体" w:eastAsia="宋体" w:cs="宋体"/>
          <w:b/>
          <w:color w:val="auto"/>
          <w:sz w:val="24"/>
          <w:szCs w:val="24"/>
          <w:highlight w:val="none"/>
          <w:lang w:val="zh-CN"/>
        </w:rPr>
        <w:t>委托同一单位或者个人办理投标事宜；</w:t>
      </w:r>
    </w:p>
    <w:p w14:paraId="051DF418">
      <w:pPr>
        <w:spacing w:line="360" w:lineRule="auto"/>
        <w:ind w:firstLine="614" w:firstLineChars="255"/>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（3）不同</w:t>
      </w:r>
      <w:r>
        <w:rPr>
          <w:rFonts w:hint="eastAsia" w:ascii="宋体" w:hAnsi="宋体" w:eastAsia="宋体" w:cs="宋体"/>
          <w:b/>
          <w:color w:val="auto"/>
          <w:sz w:val="24"/>
          <w:szCs w:val="24"/>
          <w:highlight w:val="none"/>
          <w:lang w:val="en-US" w:eastAsia="zh-CN"/>
        </w:rPr>
        <w:t>供应商</w:t>
      </w:r>
      <w:r>
        <w:rPr>
          <w:rFonts w:hint="eastAsia" w:ascii="宋体" w:hAnsi="宋体" w:eastAsia="宋体" w:cs="宋体"/>
          <w:b/>
          <w:color w:val="auto"/>
          <w:sz w:val="24"/>
          <w:szCs w:val="24"/>
          <w:highlight w:val="none"/>
          <w:lang w:val="zh-CN"/>
        </w:rPr>
        <w:t>的</w:t>
      </w:r>
      <w:r>
        <w:rPr>
          <w:rFonts w:hint="eastAsia" w:ascii="宋体" w:hAnsi="宋体" w:eastAsia="宋体" w:cs="宋体"/>
          <w:b/>
          <w:color w:val="auto"/>
          <w:sz w:val="24"/>
          <w:szCs w:val="24"/>
          <w:highlight w:val="none"/>
        </w:rPr>
        <w:t>投标</w:t>
      </w:r>
      <w:r>
        <w:rPr>
          <w:rFonts w:hint="eastAsia" w:ascii="宋体" w:hAnsi="宋体" w:eastAsia="宋体" w:cs="宋体"/>
          <w:b/>
          <w:color w:val="auto"/>
          <w:sz w:val="24"/>
          <w:szCs w:val="24"/>
          <w:highlight w:val="none"/>
          <w:lang w:val="zh-CN"/>
        </w:rPr>
        <w:t>文件载明的项目管理成员或者联系人员为同一人；</w:t>
      </w:r>
    </w:p>
    <w:p w14:paraId="25EFCB5A">
      <w:pPr>
        <w:spacing w:line="360" w:lineRule="auto"/>
        <w:ind w:firstLine="614" w:firstLineChars="255"/>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（4）不同</w:t>
      </w:r>
      <w:r>
        <w:rPr>
          <w:rFonts w:hint="eastAsia" w:ascii="宋体" w:hAnsi="宋体" w:eastAsia="宋体" w:cs="宋体"/>
          <w:b/>
          <w:color w:val="auto"/>
          <w:sz w:val="24"/>
          <w:szCs w:val="24"/>
          <w:highlight w:val="none"/>
          <w:lang w:val="en-US" w:eastAsia="zh-CN"/>
        </w:rPr>
        <w:t>供应商</w:t>
      </w:r>
      <w:r>
        <w:rPr>
          <w:rFonts w:hint="eastAsia" w:ascii="宋体" w:hAnsi="宋体" w:eastAsia="宋体" w:cs="宋体"/>
          <w:b/>
          <w:color w:val="auto"/>
          <w:sz w:val="24"/>
          <w:szCs w:val="24"/>
          <w:highlight w:val="none"/>
          <w:lang w:val="zh-CN"/>
        </w:rPr>
        <w:t>的</w:t>
      </w:r>
      <w:r>
        <w:rPr>
          <w:rFonts w:hint="eastAsia" w:ascii="宋体" w:hAnsi="宋体" w:eastAsia="宋体" w:cs="宋体"/>
          <w:b/>
          <w:color w:val="auto"/>
          <w:sz w:val="24"/>
          <w:szCs w:val="24"/>
          <w:highlight w:val="none"/>
        </w:rPr>
        <w:t>投标</w:t>
      </w:r>
      <w:r>
        <w:rPr>
          <w:rFonts w:hint="eastAsia" w:ascii="宋体" w:hAnsi="宋体" w:eastAsia="宋体" w:cs="宋体"/>
          <w:b/>
          <w:color w:val="auto"/>
          <w:sz w:val="24"/>
          <w:szCs w:val="24"/>
          <w:highlight w:val="none"/>
          <w:lang w:val="zh-CN"/>
        </w:rPr>
        <w:t>文件异常一致；</w:t>
      </w:r>
    </w:p>
    <w:p w14:paraId="549FD731">
      <w:pPr>
        <w:spacing w:line="360" w:lineRule="auto"/>
        <w:ind w:firstLine="614" w:firstLineChars="255"/>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（5）不同</w:t>
      </w:r>
      <w:r>
        <w:rPr>
          <w:rFonts w:hint="eastAsia" w:ascii="宋体" w:hAnsi="宋体" w:eastAsia="宋体" w:cs="宋体"/>
          <w:b/>
          <w:color w:val="auto"/>
          <w:sz w:val="24"/>
          <w:szCs w:val="24"/>
          <w:highlight w:val="none"/>
          <w:lang w:val="en-US" w:eastAsia="zh-CN"/>
        </w:rPr>
        <w:t>供应商</w:t>
      </w:r>
      <w:r>
        <w:rPr>
          <w:rFonts w:hint="eastAsia" w:ascii="宋体" w:hAnsi="宋体" w:eastAsia="宋体" w:cs="宋体"/>
          <w:b/>
          <w:color w:val="auto"/>
          <w:sz w:val="24"/>
          <w:szCs w:val="24"/>
          <w:highlight w:val="none"/>
          <w:lang w:val="zh-CN"/>
        </w:rPr>
        <w:t>的</w:t>
      </w:r>
      <w:r>
        <w:rPr>
          <w:rFonts w:hint="eastAsia" w:ascii="宋体" w:hAnsi="宋体" w:eastAsia="宋体" w:cs="宋体"/>
          <w:b/>
          <w:color w:val="auto"/>
          <w:sz w:val="24"/>
          <w:szCs w:val="24"/>
          <w:highlight w:val="none"/>
        </w:rPr>
        <w:t>投标</w:t>
      </w:r>
      <w:r>
        <w:rPr>
          <w:rFonts w:hint="eastAsia" w:ascii="宋体" w:hAnsi="宋体" w:eastAsia="宋体" w:cs="宋体"/>
          <w:b/>
          <w:color w:val="auto"/>
          <w:sz w:val="24"/>
          <w:szCs w:val="24"/>
          <w:highlight w:val="none"/>
          <w:lang w:val="zh-CN"/>
        </w:rPr>
        <w:t>文件相互混装；</w:t>
      </w:r>
    </w:p>
    <w:p w14:paraId="27CA4839">
      <w:pPr>
        <w:pStyle w:val="5"/>
        <w:bidi w:val="0"/>
        <w:rPr>
          <w:rFonts w:hint="eastAsia" w:ascii="宋体" w:hAnsi="宋体" w:eastAsia="宋体" w:cs="宋体"/>
          <w:b/>
          <w:bCs/>
          <w:color w:val="auto"/>
          <w:kern w:val="2"/>
          <w:sz w:val="24"/>
          <w:szCs w:val="24"/>
          <w:highlight w:val="none"/>
          <w:lang w:val="en-US" w:eastAsia="zh-CN" w:bidi="ar-SA"/>
        </w:rPr>
      </w:pPr>
      <w:bookmarkStart w:id="348" w:name="_Toc2687"/>
      <w:bookmarkStart w:id="349" w:name="_Toc27065"/>
      <w:bookmarkStart w:id="350" w:name="_Toc31530"/>
      <w:r>
        <w:rPr>
          <w:rFonts w:hint="eastAsia" w:ascii="宋体" w:hAnsi="宋体" w:eastAsia="宋体" w:cs="宋体"/>
          <w:b/>
          <w:bCs/>
          <w:color w:val="auto"/>
          <w:kern w:val="2"/>
          <w:sz w:val="24"/>
          <w:szCs w:val="24"/>
          <w:highlight w:val="none"/>
          <w:lang w:val="en-US" w:eastAsia="zh-CN" w:bidi="ar-SA"/>
        </w:rPr>
        <w:t>6.5 投标文件的澄清</w:t>
      </w:r>
      <w:bookmarkEnd w:id="348"/>
      <w:bookmarkEnd w:id="349"/>
      <w:bookmarkEnd w:id="350"/>
    </w:p>
    <w:p w14:paraId="063EA472">
      <w:pPr>
        <w:spacing w:line="360" w:lineRule="auto"/>
        <w:ind w:firstLine="616" w:firstLineChars="2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6.5.1评标期间,评标委员会有权要求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对其投标文件中含义不明确、同类问题表述不一致或者有明显文字和计算错误的内容等作必要的澄清、说明或者补正。</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必须按照评标委员会要求的澄清内容和时间做出澄清。除按规定改正算术错误外,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对投标文件的澄清不得超出投标文件的范围或者改变投标文件的实质性内容。在评标期间，评标委员会可要求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对其投标文件进行澄清，但不得寻求、提供或允许</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对投标报价等实质性内容做任何更改。有关澄清的答复均应由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的法定代表人或授权代表签字的书面形式作出并加盖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的印章。</w:t>
      </w:r>
    </w:p>
    <w:p w14:paraId="606FD4F2">
      <w:pPr>
        <w:spacing w:line="360" w:lineRule="auto"/>
        <w:ind w:firstLine="616" w:firstLineChars="2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的澄清文件是其投标文件的组成部分。</w:t>
      </w:r>
    </w:p>
    <w:p w14:paraId="77811B24">
      <w:pPr>
        <w:pStyle w:val="5"/>
        <w:bidi w:val="0"/>
        <w:rPr>
          <w:rFonts w:hint="eastAsia" w:ascii="宋体" w:hAnsi="宋体" w:eastAsia="宋体" w:cs="宋体"/>
          <w:b/>
          <w:bCs/>
          <w:color w:val="auto"/>
          <w:kern w:val="2"/>
          <w:sz w:val="24"/>
          <w:szCs w:val="24"/>
          <w:highlight w:val="none"/>
          <w:lang w:val="en-US" w:eastAsia="zh-CN" w:bidi="ar-SA"/>
        </w:rPr>
      </w:pPr>
      <w:bookmarkStart w:id="351" w:name="_Toc12323"/>
      <w:bookmarkStart w:id="352" w:name="_Toc590"/>
      <w:bookmarkStart w:id="353" w:name="_Toc28000"/>
      <w:r>
        <w:rPr>
          <w:rFonts w:hint="eastAsia" w:ascii="宋体" w:hAnsi="宋体" w:eastAsia="宋体" w:cs="宋体"/>
          <w:b/>
          <w:bCs/>
          <w:color w:val="auto"/>
          <w:kern w:val="2"/>
          <w:sz w:val="24"/>
          <w:szCs w:val="24"/>
          <w:highlight w:val="none"/>
          <w:lang w:val="en-US" w:eastAsia="zh-CN" w:bidi="ar-SA"/>
        </w:rPr>
        <w:t>6.6 授标</w:t>
      </w:r>
      <w:bookmarkEnd w:id="351"/>
      <w:bookmarkEnd w:id="352"/>
      <w:bookmarkEnd w:id="353"/>
    </w:p>
    <w:p w14:paraId="404F876C">
      <w:pPr>
        <w:spacing w:line="360" w:lineRule="auto"/>
        <w:ind w:firstLine="480" w:firstLineChars="200"/>
        <w:rPr>
          <w:rFonts w:hint="eastAsia" w:ascii="宋体" w:hAnsi="宋体" w:eastAsia="宋体" w:cs="宋体"/>
          <w:color w:val="auto"/>
          <w:sz w:val="24"/>
          <w:szCs w:val="24"/>
          <w:highlight w:val="none"/>
          <w:lang w:val="en-US" w:eastAsia="zh-CN"/>
        </w:rPr>
      </w:pPr>
      <w:bookmarkStart w:id="354" w:name="_Toc361062710"/>
      <w:bookmarkStart w:id="355" w:name="_Toc384741010"/>
      <w:r>
        <w:rPr>
          <w:rFonts w:hint="eastAsia" w:ascii="宋体" w:hAnsi="宋体" w:eastAsia="宋体" w:cs="宋体"/>
          <w:color w:val="auto"/>
          <w:sz w:val="24"/>
          <w:szCs w:val="24"/>
          <w:highlight w:val="none"/>
        </w:rPr>
        <w:t>6.7.1评标委员会按照招标文件确定的评标方法、步骤、标准，对投标文件进行评审，</w:t>
      </w:r>
      <w:r>
        <w:rPr>
          <w:rFonts w:hint="eastAsia" w:ascii="宋体" w:hAnsi="宋体" w:eastAsia="宋体" w:cs="宋体"/>
          <w:b/>
          <w:bCs/>
          <w:i w:val="0"/>
          <w:iCs w:val="0"/>
          <w:color w:val="auto"/>
          <w:kern w:val="0"/>
          <w:sz w:val="24"/>
          <w:szCs w:val="24"/>
          <w:highlight w:val="none"/>
          <w:u w:val="none"/>
          <w:lang w:val="en-US" w:eastAsia="zh-CN" w:bidi="ar"/>
        </w:rPr>
        <w:t>本次建库招标文件根据《中华人民共和国招标投标法》编制；本项目每标包报名的数量小于等于拟建供应商数量时，采用合格制审查，审查合格的供应商全部入围；本项目每标包报名的数量大于拟建供应商数量时，进行资格符合性审查后，合格的数量小于等于拟建供应商数量时，合格的供应商全部入围；进行资格符合性审查后，合格的数量大于拟建供应商数量时，采用综合评分法确定入围供应商；如每标包入围数量不能满足宣恩仙山贡水商贸有限公司建库需求，将进行入围补录。</w:t>
      </w:r>
      <w:r>
        <w:rPr>
          <w:rFonts w:hint="eastAsia" w:ascii="宋体" w:hAnsi="宋体" w:eastAsia="宋体" w:cs="宋体"/>
          <w:b w:val="0"/>
          <w:bCs w:val="0"/>
          <w:i w:val="0"/>
          <w:iCs w:val="0"/>
          <w:color w:val="auto"/>
          <w:kern w:val="0"/>
          <w:sz w:val="24"/>
          <w:szCs w:val="24"/>
          <w:highlight w:val="none"/>
          <w:u w:val="none"/>
          <w:lang w:val="en-US" w:eastAsia="zh-CN" w:bidi="ar"/>
        </w:rPr>
        <w:t>评标委员会</w:t>
      </w:r>
      <w:r>
        <w:rPr>
          <w:rFonts w:hint="eastAsia" w:ascii="宋体" w:hAnsi="宋体" w:eastAsia="宋体" w:cs="宋体"/>
          <w:color w:val="auto"/>
          <w:sz w:val="24"/>
          <w:szCs w:val="24"/>
          <w:highlight w:val="none"/>
        </w:rPr>
        <w:t>提出书面评标报告，按照</w:t>
      </w:r>
      <w:r>
        <w:rPr>
          <w:rFonts w:hint="eastAsia" w:ascii="宋体" w:hAnsi="宋体" w:eastAsia="宋体" w:cs="宋体"/>
          <w:color w:val="auto"/>
          <w:sz w:val="24"/>
          <w:szCs w:val="24"/>
          <w:highlight w:val="none"/>
          <w:lang w:val="en-US" w:eastAsia="zh-CN"/>
        </w:rPr>
        <w:t>书面评标报告</w:t>
      </w:r>
      <w:r>
        <w:rPr>
          <w:rFonts w:hint="eastAsia" w:ascii="宋体" w:hAnsi="宋体" w:eastAsia="宋体" w:cs="宋体"/>
          <w:color w:val="auto"/>
          <w:sz w:val="24"/>
          <w:szCs w:val="24"/>
          <w:highlight w:val="none"/>
        </w:rPr>
        <w:t>推荐中标候选人名单</w:t>
      </w:r>
      <w:r>
        <w:rPr>
          <w:rFonts w:hint="eastAsia" w:ascii="宋体" w:hAnsi="宋体" w:eastAsia="宋体" w:cs="宋体"/>
          <w:color w:val="auto"/>
          <w:sz w:val="24"/>
          <w:szCs w:val="24"/>
          <w:highlight w:val="none"/>
          <w:lang w:val="en-US" w:eastAsia="zh-CN"/>
        </w:rPr>
        <w:t>确定入围供应商</w:t>
      </w:r>
    </w:p>
    <w:p w14:paraId="6C8A824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在评标期间,</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不得非法干预、影响评标过程。</w:t>
      </w:r>
    </w:p>
    <w:p w14:paraId="1B46BE9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6.7.</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中标人确定后,招标代理机构将在</w:t>
      </w:r>
      <w:r>
        <w:rPr>
          <w:rFonts w:hint="eastAsia" w:ascii="宋体" w:hAnsi="宋体" w:eastAsia="宋体" w:cs="宋体"/>
          <w:color w:val="auto"/>
          <w:sz w:val="24"/>
          <w:szCs w:val="24"/>
          <w:highlight w:val="none"/>
          <w:lang w:val="en-US" w:eastAsia="zh-CN"/>
        </w:rPr>
        <w:t>发布招标公告是</w:t>
      </w:r>
      <w:r>
        <w:rPr>
          <w:rFonts w:hint="eastAsia" w:ascii="宋体" w:hAnsi="宋体" w:eastAsia="宋体" w:cs="宋体"/>
          <w:color w:val="auto"/>
          <w:sz w:val="24"/>
          <w:szCs w:val="24"/>
          <w:highlight w:val="none"/>
        </w:rPr>
        <w:t>媒体上发布中标公告,同时向中标人发出《中标通知书》。《中标通知书》是合同的组成部分，对中标人和招标人具有同等法律效力。</w:t>
      </w:r>
    </w:p>
    <w:p w14:paraId="0CC7748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6.7.</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中标通知书是签订合同的唯一合法文件。中标人在中标结果公告结束后，自通知领取中标通知书</w:t>
      </w:r>
      <w:r>
        <w:rPr>
          <w:rFonts w:hint="eastAsia" w:ascii="宋体" w:hAnsi="宋体" w:eastAsia="宋体" w:cs="宋体"/>
          <w:color w:val="auto"/>
          <w:sz w:val="24"/>
          <w:szCs w:val="24"/>
          <w:highlight w:val="none"/>
          <w:lang w:val="en-US" w:eastAsia="zh-CN"/>
        </w:rPr>
        <w:t>后在规定时间</w:t>
      </w:r>
      <w:r>
        <w:rPr>
          <w:rFonts w:hint="eastAsia" w:ascii="宋体" w:hAnsi="宋体" w:eastAsia="宋体" w:cs="宋体"/>
          <w:color w:val="auto"/>
          <w:sz w:val="24"/>
          <w:szCs w:val="24"/>
          <w:highlight w:val="none"/>
        </w:rPr>
        <w:t>内到招标代理机构处领取中标通知书</w:t>
      </w:r>
      <w:r>
        <w:rPr>
          <w:rFonts w:hint="eastAsia" w:ascii="宋体" w:hAnsi="宋体" w:eastAsia="宋体" w:cs="宋体"/>
          <w:color w:val="auto"/>
          <w:kern w:val="0"/>
          <w:sz w:val="24"/>
          <w:szCs w:val="24"/>
          <w:highlight w:val="none"/>
        </w:rPr>
        <w:t>。</w:t>
      </w:r>
      <w:bookmarkEnd w:id="354"/>
      <w:bookmarkEnd w:id="355"/>
    </w:p>
    <w:p w14:paraId="7FE25298">
      <w:pPr>
        <w:pStyle w:val="4"/>
        <w:spacing w:before="0" w:after="0" w:line="360" w:lineRule="auto"/>
        <w:rPr>
          <w:rFonts w:hint="eastAsia" w:ascii="宋体" w:hAnsi="宋体" w:eastAsia="宋体" w:cs="宋体"/>
          <w:color w:val="auto"/>
          <w:sz w:val="24"/>
          <w:szCs w:val="24"/>
          <w:highlight w:val="none"/>
        </w:rPr>
      </w:pPr>
      <w:bookmarkStart w:id="356" w:name="_Toc152042342"/>
      <w:bookmarkStart w:id="357" w:name="_Toc1836"/>
      <w:bookmarkStart w:id="358" w:name="_Toc1340"/>
      <w:bookmarkStart w:id="359" w:name="_Toc408773487"/>
      <w:bookmarkStart w:id="360" w:name="_Toc179632584"/>
      <w:bookmarkStart w:id="361" w:name="_Toc25709"/>
      <w:bookmarkStart w:id="362" w:name="_Toc152045566"/>
      <w:bookmarkStart w:id="363" w:name="_Toc24842"/>
      <w:bookmarkStart w:id="364" w:name="_Toc9372"/>
      <w:bookmarkStart w:id="365" w:name="_Toc2176"/>
      <w:bookmarkStart w:id="366" w:name="_Toc9898"/>
      <w:bookmarkStart w:id="367" w:name="_Toc144974534"/>
      <w:bookmarkStart w:id="368" w:name="_Toc27396"/>
      <w:bookmarkStart w:id="369" w:name="_Toc32334"/>
      <w:bookmarkStart w:id="370" w:name="_Toc30609"/>
      <w:r>
        <w:rPr>
          <w:rFonts w:hint="eastAsia" w:ascii="宋体" w:hAnsi="宋体" w:eastAsia="宋体" w:cs="宋体"/>
          <w:color w:val="auto"/>
          <w:sz w:val="24"/>
          <w:szCs w:val="24"/>
          <w:highlight w:val="none"/>
        </w:rPr>
        <w:t>7.合同授予</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4FFB4AAB">
      <w:pPr>
        <w:pStyle w:val="35"/>
        <w:spacing w:line="360" w:lineRule="auto"/>
        <w:rPr>
          <w:rFonts w:hint="eastAsia" w:ascii="宋体" w:hAnsi="宋体" w:eastAsia="宋体" w:cs="宋体"/>
          <w:b/>
          <w:bCs/>
          <w:color w:val="auto"/>
          <w:sz w:val="24"/>
          <w:szCs w:val="24"/>
          <w:highlight w:val="none"/>
        </w:rPr>
      </w:pPr>
      <w:bookmarkStart w:id="371" w:name="_Toc179632585"/>
      <w:bookmarkStart w:id="372" w:name="_Toc152045567"/>
      <w:bookmarkStart w:id="373" w:name="_Toc22359"/>
      <w:bookmarkStart w:id="374" w:name="_Toc3110"/>
      <w:bookmarkStart w:id="375" w:name="_Toc28080"/>
      <w:bookmarkStart w:id="376" w:name="_Toc15619"/>
      <w:bookmarkStart w:id="377" w:name="_Toc144974535"/>
      <w:bookmarkStart w:id="378" w:name="_Toc32372"/>
      <w:bookmarkStart w:id="379" w:name="_Toc1802"/>
      <w:bookmarkStart w:id="380" w:name="_Toc152042343"/>
      <w:r>
        <w:rPr>
          <w:rFonts w:hint="eastAsia" w:ascii="宋体" w:hAnsi="宋体" w:eastAsia="宋体" w:cs="宋体"/>
          <w:b/>
          <w:bCs/>
          <w:color w:val="auto"/>
          <w:sz w:val="24"/>
          <w:szCs w:val="24"/>
          <w:highlight w:val="none"/>
        </w:rPr>
        <w:t>7.1 定标方式</w:t>
      </w:r>
      <w:bookmarkEnd w:id="371"/>
      <w:bookmarkEnd w:id="372"/>
      <w:bookmarkEnd w:id="373"/>
      <w:bookmarkEnd w:id="374"/>
      <w:bookmarkEnd w:id="375"/>
      <w:bookmarkEnd w:id="376"/>
      <w:bookmarkEnd w:id="377"/>
      <w:bookmarkEnd w:id="378"/>
      <w:bookmarkEnd w:id="379"/>
      <w:bookmarkEnd w:id="380"/>
    </w:p>
    <w:p w14:paraId="0A11021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val="en-US" w:eastAsia="zh-CN"/>
        </w:rPr>
        <w:t>书面评标报告</w:t>
      </w:r>
      <w:r>
        <w:rPr>
          <w:rFonts w:hint="eastAsia" w:ascii="宋体" w:hAnsi="宋体" w:eastAsia="宋体" w:cs="宋体"/>
          <w:color w:val="auto"/>
          <w:sz w:val="24"/>
          <w:szCs w:val="24"/>
          <w:highlight w:val="none"/>
        </w:rPr>
        <w:t>推荐中标候选人名单</w:t>
      </w:r>
      <w:r>
        <w:rPr>
          <w:rFonts w:hint="eastAsia" w:ascii="宋体" w:hAnsi="宋体" w:eastAsia="宋体" w:cs="宋体"/>
          <w:color w:val="auto"/>
          <w:sz w:val="24"/>
          <w:szCs w:val="24"/>
          <w:highlight w:val="none"/>
          <w:lang w:val="en-US" w:eastAsia="zh-CN"/>
        </w:rPr>
        <w:t>确定入围供应商</w:t>
      </w:r>
      <w:r>
        <w:rPr>
          <w:rFonts w:hint="eastAsia" w:ascii="宋体" w:hAnsi="宋体" w:eastAsia="宋体" w:cs="宋体"/>
          <w:color w:val="auto"/>
          <w:sz w:val="24"/>
          <w:szCs w:val="24"/>
          <w:highlight w:val="none"/>
        </w:rPr>
        <w:t>。</w:t>
      </w:r>
    </w:p>
    <w:p w14:paraId="147B2E8E">
      <w:pPr>
        <w:pStyle w:val="35"/>
        <w:spacing w:line="360" w:lineRule="auto"/>
        <w:rPr>
          <w:rFonts w:hint="eastAsia" w:ascii="宋体" w:hAnsi="宋体" w:eastAsia="宋体" w:cs="宋体"/>
          <w:b/>
          <w:bCs/>
          <w:color w:val="auto"/>
          <w:sz w:val="24"/>
          <w:szCs w:val="24"/>
          <w:highlight w:val="none"/>
        </w:rPr>
      </w:pPr>
      <w:bookmarkStart w:id="381" w:name="_Toc7084"/>
      <w:bookmarkStart w:id="382" w:name="_Toc30495"/>
      <w:bookmarkStart w:id="383" w:name="_Toc23273"/>
      <w:bookmarkStart w:id="384" w:name="_Toc4894"/>
      <w:bookmarkStart w:id="385" w:name="_Toc2186"/>
      <w:bookmarkStart w:id="386" w:name="_Toc300834990"/>
      <w:bookmarkStart w:id="387" w:name="_Toc27805"/>
      <w:r>
        <w:rPr>
          <w:rFonts w:hint="eastAsia" w:ascii="宋体" w:hAnsi="宋体" w:eastAsia="宋体" w:cs="宋体"/>
          <w:b/>
          <w:bCs/>
          <w:color w:val="auto"/>
          <w:sz w:val="24"/>
          <w:szCs w:val="24"/>
          <w:highlight w:val="none"/>
        </w:rPr>
        <w:t>7.2 评标结果公示</w:t>
      </w:r>
      <w:bookmarkEnd w:id="381"/>
      <w:bookmarkEnd w:id="382"/>
      <w:bookmarkEnd w:id="383"/>
      <w:bookmarkEnd w:id="384"/>
      <w:bookmarkEnd w:id="385"/>
      <w:bookmarkEnd w:id="386"/>
      <w:bookmarkEnd w:id="387"/>
    </w:p>
    <w:p w14:paraId="540395B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招标人将自收到评标报告之日起3日内，在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须知前附表规定的媒介公示</w:t>
      </w:r>
      <w:r>
        <w:rPr>
          <w:rFonts w:hint="eastAsia" w:ascii="宋体" w:hAnsi="宋体" w:eastAsia="宋体" w:cs="宋体"/>
          <w:color w:val="auto"/>
          <w:sz w:val="24"/>
          <w:szCs w:val="24"/>
          <w:highlight w:val="none"/>
          <w:lang w:val="en-US" w:eastAsia="zh-CN"/>
        </w:rPr>
        <w:t>入围供应商</w:t>
      </w:r>
      <w:r>
        <w:rPr>
          <w:rFonts w:hint="eastAsia" w:ascii="宋体" w:hAnsi="宋体" w:eastAsia="宋体" w:cs="宋体"/>
          <w:color w:val="auto"/>
          <w:sz w:val="24"/>
          <w:szCs w:val="24"/>
          <w:highlight w:val="none"/>
        </w:rPr>
        <w:t>。公示期不少于3日。</w:t>
      </w:r>
    </w:p>
    <w:p w14:paraId="0E082AC5">
      <w:pPr>
        <w:spacing w:line="360" w:lineRule="auto"/>
        <w:ind w:firstLine="528" w:firstLineChars="2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或者其他利害关系人对评标结果有异议的，应当在评标结果公示期间提出。招标人自收到异议之日起3日内作出答复；作出答复前，暂停招标投标活动。异议与答复应采取书面形式。</w:t>
      </w:r>
    </w:p>
    <w:p w14:paraId="5A073184">
      <w:pPr>
        <w:pStyle w:val="35"/>
        <w:spacing w:line="360" w:lineRule="auto"/>
        <w:rPr>
          <w:rFonts w:hint="eastAsia" w:ascii="宋体" w:hAnsi="宋体" w:eastAsia="宋体" w:cs="宋体"/>
          <w:b/>
          <w:bCs/>
          <w:color w:val="auto"/>
          <w:sz w:val="24"/>
          <w:szCs w:val="24"/>
          <w:highlight w:val="none"/>
        </w:rPr>
      </w:pPr>
      <w:bookmarkStart w:id="388" w:name="_Toc17935"/>
      <w:bookmarkStart w:id="389" w:name="_Toc13608"/>
      <w:bookmarkStart w:id="390" w:name="_Toc27659"/>
      <w:bookmarkStart w:id="391" w:name="_Toc14990"/>
      <w:bookmarkStart w:id="392" w:name="_Toc23759"/>
      <w:bookmarkStart w:id="393" w:name="_Toc26936"/>
      <w:r>
        <w:rPr>
          <w:rFonts w:hint="eastAsia" w:ascii="宋体" w:hAnsi="宋体" w:eastAsia="宋体" w:cs="宋体"/>
          <w:b/>
          <w:bCs/>
          <w:color w:val="auto"/>
          <w:sz w:val="24"/>
          <w:szCs w:val="24"/>
          <w:highlight w:val="none"/>
        </w:rPr>
        <w:t>7.3 履约能力的审查</w:t>
      </w:r>
      <w:bookmarkEnd w:id="388"/>
      <w:bookmarkEnd w:id="389"/>
      <w:bookmarkEnd w:id="390"/>
      <w:bookmarkEnd w:id="391"/>
      <w:bookmarkEnd w:id="392"/>
      <w:bookmarkEnd w:id="393"/>
    </w:p>
    <w:p w14:paraId="08653AA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招标人根据每标包入围的实际情况自行选择履约能力审查</w:t>
      </w:r>
      <w:r>
        <w:rPr>
          <w:rFonts w:hint="eastAsia" w:ascii="宋体" w:hAnsi="宋体" w:eastAsia="宋体" w:cs="宋体"/>
          <w:color w:val="auto"/>
          <w:sz w:val="24"/>
          <w:szCs w:val="24"/>
          <w:highlight w:val="none"/>
        </w:rPr>
        <w:t>。</w:t>
      </w:r>
    </w:p>
    <w:p w14:paraId="72C7BA60">
      <w:pPr>
        <w:pStyle w:val="35"/>
        <w:spacing w:line="360" w:lineRule="auto"/>
        <w:rPr>
          <w:rFonts w:hint="eastAsia" w:ascii="宋体" w:hAnsi="宋体" w:eastAsia="宋体" w:cs="宋体"/>
          <w:b/>
          <w:bCs/>
          <w:color w:val="auto"/>
          <w:sz w:val="24"/>
          <w:szCs w:val="24"/>
          <w:highlight w:val="none"/>
        </w:rPr>
      </w:pPr>
      <w:bookmarkStart w:id="394" w:name="_Toc15651"/>
      <w:bookmarkStart w:id="395" w:name="_Toc144974536"/>
      <w:bookmarkStart w:id="396" w:name="_Toc21802"/>
      <w:bookmarkStart w:id="397" w:name="_Toc179632586"/>
      <w:bookmarkStart w:id="398" w:name="_Toc4971"/>
      <w:bookmarkStart w:id="399" w:name="_Toc1950"/>
      <w:bookmarkStart w:id="400" w:name="_Toc152045568"/>
      <w:bookmarkStart w:id="401" w:name="_Toc19750"/>
      <w:bookmarkStart w:id="402" w:name="_Toc152042344"/>
      <w:bookmarkStart w:id="403" w:name="_Toc16432"/>
      <w:r>
        <w:rPr>
          <w:rFonts w:hint="eastAsia" w:ascii="宋体" w:hAnsi="宋体" w:eastAsia="宋体" w:cs="宋体"/>
          <w:b/>
          <w:bCs/>
          <w:color w:val="auto"/>
          <w:sz w:val="24"/>
          <w:szCs w:val="24"/>
          <w:highlight w:val="none"/>
        </w:rPr>
        <w:t>7.4 中标通知</w:t>
      </w:r>
      <w:bookmarkEnd w:id="394"/>
      <w:bookmarkEnd w:id="395"/>
      <w:bookmarkEnd w:id="396"/>
      <w:bookmarkEnd w:id="397"/>
      <w:bookmarkEnd w:id="398"/>
      <w:bookmarkEnd w:id="399"/>
      <w:bookmarkEnd w:id="400"/>
      <w:bookmarkEnd w:id="401"/>
      <w:bookmarkEnd w:id="402"/>
      <w:bookmarkEnd w:id="403"/>
    </w:p>
    <w:p w14:paraId="7F12C57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评标结果公示期满后，无</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或其他利害关系人投诉，或者投诉处理完毕的，在投标有效期内，招标人以书面形式向中标人发出中标通知书，同时将中标结果通知未中标的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473EDA4A">
      <w:pPr>
        <w:pStyle w:val="35"/>
        <w:spacing w:line="360" w:lineRule="auto"/>
        <w:rPr>
          <w:rFonts w:hint="eastAsia" w:ascii="宋体" w:hAnsi="宋体" w:eastAsia="宋体" w:cs="宋体"/>
          <w:b/>
          <w:bCs/>
          <w:color w:val="auto"/>
          <w:sz w:val="24"/>
          <w:szCs w:val="24"/>
          <w:highlight w:val="none"/>
        </w:rPr>
      </w:pPr>
      <w:bookmarkStart w:id="404" w:name="_Toc152045569"/>
      <w:bookmarkStart w:id="405" w:name="_Toc179632587"/>
      <w:bookmarkStart w:id="406" w:name="_Toc10145"/>
      <w:bookmarkStart w:id="407" w:name="_Toc144974537"/>
      <w:bookmarkStart w:id="408" w:name="_Toc152042345"/>
      <w:bookmarkStart w:id="409" w:name="_Toc16913"/>
      <w:bookmarkStart w:id="410" w:name="_Toc16285"/>
      <w:bookmarkStart w:id="411" w:name="_Toc14020"/>
      <w:bookmarkStart w:id="412" w:name="_Toc8357"/>
      <w:bookmarkStart w:id="413" w:name="_Toc28753"/>
      <w:r>
        <w:rPr>
          <w:rFonts w:hint="eastAsia" w:ascii="宋体" w:hAnsi="宋体" w:eastAsia="宋体" w:cs="宋体"/>
          <w:b/>
          <w:bCs/>
          <w:color w:val="auto"/>
          <w:sz w:val="24"/>
          <w:szCs w:val="24"/>
          <w:highlight w:val="none"/>
        </w:rPr>
        <w:t>7.5 履约保证金</w:t>
      </w:r>
      <w:bookmarkEnd w:id="404"/>
      <w:bookmarkEnd w:id="405"/>
      <w:bookmarkEnd w:id="406"/>
      <w:bookmarkEnd w:id="407"/>
      <w:bookmarkEnd w:id="408"/>
      <w:bookmarkEnd w:id="409"/>
      <w:bookmarkEnd w:id="410"/>
      <w:bookmarkEnd w:id="411"/>
      <w:bookmarkEnd w:id="412"/>
      <w:bookmarkEnd w:id="413"/>
    </w:p>
    <w:p w14:paraId="5391002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本项目不需要提交履约保证金。</w:t>
      </w:r>
    </w:p>
    <w:p w14:paraId="06836034">
      <w:pPr>
        <w:pStyle w:val="35"/>
        <w:spacing w:line="360" w:lineRule="auto"/>
        <w:rPr>
          <w:rFonts w:hint="eastAsia" w:ascii="宋体" w:hAnsi="宋体" w:eastAsia="宋体" w:cs="宋体"/>
          <w:b/>
          <w:bCs/>
          <w:color w:val="auto"/>
          <w:sz w:val="24"/>
          <w:szCs w:val="24"/>
          <w:highlight w:val="none"/>
        </w:rPr>
      </w:pPr>
      <w:bookmarkStart w:id="414" w:name="_Toc15599"/>
      <w:bookmarkStart w:id="415" w:name="_Toc152042346"/>
      <w:bookmarkStart w:id="416" w:name="_Toc4379"/>
      <w:bookmarkStart w:id="417" w:name="_Toc26012"/>
      <w:bookmarkStart w:id="418" w:name="_Toc152045570"/>
      <w:bookmarkStart w:id="419" w:name="_Toc8858"/>
      <w:bookmarkStart w:id="420" w:name="_Toc4212"/>
      <w:bookmarkStart w:id="421" w:name="_Toc144974538"/>
      <w:bookmarkStart w:id="422" w:name="_Toc25155"/>
      <w:bookmarkStart w:id="423" w:name="_Toc179632588"/>
      <w:r>
        <w:rPr>
          <w:rFonts w:hint="eastAsia" w:ascii="宋体" w:hAnsi="宋体" w:eastAsia="宋体" w:cs="宋体"/>
          <w:b/>
          <w:bCs/>
          <w:color w:val="auto"/>
          <w:sz w:val="24"/>
          <w:szCs w:val="24"/>
          <w:highlight w:val="none"/>
        </w:rPr>
        <w:t>7.6 签订合同</w:t>
      </w:r>
      <w:bookmarkEnd w:id="414"/>
      <w:bookmarkEnd w:id="415"/>
      <w:bookmarkEnd w:id="416"/>
      <w:bookmarkEnd w:id="417"/>
      <w:bookmarkEnd w:id="418"/>
      <w:bookmarkEnd w:id="419"/>
      <w:bookmarkEnd w:id="420"/>
      <w:bookmarkEnd w:id="421"/>
      <w:bookmarkEnd w:id="422"/>
      <w:bookmarkEnd w:id="423"/>
    </w:p>
    <w:p w14:paraId="2968D33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7.6.1招标人和</w:t>
      </w:r>
      <w:r>
        <w:rPr>
          <w:rFonts w:hint="eastAsia" w:ascii="宋体" w:hAnsi="宋体" w:eastAsia="宋体" w:cs="宋体"/>
          <w:color w:val="auto"/>
          <w:sz w:val="24"/>
          <w:szCs w:val="24"/>
          <w:highlight w:val="none"/>
          <w:lang w:val="en-US" w:eastAsia="zh-CN"/>
        </w:rPr>
        <w:t>入围供应商</w:t>
      </w:r>
      <w:r>
        <w:rPr>
          <w:rFonts w:hint="eastAsia" w:ascii="宋体" w:hAnsi="宋体" w:eastAsia="宋体" w:cs="宋体"/>
          <w:color w:val="auto"/>
          <w:sz w:val="24"/>
          <w:szCs w:val="24"/>
          <w:highlight w:val="none"/>
        </w:rPr>
        <w:t>应当在投标有效期内并在自中标通知书发出之日起30日内，根据招标文件和</w:t>
      </w:r>
      <w:r>
        <w:rPr>
          <w:rFonts w:hint="eastAsia" w:ascii="宋体" w:hAnsi="宋体" w:eastAsia="宋体" w:cs="宋体"/>
          <w:color w:val="auto"/>
          <w:sz w:val="24"/>
          <w:szCs w:val="24"/>
          <w:highlight w:val="none"/>
          <w:lang w:val="en-US" w:eastAsia="zh-CN"/>
        </w:rPr>
        <w:t>入围供应商</w:t>
      </w:r>
      <w:r>
        <w:rPr>
          <w:rFonts w:hint="eastAsia" w:ascii="宋体" w:hAnsi="宋体" w:eastAsia="宋体" w:cs="宋体"/>
          <w:color w:val="auto"/>
          <w:sz w:val="24"/>
          <w:szCs w:val="24"/>
          <w:highlight w:val="none"/>
        </w:rPr>
        <w:t>的投标文件订立书面合同。</w:t>
      </w:r>
      <w:r>
        <w:rPr>
          <w:rFonts w:hint="eastAsia" w:ascii="宋体" w:hAnsi="宋体" w:eastAsia="宋体" w:cs="宋体"/>
          <w:color w:val="auto"/>
          <w:sz w:val="24"/>
          <w:szCs w:val="24"/>
          <w:highlight w:val="none"/>
          <w:lang w:val="en-US" w:eastAsia="zh-CN"/>
        </w:rPr>
        <w:t>入围供应商</w:t>
      </w:r>
      <w:r>
        <w:rPr>
          <w:rFonts w:hint="eastAsia" w:ascii="宋体" w:hAnsi="宋体" w:eastAsia="宋体" w:cs="宋体"/>
          <w:color w:val="auto"/>
          <w:sz w:val="24"/>
          <w:szCs w:val="24"/>
          <w:highlight w:val="none"/>
        </w:rPr>
        <w:t>无正当理由拒签合同的、在签订合同时向招标人提出附加条件的，招标人取消其</w:t>
      </w:r>
      <w:r>
        <w:rPr>
          <w:rFonts w:hint="eastAsia" w:ascii="宋体" w:hAnsi="宋体" w:eastAsia="宋体" w:cs="宋体"/>
          <w:color w:val="auto"/>
          <w:sz w:val="24"/>
          <w:szCs w:val="24"/>
          <w:highlight w:val="none"/>
          <w:lang w:val="en-US" w:eastAsia="zh-CN"/>
        </w:rPr>
        <w:t>入围</w:t>
      </w:r>
      <w:r>
        <w:rPr>
          <w:rFonts w:hint="eastAsia" w:ascii="宋体" w:hAnsi="宋体" w:eastAsia="宋体" w:cs="宋体"/>
          <w:color w:val="auto"/>
          <w:sz w:val="24"/>
          <w:szCs w:val="24"/>
          <w:highlight w:val="none"/>
        </w:rPr>
        <w:t>资格；给招标人造成的损失的，</w:t>
      </w:r>
      <w:r>
        <w:rPr>
          <w:rFonts w:hint="eastAsia" w:ascii="宋体" w:hAnsi="宋体" w:eastAsia="宋体" w:cs="宋体"/>
          <w:color w:val="auto"/>
          <w:sz w:val="24"/>
          <w:szCs w:val="24"/>
          <w:highlight w:val="none"/>
          <w:lang w:val="en-US" w:eastAsia="zh-CN"/>
        </w:rPr>
        <w:t>入围供应商</w:t>
      </w:r>
      <w:r>
        <w:rPr>
          <w:rFonts w:hint="eastAsia" w:ascii="宋体" w:hAnsi="宋体" w:eastAsia="宋体" w:cs="宋体"/>
          <w:color w:val="auto"/>
          <w:sz w:val="24"/>
          <w:szCs w:val="24"/>
          <w:highlight w:val="none"/>
        </w:rPr>
        <w:t>应当予以赔偿。</w:t>
      </w:r>
    </w:p>
    <w:p w14:paraId="1EA37DB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7.6.2 发出中标通知书后，招标人无正当理由拒签合同的，给</w:t>
      </w:r>
      <w:r>
        <w:rPr>
          <w:rFonts w:hint="eastAsia" w:ascii="宋体" w:hAnsi="宋体" w:eastAsia="宋体" w:cs="宋体"/>
          <w:color w:val="auto"/>
          <w:sz w:val="24"/>
          <w:szCs w:val="24"/>
          <w:highlight w:val="none"/>
          <w:lang w:val="en-US" w:eastAsia="zh-CN"/>
        </w:rPr>
        <w:t>入围供应商</w:t>
      </w:r>
      <w:r>
        <w:rPr>
          <w:rFonts w:hint="eastAsia" w:ascii="宋体" w:hAnsi="宋体" w:eastAsia="宋体" w:cs="宋体"/>
          <w:color w:val="auto"/>
          <w:sz w:val="24"/>
          <w:szCs w:val="24"/>
          <w:highlight w:val="none"/>
        </w:rPr>
        <w:t>造成损失的，应当赔偿其损失。</w:t>
      </w:r>
    </w:p>
    <w:p w14:paraId="166D46D6">
      <w:pPr>
        <w:pStyle w:val="4"/>
        <w:spacing w:before="0" w:after="0" w:line="360" w:lineRule="auto"/>
        <w:rPr>
          <w:rFonts w:hint="eastAsia" w:ascii="宋体" w:hAnsi="宋体" w:eastAsia="宋体" w:cs="宋体"/>
          <w:color w:val="auto"/>
          <w:sz w:val="24"/>
          <w:szCs w:val="24"/>
          <w:highlight w:val="none"/>
        </w:rPr>
      </w:pPr>
      <w:bookmarkStart w:id="424" w:name="_Toc152045571"/>
      <w:bookmarkStart w:id="425" w:name="_Toc144974539"/>
      <w:bookmarkStart w:id="426" w:name="_Toc179632589"/>
      <w:bookmarkStart w:id="427" w:name="_Toc152042347"/>
      <w:bookmarkStart w:id="428" w:name="_Toc18604"/>
      <w:bookmarkStart w:id="429" w:name="_Toc2645"/>
      <w:bookmarkStart w:id="430" w:name="_Toc20327"/>
      <w:bookmarkStart w:id="431" w:name="_Toc28143"/>
      <w:bookmarkStart w:id="432" w:name="_Toc1845"/>
      <w:bookmarkStart w:id="433" w:name="_Toc12604"/>
      <w:bookmarkStart w:id="434" w:name="_Toc30827"/>
      <w:bookmarkStart w:id="435" w:name="_Toc408773488"/>
      <w:bookmarkStart w:id="436" w:name="_Toc10567"/>
      <w:bookmarkStart w:id="437" w:name="_Toc4931"/>
      <w:bookmarkStart w:id="438" w:name="_Toc22166"/>
      <w:r>
        <w:rPr>
          <w:rFonts w:hint="eastAsia" w:ascii="宋体" w:hAnsi="宋体" w:eastAsia="宋体" w:cs="宋体"/>
          <w:color w:val="auto"/>
          <w:sz w:val="24"/>
          <w:szCs w:val="24"/>
          <w:highlight w:val="none"/>
        </w:rPr>
        <w:t>8.重新招标、不再招标和</w:t>
      </w:r>
      <w:bookmarkEnd w:id="424"/>
      <w:bookmarkEnd w:id="425"/>
      <w:bookmarkEnd w:id="426"/>
      <w:bookmarkEnd w:id="427"/>
      <w:r>
        <w:rPr>
          <w:rFonts w:hint="eastAsia" w:ascii="宋体" w:hAnsi="宋体" w:eastAsia="宋体" w:cs="宋体"/>
          <w:color w:val="auto"/>
          <w:sz w:val="24"/>
          <w:szCs w:val="24"/>
          <w:highlight w:val="none"/>
        </w:rPr>
        <w:t>终止招标</w:t>
      </w:r>
      <w:bookmarkEnd w:id="428"/>
      <w:bookmarkEnd w:id="429"/>
      <w:bookmarkEnd w:id="430"/>
      <w:bookmarkEnd w:id="431"/>
      <w:bookmarkEnd w:id="432"/>
      <w:bookmarkEnd w:id="433"/>
      <w:bookmarkEnd w:id="434"/>
      <w:bookmarkEnd w:id="435"/>
      <w:bookmarkEnd w:id="436"/>
      <w:bookmarkEnd w:id="437"/>
      <w:bookmarkEnd w:id="438"/>
    </w:p>
    <w:p w14:paraId="46716703">
      <w:pPr>
        <w:pStyle w:val="35"/>
        <w:spacing w:line="360" w:lineRule="auto"/>
        <w:rPr>
          <w:rFonts w:hint="eastAsia" w:ascii="宋体" w:hAnsi="宋体" w:eastAsia="宋体" w:cs="宋体"/>
          <w:b/>
          <w:bCs/>
          <w:color w:val="auto"/>
          <w:sz w:val="24"/>
          <w:szCs w:val="24"/>
          <w:highlight w:val="none"/>
        </w:rPr>
      </w:pPr>
      <w:bookmarkStart w:id="439" w:name="_Toc152042348"/>
      <w:bookmarkStart w:id="440" w:name="_Toc18521"/>
      <w:bookmarkStart w:id="441" w:name="_Toc20483"/>
      <w:bookmarkStart w:id="442" w:name="_Toc21212"/>
      <w:bookmarkStart w:id="443" w:name="_Toc13528"/>
      <w:bookmarkStart w:id="444" w:name="_Toc12501"/>
      <w:bookmarkStart w:id="445" w:name="_Toc152045572"/>
      <w:bookmarkStart w:id="446" w:name="_Toc29715"/>
      <w:bookmarkStart w:id="447" w:name="_Toc144974540"/>
      <w:bookmarkStart w:id="448" w:name="_Toc179632590"/>
      <w:r>
        <w:rPr>
          <w:rFonts w:hint="eastAsia" w:ascii="宋体" w:hAnsi="宋体" w:eastAsia="宋体" w:cs="宋体"/>
          <w:b/>
          <w:bCs/>
          <w:color w:val="auto"/>
          <w:sz w:val="24"/>
          <w:szCs w:val="24"/>
          <w:highlight w:val="none"/>
        </w:rPr>
        <w:t>8.1 重新招标</w:t>
      </w:r>
      <w:bookmarkEnd w:id="439"/>
      <w:bookmarkEnd w:id="440"/>
      <w:bookmarkEnd w:id="441"/>
      <w:bookmarkEnd w:id="442"/>
      <w:bookmarkEnd w:id="443"/>
      <w:bookmarkEnd w:id="444"/>
      <w:bookmarkEnd w:id="445"/>
      <w:bookmarkEnd w:id="446"/>
      <w:bookmarkEnd w:id="447"/>
      <w:bookmarkEnd w:id="448"/>
    </w:p>
    <w:p w14:paraId="5BDE72A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有下列情形之一的，招标人</w:t>
      </w:r>
      <w:r>
        <w:rPr>
          <w:rFonts w:hint="eastAsia" w:ascii="宋体" w:hAnsi="宋体" w:eastAsia="宋体" w:cs="宋体"/>
          <w:color w:val="auto"/>
          <w:sz w:val="24"/>
          <w:szCs w:val="24"/>
          <w:highlight w:val="none"/>
          <w:lang w:eastAsia="zh-CN"/>
        </w:rPr>
        <w:t>可以选择对相关标包</w:t>
      </w:r>
      <w:r>
        <w:rPr>
          <w:rFonts w:hint="eastAsia" w:ascii="宋体" w:hAnsi="宋体" w:eastAsia="宋体" w:cs="宋体"/>
          <w:color w:val="auto"/>
          <w:sz w:val="24"/>
          <w:szCs w:val="24"/>
          <w:highlight w:val="none"/>
        </w:rPr>
        <w:t>重新招标</w:t>
      </w:r>
      <w:r>
        <w:rPr>
          <w:rFonts w:hint="eastAsia" w:ascii="宋体" w:hAnsi="宋体" w:eastAsia="宋体" w:cs="宋体"/>
          <w:color w:val="auto"/>
          <w:sz w:val="24"/>
          <w:szCs w:val="24"/>
          <w:highlight w:val="none"/>
          <w:lang w:eastAsia="zh-CN"/>
        </w:rPr>
        <w:t>或不再招标</w:t>
      </w:r>
      <w:r>
        <w:rPr>
          <w:rFonts w:hint="eastAsia" w:ascii="宋体" w:hAnsi="宋体" w:eastAsia="宋体" w:cs="宋体"/>
          <w:color w:val="auto"/>
          <w:sz w:val="24"/>
          <w:szCs w:val="24"/>
          <w:highlight w:val="none"/>
        </w:rPr>
        <w:t>：</w:t>
      </w:r>
    </w:p>
    <w:p w14:paraId="375AAED6">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（1）投标截止时间止，</w:t>
      </w:r>
      <w:r>
        <w:rPr>
          <w:rFonts w:hint="eastAsia" w:ascii="宋体" w:hAnsi="宋体" w:eastAsia="宋体" w:cs="宋体"/>
          <w:color w:val="auto"/>
          <w:sz w:val="24"/>
          <w:szCs w:val="24"/>
          <w:highlight w:val="none"/>
          <w:lang w:eastAsia="zh-CN"/>
        </w:rPr>
        <w:t>某一标包供应商</w:t>
      </w:r>
      <w:r>
        <w:rPr>
          <w:rFonts w:hint="eastAsia" w:ascii="宋体" w:hAnsi="宋体" w:eastAsia="宋体" w:cs="宋体"/>
          <w:color w:val="auto"/>
          <w:sz w:val="24"/>
          <w:szCs w:val="24"/>
          <w:highlight w:val="none"/>
        </w:rPr>
        <w:t>少于</w:t>
      </w:r>
      <w:r>
        <w:rPr>
          <w:rFonts w:hint="eastAsia" w:ascii="宋体" w:hAnsi="宋体" w:eastAsia="宋体" w:cs="宋体"/>
          <w:color w:val="auto"/>
          <w:sz w:val="24"/>
          <w:szCs w:val="24"/>
          <w:highlight w:val="none"/>
          <w:lang w:val="en-US" w:eastAsia="zh-CN"/>
        </w:rPr>
        <w:t>3家</w:t>
      </w:r>
      <w:r>
        <w:rPr>
          <w:rFonts w:hint="eastAsia" w:ascii="宋体" w:hAnsi="宋体" w:eastAsia="宋体" w:cs="宋体"/>
          <w:color w:val="auto"/>
          <w:sz w:val="24"/>
          <w:szCs w:val="24"/>
          <w:highlight w:val="none"/>
        </w:rPr>
        <w:t>的；</w:t>
      </w:r>
    </w:p>
    <w:p w14:paraId="28D65CD9">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（2）经评标委员会评审后否决投标的。</w:t>
      </w:r>
    </w:p>
    <w:p w14:paraId="0A19BB7A">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入围供应商</w:t>
      </w:r>
      <w:r>
        <w:rPr>
          <w:rFonts w:hint="eastAsia" w:ascii="宋体" w:hAnsi="宋体" w:eastAsia="宋体" w:cs="宋体"/>
          <w:color w:val="auto"/>
          <w:sz w:val="24"/>
          <w:szCs w:val="24"/>
          <w:highlight w:val="none"/>
        </w:rPr>
        <w:t>均未与招标人签订合同的；</w:t>
      </w:r>
    </w:p>
    <w:p w14:paraId="2F9D433D">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）法律、法规规定的其他情形。</w:t>
      </w:r>
    </w:p>
    <w:p w14:paraId="3E24374C">
      <w:pPr>
        <w:pStyle w:val="35"/>
        <w:spacing w:line="360" w:lineRule="auto"/>
        <w:rPr>
          <w:rFonts w:hint="eastAsia" w:ascii="宋体" w:hAnsi="宋体" w:eastAsia="宋体" w:cs="宋体"/>
          <w:b/>
          <w:bCs/>
          <w:color w:val="auto"/>
          <w:sz w:val="24"/>
          <w:szCs w:val="24"/>
          <w:highlight w:val="none"/>
        </w:rPr>
      </w:pPr>
      <w:bookmarkStart w:id="449" w:name="_Toc144974541"/>
      <w:bookmarkStart w:id="450" w:name="_Toc3698"/>
      <w:bookmarkStart w:id="451" w:name="_Toc23646"/>
      <w:bookmarkStart w:id="452" w:name="_Toc9704"/>
      <w:bookmarkStart w:id="453" w:name="_Toc179632591"/>
      <w:bookmarkStart w:id="454" w:name="_Toc152042349"/>
      <w:bookmarkStart w:id="455" w:name="_Toc14760"/>
      <w:bookmarkStart w:id="456" w:name="_Toc20696"/>
      <w:bookmarkStart w:id="457" w:name="_Toc8975"/>
      <w:bookmarkStart w:id="458" w:name="_Toc152045573"/>
      <w:r>
        <w:rPr>
          <w:rFonts w:hint="eastAsia" w:ascii="宋体" w:hAnsi="宋体" w:eastAsia="宋体" w:cs="宋体"/>
          <w:b/>
          <w:bCs/>
          <w:color w:val="auto"/>
          <w:sz w:val="24"/>
          <w:szCs w:val="24"/>
          <w:highlight w:val="none"/>
        </w:rPr>
        <w:t>8.2 不再招标</w:t>
      </w:r>
      <w:bookmarkEnd w:id="449"/>
      <w:bookmarkEnd w:id="450"/>
      <w:bookmarkEnd w:id="451"/>
      <w:bookmarkEnd w:id="452"/>
      <w:bookmarkEnd w:id="453"/>
      <w:bookmarkEnd w:id="454"/>
      <w:bookmarkEnd w:id="455"/>
      <w:bookmarkEnd w:id="456"/>
      <w:bookmarkEnd w:id="457"/>
      <w:bookmarkEnd w:id="458"/>
    </w:p>
    <w:p w14:paraId="240130B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重新招标后</w:t>
      </w:r>
      <w:r>
        <w:rPr>
          <w:rFonts w:hint="eastAsia" w:ascii="宋体" w:hAnsi="宋体" w:eastAsia="宋体" w:cs="宋体"/>
          <w:color w:val="auto"/>
          <w:sz w:val="24"/>
          <w:szCs w:val="24"/>
          <w:highlight w:val="none"/>
          <w:lang w:eastAsia="zh-CN"/>
        </w:rPr>
        <w:t>某标包供应商</w:t>
      </w:r>
      <w:r>
        <w:rPr>
          <w:rFonts w:hint="eastAsia" w:ascii="宋体" w:hAnsi="宋体" w:eastAsia="宋体" w:cs="宋体"/>
          <w:color w:val="auto"/>
          <w:sz w:val="24"/>
          <w:szCs w:val="24"/>
          <w:highlight w:val="none"/>
        </w:rPr>
        <w:t>仍少于</w:t>
      </w:r>
      <w:r>
        <w:rPr>
          <w:rFonts w:hint="eastAsia" w:ascii="宋体" w:hAnsi="宋体" w:eastAsia="宋体" w:cs="宋体"/>
          <w:color w:val="auto"/>
          <w:sz w:val="24"/>
          <w:szCs w:val="24"/>
          <w:highlight w:val="none"/>
          <w:lang w:val="en-US" w:eastAsia="zh-CN"/>
        </w:rPr>
        <w:t>3家</w:t>
      </w:r>
      <w:r>
        <w:rPr>
          <w:rFonts w:hint="eastAsia" w:ascii="宋体" w:hAnsi="宋体" w:eastAsia="宋体" w:cs="宋体"/>
          <w:color w:val="auto"/>
          <w:sz w:val="24"/>
          <w:szCs w:val="24"/>
          <w:highlight w:val="none"/>
        </w:rPr>
        <w:t>或者所有投标被否决的，属于必须审批或核准的项目，经原审批或核准部门批准后不再进行招标。</w:t>
      </w:r>
    </w:p>
    <w:p w14:paraId="7094E532">
      <w:pPr>
        <w:pStyle w:val="35"/>
        <w:spacing w:line="360" w:lineRule="auto"/>
        <w:rPr>
          <w:rFonts w:hint="eastAsia" w:ascii="宋体" w:hAnsi="宋体" w:eastAsia="宋体" w:cs="宋体"/>
          <w:b/>
          <w:bCs/>
          <w:color w:val="auto"/>
          <w:sz w:val="24"/>
          <w:szCs w:val="24"/>
          <w:highlight w:val="none"/>
        </w:rPr>
      </w:pPr>
      <w:bookmarkStart w:id="459" w:name="_Toc31312"/>
      <w:bookmarkStart w:id="460" w:name="_Toc1663"/>
      <w:bookmarkStart w:id="461" w:name="_Toc5098"/>
      <w:bookmarkStart w:id="462" w:name="_Toc10082"/>
      <w:bookmarkStart w:id="463" w:name="_Toc4293"/>
      <w:bookmarkStart w:id="464" w:name="_Toc6513"/>
      <w:r>
        <w:rPr>
          <w:rFonts w:hint="eastAsia" w:ascii="宋体" w:hAnsi="宋体" w:eastAsia="宋体" w:cs="宋体"/>
          <w:b/>
          <w:bCs/>
          <w:color w:val="auto"/>
          <w:sz w:val="24"/>
          <w:szCs w:val="24"/>
          <w:highlight w:val="none"/>
        </w:rPr>
        <w:t>8.3 终止招标</w:t>
      </w:r>
      <w:bookmarkEnd w:id="459"/>
      <w:bookmarkEnd w:id="460"/>
      <w:bookmarkEnd w:id="461"/>
      <w:bookmarkEnd w:id="462"/>
      <w:bookmarkEnd w:id="463"/>
      <w:bookmarkEnd w:id="464"/>
    </w:p>
    <w:p w14:paraId="560A8B7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因不可抗力等原因，招标人终止招标的，将及时发布公告，或者以书面形式通知被邀请的或者已经获取招标文件的潜在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658A8BCB">
      <w:pPr>
        <w:pStyle w:val="4"/>
        <w:spacing w:before="0" w:after="0" w:line="360" w:lineRule="auto"/>
        <w:rPr>
          <w:rFonts w:hint="eastAsia" w:ascii="宋体" w:hAnsi="宋体" w:eastAsia="宋体" w:cs="宋体"/>
          <w:color w:val="auto"/>
          <w:sz w:val="24"/>
          <w:szCs w:val="24"/>
          <w:highlight w:val="none"/>
        </w:rPr>
      </w:pPr>
      <w:bookmarkStart w:id="465" w:name="_Toc15626"/>
      <w:bookmarkStart w:id="466" w:name="_Toc10667"/>
      <w:bookmarkStart w:id="467" w:name="_Toc179632592"/>
      <w:bookmarkStart w:id="468" w:name="_Toc21374"/>
      <w:bookmarkStart w:id="469" w:name="_Toc32423"/>
      <w:bookmarkStart w:id="470" w:name="_Toc29090"/>
      <w:bookmarkStart w:id="471" w:name="_Toc152045574"/>
      <w:bookmarkStart w:id="472" w:name="_Toc21357"/>
      <w:bookmarkStart w:id="473" w:name="_Toc408773489"/>
      <w:bookmarkStart w:id="474" w:name="_Toc25912"/>
      <w:bookmarkStart w:id="475" w:name="_Toc19203"/>
      <w:bookmarkStart w:id="476" w:name="_Toc152042350"/>
      <w:bookmarkStart w:id="477" w:name="_Toc6837"/>
      <w:bookmarkStart w:id="478" w:name="_Toc27608"/>
      <w:bookmarkStart w:id="479" w:name="_Toc144974542"/>
      <w:r>
        <w:rPr>
          <w:rFonts w:hint="eastAsia" w:ascii="宋体" w:hAnsi="宋体" w:eastAsia="宋体" w:cs="宋体"/>
          <w:color w:val="auto"/>
          <w:sz w:val="24"/>
          <w:szCs w:val="24"/>
          <w:highlight w:val="none"/>
        </w:rPr>
        <w:t>9.纪律和监督</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799A0AAC">
      <w:pPr>
        <w:pStyle w:val="35"/>
        <w:spacing w:line="360" w:lineRule="auto"/>
        <w:rPr>
          <w:rFonts w:hint="eastAsia" w:ascii="宋体" w:hAnsi="宋体" w:eastAsia="宋体" w:cs="宋体"/>
          <w:b/>
          <w:bCs/>
          <w:color w:val="auto"/>
          <w:sz w:val="24"/>
          <w:szCs w:val="24"/>
          <w:highlight w:val="none"/>
        </w:rPr>
      </w:pPr>
      <w:bookmarkStart w:id="480" w:name="_Toc201"/>
      <w:bookmarkStart w:id="481" w:name="_Toc152045575"/>
      <w:bookmarkStart w:id="482" w:name="_Toc144974543"/>
      <w:bookmarkStart w:id="483" w:name="_Toc3659"/>
      <w:bookmarkStart w:id="484" w:name="_Toc5681"/>
      <w:bookmarkStart w:id="485" w:name="_Toc152042351"/>
      <w:bookmarkStart w:id="486" w:name="_Toc179632593"/>
      <w:bookmarkStart w:id="487" w:name="_Toc4774"/>
      <w:bookmarkStart w:id="488" w:name="_Toc31813"/>
      <w:bookmarkStart w:id="489" w:name="_Toc13515"/>
      <w:r>
        <w:rPr>
          <w:rFonts w:hint="eastAsia" w:ascii="宋体" w:hAnsi="宋体" w:eastAsia="宋体" w:cs="宋体"/>
          <w:b/>
          <w:bCs/>
          <w:color w:val="auto"/>
          <w:sz w:val="24"/>
          <w:szCs w:val="24"/>
          <w:highlight w:val="none"/>
        </w:rPr>
        <w:t>9.1 对招标人的纪律要求</w:t>
      </w:r>
      <w:bookmarkEnd w:id="480"/>
      <w:bookmarkEnd w:id="481"/>
      <w:bookmarkEnd w:id="482"/>
      <w:bookmarkEnd w:id="483"/>
      <w:bookmarkEnd w:id="484"/>
      <w:bookmarkEnd w:id="485"/>
      <w:bookmarkEnd w:id="486"/>
      <w:bookmarkEnd w:id="487"/>
      <w:bookmarkEnd w:id="488"/>
      <w:bookmarkEnd w:id="489"/>
    </w:p>
    <w:p w14:paraId="0E7071A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招标人不得泄漏招标投标活动中应当保密的情况和资料，不得与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串通损害国家利益、社会公共利益或者他人合法权益。</w:t>
      </w:r>
    </w:p>
    <w:p w14:paraId="519A4A47">
      <w:pPr>
        <w:pStyle w:val="35"/>
        <w:spacing w:line="360" w:lineRule="auto"/>
        <w:rPr>
          <w:rFonts w:hint="eastAsia" w:ascii="宋体" w:hAnsi="宋体" w:eastAsia="宋体" w:cs="宋体"/>
          <w:b/>
          <w:bCs/>
          <w:color w:val="auto"/>
          <w:sz w:val="24"/>
          <w:szCs w:val="24"/>
          <w:highlight w:val="none"/>
        </w:rPr>
      </w:pPr>
      <w:bookmarkStart w:id="490" w:name="_Toc3430"/>
      <w:bookmarkStart w:id="491" w:name="_Toc31958"/>
      <w:bookmarkStart w:id="492" w:name="_Toc152042352"/>
      <w:bookmarkStart w:id="493" w:name="_Toc179632594"/>
      <w:bookmarkStart w:id="494" w:name="_Toc144974544"/>
      <w:bookmarkStart w:id="495" w:name="_Toc15311"/>
      <w:bookmarkStart w:id="496" w:name="_Toc21261"/>
      <w:bookmarkStart w:id="497" w:name="_Toc152045576"/>
      <w:bookmarkStart w:id="498" w:name="_Toc29900"/>
      <w:bookmarkStart w:id="499" w:name="_Toc31194"/>
      <w:r>
        <w:rPr>
          <w:rFonts w:hint="eastAsia" w:ascii="宋体" w:hAnsi="宋体" w:eastAsia="宋体" w:cs="宋体"/>
          <w:b/>
          <w:bCs/>
          <w:color w:val="auto"/>
          <w:sz w:val="24"/>
          <w:szCs w:val="24"/>
          <w:highlight w:val="none"/>
        </w:rPr>
        <w:t>9.2 对</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的纪律要求</w:t>
      </w:r>
      <w:bookmarkEnd w:id="490"/>
      <w:bookmarkEnd w:id="491"/>
      <w:bookmarkEnd w:id="492"/>
      <w:bookmarkEnd w:id="493"/>
      <w:bookmarkEnd w:id="494"/>
      <w:bookmarkEnd w:id="495"/>
      <w:bookmarkEnd w:id="496"/>
      <w:bookmarkEnd w:id="497"/>
      <w:bookmarkEnd w:id="498"/>
      <w:bookmarkEnd w:id="499"/>
    </w:p>
    <w:p w14:paraId="561EED4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不得相互串通投标或者与招标人串通投标，不得向招标人或者评标委员会成员行贿谋取中标，不得以他人名义投标或者以其他方式弄虚作假骗取中标；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不得以任何方式干扰、影响评标工作。</w:t>
      </w:r>
    </w:p>
    <w:p w14:paraId="600DD678">
      <w:pPr>
        <w:pStyle w:val="35"/>
        <w:spacing w:line="360" w:lineRule="auto"/>
        <w:rPr>
          <w:rFonts w:hint="eastAsia" w:ascii="宋体" w:hAnsi="宋体" w:eastAsia="宋体" w:cs="宋体"/>
          <w:b/>
          <w:bCs/>
          <w:color w:val="auto"/>
          <w:sz w:val="24"/>
          <w:szCs w:val="24"/>
          <w:highlight w:val="none"/>
        </w:rPr>
      </w:pPr>
      <w:bookmarkStart w:id="500" w:name="_Toc625"/>
      <w:bookmarkStart w:id="501" w:name="_Toc152045577"/>
      <w:bookmarkStart w:id="502" w:name="_Toc25501"/>
      <w:bookmarkStart w:id="503" w:name="_Toc32673"/>
      <w:bookmarkStart w:id="504" w:name="_Toc19413"/>
      <w:bookmarkStart w:id="505" w:name="_Toc152042353"/>
      <w:bookmarkStart w:id="506" w:name="_Toc179632595"/>
      <w:bookmarkStart w:id="507" w:name="_Toc31419"/>
      <w:bookmarkStart w:id="508" w:name="_Toc32421"/>
      <w:bookmarkStart w:id="509" w:name="_Toc144974545"/>
      <w:r>
        <w:rPr>
          <w:rFonts w:hint="eastAsia" w:ascii="宋体" w:hAnsi="宋体" w:eastAsia="宋体" w:cs="宋体"/>
          <w:b/>
          <w:bCs/>
          <w:color w:val="auto"/>
          <w:sz w:val="24"/>
          <w:szCs w:val="24"/>
          <w:highlight w:val="none"/>
        </w:rPr>
        <w:t>9.3 对评标委员会成员的纪律要求</w:t>
      </w:r>
      <w:bookmarkEnd w:id="500"/>
      <w:bookmarkEnd w:id="501"/>
      <w:bookmarkEnd w:id="502"/>
      <w:bookmarkEnd w:id="503"/>
      <w:bookmarkEnd w:id="504"/>
      <w:bookmarkEnd w:id="505"/>
      <w:bookmarkEnd w:id="506"/>
      <w:bookmarkEnd w:id="507"/>
      <w:bookmarkEnd w:id="508"/>
      <w:bookmarkEnd w:id="509"/>
    </w:p>
    <w:p w14:paraId="461EEDC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评标委员会成员不得与任何</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或者与招标结果有利害关系的人进行私下接触，不得收受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中介人、其他利害关系人的财物或者其他好处，不得向他人透漏对投标文件的评审和比较、中标候选人的推荐情况以及评标有关的其他情况。在评标活动中，评标委员会成员不得应当回避而不回避，不得擅离职守，影响评标程序正常进行，不得向招标人征询其确定中标人的意向，不得接受任何单位或者个人明示或者暗示提出的倾向或者排斥特定</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的要求，不得对依法应当否决的投标不提出否决意见，不得暗示或者诱导</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作出澄清、说明或者接受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主动提出的澄清、说明；不得使用第四章“评标办法”没有规定的评审因素和标准进行评标。</w:t>
      </w:r>
    </w:p>
    <w:p w14:paraId="13805F20">
      <w:pPr>
        <w:pStyle w:val="35"/>
        <w:spacing w:line="360" w:lineRule="auto"/>
        <w:rPr>
          <w:rFonts w:hint="eastAsia" w:ascii="宋体" w:hAnsi="宋体" w:eastAsia="宋体" w:cs="宋体"/>
          <w:b/>
          <w:bCs/>
          <w:color w:val="auto"/>
          <w:sz w:val="24"/>
          <w:szCs w:val="24"/>
          <w:highlight w:val="none"/>
        </w:rPr>
      </w:pPr>
      <w:bookmarkStart w:id="510" w:name="_Toc152045578"/>
      <w:bookmarkStart w:id="511" w:name="_Toc12719"/>
      <w:bookmarkStart w:id="512" w:name="_Toc9390"/>
      <w:bookmarkStart w:id="513" w:name="_Toc30198"/>
      <w:bookmarkStart w:id="514" w:name="_Toc22790"/>
      <w:bookmarkStart w:id="515" w:name="_Toc23762"/>
      <w:bookmarkStart w:id="516" w:name="_Toc179632596"/>
      <w:bookmarkStart w:id="517" w:name="_Toc152042354"/>
      <w:bookmarkStart w:id="518" w:name="_Toc32289"/>
      <w:bookmarkStart w:id="519" w:name="_Toc144974546"/>
      <w:r>
        <w:rPr>
          <w:rFonts w:hint="eastAsia" w:ascii="宋体" w:hAnsi="宋体" w:eastAsia="宋体" w:cs="宋体"/>
          <w:b/>
          <w:bCs/>
          <w:color w:val="auto"/>
          <w:sz w:val="24"/>
          <w:szCs w:val="24"/>
          <w:highlight w:val="none"/>
        </w:rPr>
        <w:t>9.4 对与评标活动有关的工作人员的纪律要求</w:t>
      </w:r>
      <w:bookmarkEnd w:id="510"/>
      <w:bookmarkEnd w:id="511"/>
      <w:bookmarkEnd w:id="512"/>
      <w:bookmarkEnd w:id="513"/>
      <w:bookmarkEnd w:id="514"/>
      <w:bookmarkEnd w:id="515"/>
      <w:bookmarkEnd w:id="516"/>
      <w:bookmarkEnd w:id="517"/>
      <w:bookmarkEnd w:id="518"/>
    </w:p>
    <w:p w14:paraId="3F8F60B4">
      <w:pPr>
        <w:spacing w:line="360" w:lineRule="auto"/>
        <w:ind w:firstLine="480" w:firstLineChars="200"/>
        <w:rPr>
          <w:rFonts w:hint="eastAsia" w:ascii="宋体" w:hAnsi="宋体" w:eastAsia="宋体" w:cs="宋体"/>
          <w:color w:val="auto"/>
          <w:sz w:val="24"/>
          <w:szCs w:val="24"/>
          <w:highlight w:val="none"/>
        </w:rPr>
      </w:pPr>
      <w:bookmarkStart w:id="520" w:name="_Toc152042355"/>
      <w:r>
        <w:rPr>
          <w:rFonts w:hint="eastAsia" w:ascii="宋体" w:hAnsi="宋体" w:eastAsia="宋体" w:cs="宋体"/>
          <w:color w:val="auto"/>
          <w:sz w:val="24"/>
          <w:szCs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520"/>
    </w:p>
    <w:p w14:paraId="65596D66">
      <w:pPr>
        <w:pStyle w:val="35"/>
        <w:spacing w:line="360" w:lineRule="auto"/>
        <w:rPr>
          <w:rFonts w:hint="eastAsia" w:ascii="宋体" w:hAnsi="宋体" w:eastAsia="宋体" w:cs="宋体"/>
          <w:b/>
          <w:bCs/>
          <w:color w:val="auto"/>
          <w:sz w:val="24"/>
          <w:szCs w:val="24"/>
          <w:highlight w:val="none"/>
        </w:rPr>
      </w:pPr>
      <w:bookmarkStart w:id="521" w:name="_Toc152042356"/>
      <w:bookmarkStart w:id="522" w:name="_Toc22184"/>
      <w:bookmarkStart w:id="523" w:name="_Toc152045579"/>
      <w:bookmarkStart w:id="524" w:name="_Toc9882"/>
      <w:bookmarkStart w:id="525" w:name="_Toc26457"/>
      <w:bookmarkStart w:id="526" w:name="_Toc179632597"/>
      <w:bookmarkStart w:id="527" w:name="_Toc26391"/>
      <w:bookmarkStart w:id="528" w:name="_Toc28813"/>
      <w:bookmarkStart w:id="529" w:name="_Toc20458"/>
      <w:r>
        <w:rPr>
          <w:rFonts w:hint="eastAsia" w:ascii="宋体" w:hAnsi="宋体" w:eastAsia="宋体" w:cs="宋体"/>
          <w:b/>
          <w:bCs/>
          <w:color w:val="auto"/>
          <w:sz w:val="24"/>
          <w:szCs w:val="24"/>
          <w:highlight w:val="none"/>
        </w:rPr>
        <w:t>9.5 投诉</w:t>
      </w:r>
      <w:bookmarkEnd w:id="519"/>
      <w:bookmarkEnd w:id="521"/>
      <w:bookmarkEnd w:id="522"/>
      <w:bookmarkEnd w:id="523"/>
      <w:bookmarkEnd w:id="524"/>
      <w:bookmarkEnd w:id="525"/>
      <w:bookmarkEnd w:id="526"/>
      <w:bookmarkEnd w:id="527"/>
      <w:bookmarkEnd w:id="528"/>
      <w:bookmarkEnd w:id="529"/>
    </w:p>
    <w:p w14:paraId="2F6202F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本次招标投标活动及其相关当事人应当接受</w:t>
      </w:r>
      <w:r>
        <w:rPr>
          <w:rFonts w:hint="eastAsia" w:ascii="宋体" w:hAnsi="宋体" w:eastAsia="宋体" w:cs="宋体"/>
          <w:color w:val="auto"/>
          <w:spacing w:val="4"/>
          <w:kern w:val="0"/>
          <w:sz w:val="24"/>
          <w:szCs w:val="24"/>
          <w:highlight w:val="none"/>
        </w:rPr>
        <w:t>有关</w:t>
      </w:r>
      <w:r>
        <w:rPr>
          <w:rFonts w:hint="eastAsia" w:ascii="宋体" w:hAnsi="宋体" w:eastAsia="宋体" w:cs="宋体"/>
          <w:color w:val="auto"/>
          <w:sz w:val="24"/>
          <w:szCs w:val="24"/>
          <w:highlight w:val="none"/>
        </w:rPr>
        <w:t>监督部门依法实施的监督。</w:t>
      </w:r>
    </w:p>
    <w:p w14:paraId="2C3A522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和其他利害关系人认为本次招标活动违反法律、法规和规章规定的，有权自知道或者应当知道之日起10日内向有关行政监督部门投诉，其中对招标文件的内容、开标、评标结果进行投诉的，应当按本章第2.4款、第5.3款、第7.2款的规定先向招标人提出异议后，方可向有关行政监督部门投诉，异议答复期不计算在规定的投诉时效期限内。</w:t>
      </w:r>
    </w:p>
    <w:p w14:paraId="5C25F87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内容不得含有虚假、恶意成分。依照谁主张谁举证的原则，提出质疑者必须同时提交相关确凿证据材料和注明证据的确切来源，证据来源必须合法，招标代理机构有权将质疑函转发质疑事项各关联方，请其作出解释说明。对捏造事实，滥用维权扰乱招标秩序的恶意质疑者，成举证不全查无实据被驳回次数在一年内达三次以上者，将纳入不良行为记录名单并承当相应法律责任。</w:t>
      </w:r>
    </w:p>
    <w:p w14:paraId="54E2CEC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有关行政监督部门的联系方式见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3011D969">
      <w:pPr>
        <w:pStyle w:val="4"/>
        <w:spacing w:before="0" w:after="0" w:line="360" w:lineRule="auto"/>
        <w:jc w:val="left"/>
        <w:rPr>
          <w:rFonts w:hint="eastAsia" w:ascii="宋体" w:hAnsi="宋体" w:eastAsia="宋体" w:cs="宋体"/>
          <w:color w:val="auto"/>
          <w:sz w:val="24"/>
          <w:szCs w:val="24"/>
          <w:highlight w:val="none"/>
        </w:rPr>
      </w:pPr>
      <w:bookmarkStart w:id="530" w:name="_Toc8726"/>
      <w:bookmarkStart w:id="531" w:name="_Toc408773490"/>
      <w:bookmarkStart w:id="532" w:name="_Toc20086"/>
      <w:bookmarkStart w:id="533" w:name="_Toc152042357"/>
      <w:bookmarkStart w:id="534" w:name="_Toc778"/>
      <w:bookmarkStart w:id="535" w:name="_Toc11823"/>
      <w:bookmarkStart w:id="536" w:name="_Toc152045580"/>
      <w:bookmarkStart w:id="537" w:name="_Toc1323"/>
      <w:bookmarkStart w:id="538" w:name="_Toc23477"/>
      <w:bookmarkStart w:id="539" w:name="_Toc144974547"/>
      <w:bookmarkStart w:id="540" w:name="_Toc14796"/>
      <w:bookmarkStart w:id="541" w:name="_Toc179632598"/>
      <w:bookmarkStart w:id="542" w:name="_Toc27140"/>
      <w:bookmarkStart w:id="543" w:name="_Toc2922"/>
      <w:bookmarkStart w:id="544" w:name="_Toc4380"/>
      <w:r>
        <w:rPr>
          <w:rFonts w:hint="eastAsia" w:ascii="宋体" w:hAnsi="宋体" w:eastAsia="宋体" w:cs="宋体"/>
          <w:color w:val="auto"/>
          <w:sz w:val="24"/>
          <w:szCs w:val="24"/>
          <w:highlight w:val="none"/>
        </w:rPr>
        <w:t>10.需要补充的其他内容</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754FCA23">
      <w:pPr>
        <w:spacing w:line="360" w:lineRule="auto"/>
        <w:ind w:firstLine="480" w:firstLineChars="200"/>
        <w:rPr>
          <w:rFonts w:hint="eastAsia" w:ascii="宋体" w:hAnsi="宋体" w:eastAsia="宋体" w:cs="宋体"/>
          <w:b/>
          <w:bCs/>
          <w:color w:val="auto"/>
          <w:spacing w:val="12"/>
          <w:sz w:val="24"/>
          <w:szCs w:val="24"/>
          <w:highlight w:val="none"/>
        </w:rPr>
      </w:pPr>
      <w:bookmarkStart w:id="545" w:name="_Toc408773491"/>
      <w:r>
        <w:rPr>
          <w:rFonts w:hint="eastAsia" w:ascii="宋体" w:hAnsi="宋体" w:eastAsia="宋体" w:cs="宋体"/>
          <w:color w:val="auto"/>
          <w:sz w:val="24"/>
          <w:szCs w:val="24"/>
          <w:highlight w:val="none"/>
          <w:lang w:val="en-US" w:eastAsia="zh-CN"/>
        </w:rPr>
        <w:t>无</w:t>
      </w:r>
      <w:r>
        <w:rPr>
          <w:rFonts w:hint="eastAsia" w:ascii="宋体" w:hAnsi="宋体" w:eastAsia="宋体" w:cs="宋体"/>
          <w:color w:val="auto"/>
          <w:sz w:val="24"/>
          <w:szCs w:val="24"/>
          <w:highlight w:val="none"/>
        </w:rPr>
        <w:br w:type="page"/>
      </w:r>
      <w:r>
        <w:rPr>
          <w:rFonts w:hint="eastAsia" w:ascii="宋体" w:hAnsi="宋体" w:eastAsia="宋体" w:cs="宋体"/>
          <w:b/>
          <w:bCs/>
          <w:color w:val="auto"/>
          <w:spacing w:val="12"/>
          <w:sz w:val="24"/>
          <w:szCs w:val="24"/>
          <w:highlight w:val="none"/>
        </w:rPr>
        <w:t>附表一：招标文件澄清申请函</w:t>
      </w:r>
      <w:bookmarkEnd w:id="545"/>
    </w:p>
    <w:p w14:paraId="4EACC732">
      <w:pPr>
        <w:spacing w:line="360" w:lineRule="auto"/>
        <w:rPr>
          <w:rFonts w:hint="eastAsia" w:ascii="宋体" w:hAnsi="宋体" w:eastAsia="宋体" w:cs="宋体"/>
          <w:color w:val="auto"/>
          <w:sz w:val="24"/>
          <w:szCs w:val="24"/>
          <w:highlight w:val="none"/>
        </w:rPr>
      </w:pPr>
    </w:p>
    <w:p w14:paraId="75728D2B">
      <w:pPr>
        <w:spacing w:beforeLines="50" w:afterLines="50" w:line="360" w:lineRule="auto"/>
        <w:jc w:val="center"/>
        <w:rPr>
          <w:rFonts w:hint="eastAsia" w:ascii="宋体" w:hAnsi="宋体" w:eastAsia="宋体" w:cs="宋体"/>
          <w:color w:val="auto"/>
          <w:sz w:val="24"/>
          <w:szCs w:val="24"/>
          <w:highlight w:val="none"/>
        </w:rPr>
      </w:pPr>
    </w:p>
    <w:p w14:paraId="2133AE51">
      <w:pPr>
        <w:spacing w:beforeLines="50" w:afterLines="5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招标文件澄清申请函</w:t>
      </w:r>
    </w:p>
    <w:p w14:paraId="04422766">
      <w:pPr>
        <w:spacing w:line="360" w:lineRule="auto"/>
        <w:rPr>
          <w:rFonts w:hint="eastAsia" w:ascii="宋体" w:hAnsi="宋体" w:eastAsia="宋体" w:cs="宋体"/>
          <w:color w:val="auto"/>
          <w:sz w:val="24"/>
          <w:szCs w:val="24"/>
          <w:highlight w:val="none"/>
        </w:rPr>
      </w:pPr>
    </w:p>
    <w:p w14:paraId="3F3B88C7">
      <w:pPr>
        <w:spacing w:line="360" w:lineRule="auto"/>
        <w:ind w:firstLine="7080" w:firstLineChars="29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u w:val="single"/>
        </w:rPr>
        <w:t>　　</w:t>
      </w:r>
    </w:p>
    <w:p w14:paraId="52299526">
      <w:pPr>
        <w:spacing w:line="360" w:lineRule="auto"/>
        <w:ind w:firstLine="480" w:firstLineChars="200"/>
        <w:rPr>
          <w:rFonts w:hint="eastAsia" w:ascii="宋体" w:hAnsi="宋体" w:eastAsia="宋体" w:cs="宋体"/>
          <w:color w:val="auto"/>
          <w:sz w:val="24"/>
          <w:szCs w:val="24"/>
          <w:highlight w:val="none"/>
          <w:u w:val="single"/>
        </w:rPr>
      </w:pPr>
    </w:p>
    <w:p w14:paraId="68490CD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（招标人名称）：</w:t>
      </w:r>
    </w:p>
    <w:p w14:paraId="467C476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经过仔细阅读</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（标包号）招标文件后，我方申请对以下问题予以澄清：</w:t>
      </w:r>
    </w:p>
    <w:p w14:paraId="15C6CBF2">
      <w:pPr>
        <w:spacing w:line="360" w:lineRule="auto"/>
        <w:ind w:firstLine="120" w:firstLineChars="50"/>
        <w:rPr>
          <w:rFonts w:hint="eastAsia" w:ascii="宋体" w:hAnsi="宋体" w:eastAsia="宋体" w:cs="宋体"/>
          <w:color w:val="auto"/>
          <w:sz w:val="24"/>
          <w:szCs w:val="24"/>
          <w:highlight w:val="none"/>
        </w:rPr>
      </w:pPr>
      <w:bookmarkStart w:id="546" w:name="_Hlt269064826"/>
      <w:r>
        <w:rPr>
          <w:rFonts w:hint="eastAsia" w:ascii="宋体" w:hAnsi="宋体" w:eastAsia="宋体" w:cs="宋体"/>
          <w:color w:val="auto"/>
          <w:sz w:val="24"/>
          <w:szCs w:val="24"/>
          <w:highlight w:val="none"/>
        </w:rPr>
        <w:t>　1.……</w:t>
      </w:r>
    </w:p>
    <w:p w14:paraId="09DAA7A3">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p w14:paraId="5F0C93C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220C254">
      <w:pPr>
        <w:spacing w:line="360" w:lineRule="auto"/>
        <w:ind w:firstLine="480" w:firstLineChars="200"/>
        <w:rPr>
          <w:rFonts w:hint="eastAsia" w:ascii="宋体" w:hAnsi="宋体" w:eastAsia="宋体" w:cs="宋体"/>
          <w:color w:val="auto"/>
          <w:sz w:val="24"/>
          <w:szCs w:val="24"/>
          <w:highlight w:val="none"/>
        </w:rPr>
      </w:pPr>
    </w:p>
    <w:p w14:paraId="53E264BD">
      <w:pPr>
        <w:spacing w:line="360" w:lineRule="auto"/>
        <w:ind w:firstLine="480" w:firstLineChars="200"/>
        <w:rPr>
          <w:rFonts w:hint="eastAsia" w:ascii="宋体" w:hAnsi="宋体" w:eastAsia="宋体" w:cs="宋体"/>
          <w:color w:val="auto"/>
          <w:sz w:val="24"/>
          <w:szCs w:val="24"/>
          <w:highlight w:val="none"/>
        </w:rPr>
      </w:pPr>
    </w:p>
    <w:bookmarkEnd w:id="546"/>
    <w:p w14:paraId="21E7E575">
      <w:pPr>
        <w:wordWrap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：（盖单位章）</w:t>
      </w:r>
    </w:p>
    <w:p w14:paraId="3A7E8BD5">
      <w:pPr>
        <w:spacing w:line="360" w:lineRule="auto"/>
        <w:jc w:val="right"/>
        <w:rPr>
          <w:rFonts w:hint="eastAsia" w:ascii="宋体" w:hAnsi="宋体" w:eastAsia="宋体" w:cs="宋体"/>
          <w:color w:val="auto"/>
          <w:sz w:val="24"/>
          <w:szCs w:val="24"/>
          <w:highlight w:val="none"/>
        </w:rPr>
      </w:pPr>
    </w:p>
    <w:p w14:paraId="7589CD93">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年月日</w:t>
      </w:r>
    </w:p>
    <w:p w14:paraId="234C92A6">
      <w:pPr>
        <w:spacing w:line="360" w:lineRule="auto"/>
        <w:ind w:firstLine="480" w:firstLineChars="200"/>
        <w:rPr>
          <w:rFonts w:hint="eastAsia" w:ascii="宋体" w:hAnsi="宋体" w:eastAsia="宋体" w:cs="宋体"/>
          <w:color w:val="auto"/>
          <w:sz w:val="24"/>
          <w:szCs w:val="24"/>
          <w:highlight w:val="none"/>
        </w:rPr>
      </w:pPr>
    </w:p>
    <w:p w14:paraId="0DD64A4A">
      <w:pPr>
        <w:spacing w:line="360" w:lineRule="auto"/>
        <w:ind w:firstLine="480" w:firstLineChars="200"/>
        <w:rPr>
          <w:rFonts w:hint="eastAsia" w:ascii="宋体" w:hAnsi="宋体" w:eastAsia="宋体" w:cs="宋体"/>
          <w:color w:val="auto"/>
          <w:sz w:val="24"/>
          <w:szCs w:val="24"/>
          <w:highlight w:val="none"/>
        </w:rPr>
      </w:pPr>
    </w:p>
    <w:p w14:paraId="09A0BCB6">
      <w:pPr>
        <w:spacing w:line="360" w:lineRule="auto"/>
        <w:ind w:firstLine="480" w:firstLineChars="200"/>
        <w:rPr>
          <w:rFonts w:hint="eastAsia" w:ascii="宋体" w:hAnsi="宋体" w:eastAsia="宋体" w:cs="宋体"/>
          <w:color w:val="auto"/>
          <w:sz w:val="24"/>
          <w:szCs w:val="24"/>
          <w:highlight w:val="none"/>
        </w:rPr>
      </w:pPr>
    </w:p>
    <w:p w14:paraId="4E493948">
      <w:pPr>
        <w:spacing w:line="360" w:lineRule="auto"/>
        <w:ind w:firstLine="480" w:firstLineChars="200"/>
        <w:rPr>
          <w:rFonts w:hint="eastAsia" w:ascii="宋体" w:hAnsi="宋体" w:eastAsia="宋体" w:cs="宋体"/>
          <w:color w:val="auto"/>
          <w:sz w:val="24"/>
          <w:szCs w:val="24"/>
          <w:highlight w:val="none"/>
        </w:rPr>
      </w:pPr>
    </w:p>
    <w:p w14:paraId="0C7A7ACA">
      <w:pPr>
        <w:spacing w:line="360" w:lineRule="auto"/>
        <w:ind w:firstLine="480" w:firstLineChars="200"/>
        <w:rPr>
          <w:rFonts w:hint="eastAsia" w:ascii="宋体" w:hAnsi="宋体" w:eastAsia="宋体" w:cs="宋体"/>
          <w:color w:val="auto"/>
          <w:sz w:val="24"/>
          <w:szCs w:val="24"/>
          <w:highlight w:val="none"/>
        </w:rPr>
      </w:pPr>
    </w:p>
    <w:p w14:paraId="7AD37E3B">
      <w:pPr>
        <w:spacing w:line="360" w:lineRule="auto"/>
        <w:ind w:firstLine="480" w:firstLineChars="200"/>
        <w:rPr>
          <w:rFonts w:hint="eastAsia" w:ascii="宋体" w:hAnsi="宋体" w:eastAsia="宋体" w:cs="宋体"/>
          <w:color w:val="auto"/>
          <w:sz w:val="24"/>
          <w:szCs w:val="24"/>
          <w:highlight w:val="none"/>
        </w:rPr>
      </w:pPr>
    </w:p>
    <w:p w14:paraId="02FE6643">
      <w:pPr>
        <w:spacing w:line="360" w:lineRule="auto"/>
        <w:ind w:firstLine="480" w:firstLineChars="200"/>
        <w:rPr>
          <w:rFonts w:hint="eastAsia" w:ascii="宋体" w:hAnsi="宋体" w:eastAsia="宋体" w:cs="宋体"/>
          <w:color w:val="auto"/>
          <w:sz w:val="24"/>
          <w:szCs w:val="24"/>
          <w:highlight w:val="none"/>
        </w:rPr>
      </w:pPr>
    </w:p>
    <w:p w14:paraId="50D6C830">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要求招标人澄清招标文件有关问题时，适用于本格式</w:t>
      </w:r>
    </w:p>
    <w:p w14:paraId="7AE9A11F">
      <w:pPr>
        <w:jc w:val="center"/>
        <w:rPr>
          <w:rFonts w:hint="eastAsia" w:ascii="宋体" w:hAnsi="宋体" w:eastAsia="宋体" w:cs="宋体"/>
          <w:b w:val="0"/>
          <w:bCs w:val="0"/>
          <w:color w:val="auto"/>
          <w:sz w:val="24"/>
          <w:szCs w:val="2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0F89391">
      <w:pPr>
        <w:spacing w:line="460" w:lineRule="exact"/>
        <w:ind w:left="14" w:hanging="17" w:hangingChars="6"/>
        <w:jc w:val="center"/>
        <w:outlineLvl w:val="0"/>
        <w:rPr>
          <w:rFonts w:hint="eastAsia" w:ascii="宋体" w:hAnsi="宋体" w:eastAsia="宋体" w:cs="宋体"/>
          <w:color w:val="auto"/>
          <w:highlight w:val="none"/>
        </w:rPr>
      </w:pPr>
      <w:bookmarkStart w:id="547" w:name="_Toc18367"/>
      <w:bookmarkStart w:id="548" w:name="_Toc4962"/>
      <w:bookmarkStart w:id="549" w:name="_Toc22413"/>
      <w:r>
        <w:rPr>
          <w:rFonts w:hint="eastAsia" w:ascii="宋体" w:hAnsi="宋体" w:eastAsia="宋体" w:cs="宋体"/>
          <w:b/>
          <w:bCs/>
          <w:color w:val="auto"/>
          <w:sz w:val="28"/>
          <w:szCs w:val="28"/>
          <w:highlight w:val="none"/>
        </w:rPr>
        <w:t>第三章 招标要求</w:t>
      </w:r>
      <w:bookmarkEnd w:id="547"/>
      <w:bookmarkEnd w:id="548"/>
      <w:bookmarkEnd w:id="549"/>
    </w:p>
    <w:p w14:paraId="32A27DC2">
      <w:pPr>
        <w:pStyle w:val="4"/>
        <w:bidi w:val="0"/>
        <w:jc w:val="both"/>
        <w:rPr>
          <w:rFonts w:hint="eastAsia" w:ascii="宋体" w:hAnsi="宋体" w:eastAsia="宋体" w:cs="宋体"/>
          <w:color w:val="auto"/>
          <w:highlight w:val="none"/>
          <w:lang w:val="en-US" w:eastAsia="zh-CN"/>
        </w:rPr>
      </w:pPr>
      <w:bookmarkStart w:id="550" w:name="_Toc32438"/>
      <w:bookmarkStart w:id="551" w:name="_Toc77"/>
      <w:bookmarkStart w:id="552" w:name="_Toc21242"/>
      <w:r>
        <w:rPr>
          <w:rFonts w:hint="eastAsia" w:ascii="宋体" w:hAnsi="宋体" w:eastAsia="宋体" w:cs="宋体"/>
          <w:color w:val="auto"/>
          <w:highlight w:val="none"/>
          <w:lang w:val="en-US" w:eastAsia="zh-CN"/>
        </w:rPr>
        <w:t>一、招标内容</w:t>
      </w:r>
      <w:bookmarkEnd w:id="550"/>
      <w:bookmarkEnd w:id="551"/>
      <w:bookmarkEnd w:id="552"/>
    </w:p>
    <w:p w14:paraId="4E3BEEBB">
      <w:pPr>
        <w:keepNext/>
        <w:keepLines/>
        <w:adjustRightInd w:val="0"/>
        <w:spacing w:before="120" w:after="12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本项目为宣恩仙山贡水商贸有限公司供应商遴选建库项目，共分为七个标包，具体内容如下：</w:t>
      </w:r>
    </w:p>
    <w:tbl>
      <w:tblPr>
        <w:tblStyle w:val="23"/>
        <w:tblW w:w="82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9"/>
        <w:gridCol w:w="1979"/>
        <w:gridCol w:w="2800"/>
        <w:gridCol w:w="2170"/>
      </w:tblGrid>
      <w:tr w14:paraId="39EA2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882EE">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标包</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A0753">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建库名称</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03CE">
            <w:pPr>
              <w:keepNext w:val="0"/>
              <w:keepLines w:val="0"/>
              <w:pageBreakBefore w:val="0"/>
              <w:kinsoku/>
              <w:wordWrap/>
              <w:overflowPunct/>
              <w:topLinePunct w:val="0"/>
              <w:autoSpaceDE/>
              <w:autoSpaceDN/>
              <w:bidi w:val="0"/>
              <w:adjustRightInd/>
              <w:snapToGrid/>
              <w:spacing w:line="440" w:lineRule="exact"/>
              <w:jc w:val="left"/>
              <w:outlineLvl w:val="9"/>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拟建库分类及</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928D6">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供应商数量</w:t>
            </w:r>
          </w:p>
        </w:tc>
      </w:tr>
      <w:tr w14:paraId="4172D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59" w:type="dxa"/>
            <w:vMerge w:val="restart"/>
            <w:tcBorders>
              <w:left w:val="single" w:color="000000" w:sz="4" w:space="0"/>
              <w:right w:val="single" w:color="000000" w:sz="4" w:space="0"/>
            </w:tcBorders>
            <w:shd w:val="clear" w:color="auto" w:fill="auto"/>
            <w:noWrap/>
            <w:vAlign w:val="center"/>
          </w:tcPr>
          <w:p w14:paraId="5D07B306">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第一包</w:t>
            </w:r>
          </w:p>
        </w:tc>
        <w:tc>
          <w:tcPr>
            <w:tcW w:w="1979" w:type="dxa"/>
            <w:vMerge w:val="restart"/>
            <w:tcBorders>
              <w:left w:val="single" w:color="000000" w:sz="4" w:space="0"/>
              <w:right w:val="single" w:color="auto" w:sz="4" w:space="0"/>
            </w:tcBorders>
            <w:shd w:val="clear" w:color="auto" w:fill="auto"/>
            <w:noWrap/>
            <w:vAlign w:val="center"/>
          </w:tcPr>
          <w:p w14:paraId="5243C5CC">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食材类</w:t>
            </w:r>
          </w:p>
        </w:tc>
        <w:tc>
          <w:tcPr>
            <w:tcW w:w="280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2707B679">
            <w:pPr>
              <w:keepNext w:val="0"/>
              <w:keepLines w:val="0"/>
              <w:pageBreakBefore w:val="0"/>
              <w:kinsoku/>
              <w:wordWrap/>
              <w:overflowPunct/>
              <w:topLinePunct w:val="0"/>
              <w:autoSpaceDE/>
              <w:autoSpaceDN/>
              <w:bidi w:val="0"/>
              <w:adjustRightInd/>
              <w:snapToGrid/>
              <w:spacing w:line="440" w:lineRule="exac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1.米面油 </w:t>
            </w:r>
          </w:p>
        </w:tc>
        <w:tc>
          <w:tcPr>
            <w:tcW w:w="217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BB823DC">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（30家）</w:t>
            </w:r>
          </w:p>
        </w:tc>
      </w:tr>
      <w:tr w14:paraId="3408E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259" w:type="dxa"/>
            <w:vMerge w:val="continue"/>
            <w:tcBorders>
              <w:left w:val="single" w:color="000000" w:sz="4" w:space="0"/>
              <w:right w:val="single" w:color="000000" w:sz="4" w:space="0"/>
            </w:tcBorders>
            <w:shd w:val="clear" w:color="auto" w:fill="auto"/>
            <w:noWrap/>
            <w:vAlign w:val="center"/>
          </w:tcPr>
          <w:p w14:paraId="7BA7CB17">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1979" w:type="dxa"/>
            <w:vMerge w:val="continue"/>
            <w:tcBorders>
              <w:left w:val="single" w:color="000000" w:sz="4" w:space="0"/>
              <w:right w:val="single" w:color="auto" w:sz="4" w:space="0"/>
            </w:tcBorders>
            <w:shd w:val="clear" w:color="auto" w:fill="auto"/>
            <w:noWrap/>
            <w:vAlign w:val="center"/>
          </w:tcPr>
          <w:p w14:paraId="5677412D">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280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4561A0A6">
            <w:pPr>
              <w:keepNext w:val="0"/>
              <w:keepLines w:val="0"/>
              <w:pageBreakBefore w:val="0"/>
              <w:kinsoku/>
              <w:wordWrap/>
              <w:overflowPunct/>
              <w:topLinePunct w:val="0"/>
              <w:autoSpaceDE/>
              <w:autoSpaceDN/>
              <w:bidi w:val="0"/>
              <w:adjustRightInd/>
              <w:snapToGrid/>
              <w:spacing w:line="440" w:lineRule="exac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2.肉类</w:t>
            </w:r>
          </w:p>
        </w:tc>
        <w:tc>
          <w:tcPr>
            <w:tcW w:w="217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7EBF47A">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（30家）</w:t>
            </w:r>
          </w:p>
        </w:tc>
      </w:tr>
      <w:tr w14:paraId="3C312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259" w:type="dxa"/>
            <w:vMerge w:val="continue"/>
            <w:tcBorders>
              <w:left w:val="single" w:color="000000" w:sz="4" w:space="0"/>
              <w:right w:val="single" w:color="000000" w:sz="4" w:space="0"/>
            </w:tcBorders>
            <w:shd w:val="clear" w:color="auto" w:fill="auto"/>
            <w:noWrap/>
            <w:vAlign w:val="center"/>
          </w:tcPr>
          <w:p w14:paraId="20A8542F">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1979" w:type="dxa"/>
            <w:vMerge w:val="continue"/>
            <w:tcBorders>
              <w:left w:val="single" w:color="000000" w:sz="4" w:space="0"/>
              <w:right w:val="single" w:color="auto" w:sz="4" w:space="0"/>
            </w:tcBorders>
            <w:shd w:val="clear" w:color="auto" w:fill="auto"/>
            <w:noWrap/>
            <w:vAlign w:val="center"/>
          </w:tcPr>
          <w:p w14:paraId="66B8E53B">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280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627D39F9">
            <w:pPr>
              <w:keepNext w:val="0"/>
              <w:keepLines w:val="0"/>
              <w:pageBreakBefore w:val="0"/>
              <w:kinsoku/>
              <w:wordWrap/>
              <w:overflowPunct/>
              <w:topLinePunct w:val="0"/>
              <w:autoSpaceDE/>
              <w:autoSpaceDN/>
              <w:bidi w:val="0"/>
              <w:adjustRightInd/>
              <w:snapToGrid/>
              <w:spacing w:line="440" w:lineRule="exac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3.冻品  </w:t>
            </w:r>
          </w:p>
        </w:tc>
        <w:tc>
          <w:tcPr>
            <w:tcW w:w="217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E1B185B">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（30家）</w:t>
            </w:r>
          </w:p>
        </w:tc>
      </w:tr>
      <w:tr w14:paraId="4E4FC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259" w:type="dxa"/>
            <w:vMerge w:val="continue"/>
            <w:tcBorders>
              <w:left w:val="single" w:color="000000" w:sz="4" w:space="0"/>
              <w:right w:val="single" w:color="000000" w:sz="4" w:space="0"/>
            </w:tcBorders>
            <w:shd w:val="clear" w:color="auto" w:fill="auto"/>
            <w:noWrap/>
            <w:vAlign w:val="center"/>
          </w:tcPr>
          <w:p w14:paraId="1B1AA44D">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1979" w:type="dxa"/>
            <w:vMerge w:val="continue"/>
            <w:tcBorders>
              <w:left w:val="single" w:color="000000" w:sz="4" w:space="0"/>
              <w:right w:val="single" w:color="auto" w:sz="4" w:space="0"/>
            </w:tcBorders>
            <w:shd w:val="clear" w:color="auto" w:fill="auto"/>
            <w:noWrap/>
            <w:vAlign w:val="center"/>
          </w:tcPr>
          <w:p w14:paraId="63A8D75B">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280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0D829945">
            <w:pPr>
              <w:keepNext w:val="0"/>
              <w:keepLines w:val="0"/>
              <w:pageBreakBefore w:val="0"/>
              <w:kinsoku/>
              <w:wordWrap/>
              <w:overflowPunct/>
              <w:topLinePunct w:val="0"/>
              <w:autoSpaceDE/>
              <w:autoSpaceDN/>
              <w:bidi w:val="0"/>
              <w:adjustRightInd/>
              <w:snapToGrid/>
              <w:spacing w:line="440" w:lineRule="exac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4.水产</w:t>
            </w:r>
          </w:p>
        </w:tc>
        <w:tc>
          <w:tcPr>
            <w:tcW w:w="217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87B95C6">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（30家）</w:t>
            </w:r>
          </w:p>
        </w:tc>
      </w:tr>
      <w:tr w14:paraId="478AD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259" w:type="dxa"/>
            <w:vMerge w:val="continue"/>
            <w:tcBorders>
              <w:left w:val="single" w:color="000000" w:sz="4" w:space="0"/>
              <w:right w:val="single" w:color="000000" w:sz="4" w:space="0"/>
            </w:tcBorders>
            <w:shd w:val="clear" w:color="auto" w:fill="auto"/>
            <w:noWrap/>
            <w:vAlign w:val="center"/>
          </w:tcPr>
          <w:p w14:paraId="136DE402">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1979" w:type="dxa"/>
            <w:vMerge w:val="continue"/>
            <w:tcBorders>
              <w:left w:val="single" w:color="000000" w:sz="4" w:space="0"/>
              <w:right w:val="single" w:color="auto" w:sz="4" w:space="0"/>
            </w:tcBorders>
            <w:shd w:val="clear" w:color="auto" w:fill="auto"/>
            <w:noWrap/>
            <w:vAlign w:val="center"/>
          </w:tcPr>
          <w:p w14:paraId="3DEE1760">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280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2ACBA4FC">
            <w:pPr>
              <w:keepNext w:val="0"/>
              <w:keepLines w:val="0"/>
              <w:pageBreakBefore w:val="0"/>
              <w:kinsoku/>
              <w:wordWrap/>
              <w:overflowPunct/>
              <w:topLinePunct w:val="0"/>
              <w:autoSpaceDE/>
              <w:autoSpaceDN/>
              <w:bidi w:val="0"/>
              <w:adjustRightInd/>
              <w:snapToGrid/>
              <w:spacing w:line="440" w:lineRule="exac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5.蔬菜 </w:t>
            </w:r>
          </w:p>
        </w:tc>
        <w:tc>
          <w:tcPr>
            <w:tcW w:w="217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557E7EB">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（50家）</w:t>
            </w:r>
          </w:p>
        </w:tc>
      </w:tr>
      <w:tr w14:paraId="4D919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atLeast"/>
        </w:trPr>
        <w:tc>
          <w:tcPr>
            <w:tcW w:w="1259" w:type="dxa"/>
            <w:vMerge w:val="continue"/>
            <w:tcBorders>
              <w:left w:val="single" w:color="000000" w:sz="4" w:space="0"/>
              <w:right w:val="single" w:color="000000" w:sz="4" w:space="0"/>
            </w:tcBorders>
            <w:shd w:val="clear" w:color="auto" w:fill="auto"/>
            <w:noWrap/>
            <w:vAlign w:val="center"/>
          </w:tcPr>
          <w:p w14:paraId="07BE49B3">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1979" w:type="dxa"/>
            <w:vMerge w:val="continue"/>
            <w:tcBorders>
              <w:left w:val="single" w:color="000000" w:sz="4" w:space="0"/>
              <w:right w:val="single" w:color="auto" w:sz="4" w:space="0"/>
            </w:tcBorders>
            <w:shd w:val="clear" w:color="auto" w:fill="auto"/>
            <w:noWrap/>
            <w:vAlign w:val="center"/>
          </w:tcPr>
          <w:p w14:paraId="57268DD5">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280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2728E02A">
            <w:pPr>
              <w:keepNext w:val="0"/>
              <w:keepLines w:val="0"/>
              <w:pageBreakBefore w:val="0"/>
              <w:kinsoku/>
              <w:wordWrap/>
              <w:overflowPunct/>
              <w:topLinePunct w:val="0"/>
              <w:autoSpaceDE/>
              <w:autoSpaceDN/>
              <w:bidi w:val="0"/>
              <w:adjustRightInd/>
              <w:snapToGrid/>
              <w:spacing w:line="440" w:lineRule="exac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6.干调 </w:t>
            </w:r>
          </w:p>
        </w:tc>
        <w:tc>
          <w:tcPr>
            <w:tcW w:w="217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ED06A02">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（30家）</w:t>
            </w:r>
          </w:p>
        </w:tc>
      </w:tr>
      <w:tr w14:paraId="69220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259" w:type="dxa"/>
            <w:vMerge w:val="continue"/>
            <w:tcBorders>
              <w:left w:val="single" w:color="000000" w:sz="4" w:space="0"/>
              <w:right w:val="single" w:color="000000" w:sz="4" w:space="0"/>
            </w:tcBorders>
            <w:shd w:val="clear" w:color="auto" w:fill="auto"/>
            <w:noWrap/>
            <w:vAlign w:val="center"/>
          </w:tcPr>
          <w:p w14:paraId="505D9D3F">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1979" w:type="dxa"/>
            <w:vMerge w:val="continue"/>
            <w:tcBorders>
              <w:left w:val="single" w:color="000000" w:sz="4" w:space="0"/>
              <w:right w:val="single" w:color="auto" w:sz="4" w:space="0"/>
            </w:tcBorders>
            <w:shd w:val="clear" w:color="auto" w:fill="auto"/>
            <w:noWrap/>
            <w:vAlign w:val="center"/>
          </w:tcPr>
          <w:p w14:paraId="3FA4F795">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280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28530932">
            <w:pPr>
              <w:keepNext w:val="0"/>
              <w:keepLines w:val="0"/>
              <w:pageBreakBefore w:val="0"/>
              <w:kinsoku/>
              <w:wordWrap/>
              <w:overflowPunct/>
              <w:topLinePunct w:val="0"/>
              <w:autoSpaceDE/>
              <w:autoSpaceDN/>
              <w:bidi w:val="0"/>
              <w:adjustRightInd/>
              <w:snapToGrid/>
              <w:spacing w:line="440" w:lineRule="exac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7.水果 </w:t>
            </w:r>
          </w:p>
        </w:tc>
        <w:tc>
          <w:tcPr>
            <w:tcW w:w="217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3819FAC">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（30家）</w:t>
            </w:r>
          </w:p>
        </w:tc>
      </w:tr>
      <w:tr w14:paraId="07E28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259" w:type="dxa"/>
            <w:vMerge w:val="continue"/>
            <w:tcBorders>
              <w:left w:val="single" w:color="000000" w:sz="4" w:space="0"/>
              <w:right w:val="single" w:color="000000" w:sz="4" w:space="0"/>
            </w:tcBorders>
            <w:shd w:val="clear" w:color="auto" w:fill="auto"/>
            <w:noWrap/>
            <w:vAlign w:val="center"/>
          </w:tcPr>
          <w:p w14:paraId="275263E4">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1979" w:type="dxa"/>
            <w:vMerge w:val="continue"/>
            <w:tcBorders>
              <w:left w:val="single" w:color="000000" w:sz="4" w:space="0"/>
              <w:right w:val="single" w:color="auto" w:sz="4" w:space="0"/>
            </w:tcBorders>
            <w:shd w:val="clear" w:color="auto" w:fill="auto"/>
            <w:noWrap/>
            <w:vAlign w:val="center"/>
          </w:tcPr>
          <w:p w14:paraId="0A94FC3F">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280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2404D985">
            <w:pPr>
              <w:keepNext w:val="0"/>
              <w:keepLines w:val="0"/>
              <w:pageBreakBefore w:val="0"/>
              <w:kinsoku/>
              <w:wordWrap/>
              <w:overflowPunct/>
              <w:topLinePunct w:val="0"/>
              <w:autoSpaceDE/>
              <w:autoSpaceDN/>
              <w:bidi w:val="0"/>
              <w:adjustRightInd/>
              <w:snapToGrid/>
              <w:spacing w:line="440" w:lineRule="exac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8.甜品糕点 </w:t>
            </w:r>
          </w:p>
        </w:tc>
        <w:tc>
          <w:tcPr>
            <w:tcW w:w="217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D3A0503">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（10家）</w:t>
            </w:r>
          </w:p>
        </w:tc>
      </w:tr>
      <w:tr w14:paraId="7A644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259" w:type="dxa"/>
            <w:vMerge w:val="continue"/>
            <w:tcBorders>
              <w:left w:val="single" w:color="000000" w:sz="4" w:space="0"/>
              <w:right w:val="single" w:color="000000" w:sz="4" w:space="0"/>
            </w:tcBorders>
            <w:shd w:val="clear" w:color="auto" w:fill="auto"/>
            <w:noWrap/>
            <w:vAlign w:val="center"/>
          </w:tcPr>
          <w:p w14:paraId="052D964A">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1979" w:type="dxa"/>
            <w:vMerge w:val="continue"/>
            <w:tcBorders>
              <w:left w:val="single" w:color="000000" w:sz="4" w:space="0"/>
              <w:right w:val="single" w:color="auto" w:sz="4" w:space="0"/>
            </w:tcBorders>
            <w:shd w:val="clear" w:color="auto" w:fill="auto"/>
            <w:noWrap/>
            <w:vAlign w:val="center"/>
          </w:tcPr>
          <w:p w14:paraId="0CB747B6">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280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377CE580">
            <w:pPr>
              <w:keepNext w:val="0"/>
              <w:keepLines w:val="0"/>
              <w:pageBreakBefore w:val="0"/>
              <w:kinsoku/>
              <w:wordWrap/>
              <w:overflowPunct/>
              <w:topLinePunct w:val="0"/>
              <w:autoSpaceDE/>
              <w:autoSpaceDN/>
              <w:bidi w:val="0"/>
              <w:adjustRightInd/>
              <w:snapToGrid/>
              <w:spacing w:line="440" w:lineRule="exac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9.豆制品</w:t>
            </w:r>
          </w:p>
        </w:tc>
        <w:tc>
          <w:tcPr>
            <w:tcW w:w="217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20E75C8">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（5家）</w:t>
            </w:r>
          </w:p>
        </w:tc>
      </w:tr>
      <w:tr w14:paraId="320E4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259" w:type="dxa"/>
            <w:vMerge w:val="continue"/>
            <w:tcBorders>
              <w:left w:val="single" w:color="000000" w:sz="4" w:space="0"/>
              <w:right w:val="single" w:color="000000" w:sz="4" w:space="0"/>
            </w:tcBorders>
            <w:shd w:val="clear" w:color="auto" w:fill="auto"/>
            <w:noWrap/>
            <w:vAlign w:val="center"/>
          </w:tcPr>
          <w:p w14:paraId="25BA6F05">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1979" w:type="dxa"/>
            <w:vMerge w:val="continue"/>
            <w:tcBorders>
              <w:left w:val="single" w:color="000000" w:sz="4" w:space="0"/>
              <w:right w:val="single" w:color="auto" w:sz="4" w:space="0"/>
            </w:tcBorders>
            <w:shd w:val="clear" w:color="auto" w:fill="auto"/>
            <w:noWrap/>
            <w:vAlign w:val="center"/>
          </w:tcPr>
          <w:p w14:paraId="7C21730E">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280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349A43C6">
            <w:pPr>
              <w:keepNext w:val="0"/>
              <w:keepLines w:val="0"/>
              <w:pageBreakBefore w:val="0"/>
              <w:kinsoku/>
              <w:wordWrap/>
              <w:overflowPunct/>
              <w:topLinePunct w:val="0"/>
              <w:autoSpaceDE/>
              <w:autoSpaceDN/>
              <w:bidi w:val="0"/>
              <w:adjustRightInd/>
              <w:snapToGrid/>
              <w:spacing w:line="440" w:lineRule="exac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10.奶制品 </w:t>
            </w:r>
          </w:p>
        </w:tc>
        <w:tc>
          <w:tcPr>
            <w:tcW w:w="217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E46226D">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（10家）</w:t>
            </w:r>
          </w:p>
        </w:tc>
      </w:tr>
      <w:tr w14:paraId="7E80B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59" w:type="dxa"/>
            <w:vMerge w:val="continue"/>
            <w:tcBorders>
              <w:left w:val="single" w:color="000000" w:sz="4" w:space="0"/>
              <w:right w:val="single" w:color="000000" w:sz="4" w:space="0"/>
            </w:tcBorders>
            <w:shd w:val="clear" w:color="auto" w:fill="auto"/>
            <w:noWrap/>
            <w:vAlign w:val="center"/>
          </w:tcPr>
          <w:p w14:paraId="06CF2296">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1979" w:type="dxa"/>
            <w:vMerge w:val="continue"/>
            <w:tcBorders>
              <w:left w:val="single" w:color="000000" w:sz="4" w:space="0"/>
              <w:right w:val="single" w:color="000000" w:sz="4" w:space="0"/>
            </w:tcBorders>
            <w:shd w:val="clear" w:color="auto" w:fill="auto"/>
            <w:noWrap/>
            <w:vAlign w:val="center"/>
          </w:tcPr>
          <w:p w14:paraId="5B5DDF49">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280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D784B74">
            <w:pPr>
              <w:keepNext w:val="0"/>
              <w:keepLines w:val="0"/>
              <w:pageBreakBefore w:val="0"/>
              <w:kinsoku/>
              <w:wordWrap/>
              <w:overflowPunct/>
              <w:topLinePunct w:val="0"/>
              <w:autoSpaceDE/>
              <w:autoSpaceDN/>
              <w:bidi w:val="0"/>
              <w:adjustRightInd/>
              <w:snapToGrid/>
              <w:spacing w:line="440" w:lineRule="exac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11.蛋类</w:t>
            </w:r>
          </w:p>
        </w:tc>
        <w:tc>
          <w:tcPr>
            <w:tcW w:w="217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EA1F33D">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（10家）</w:t>
            </w:r>
          </w:p>
        </w:tc>
      </w:tr>
      <w:tr w14:paraId="69DA9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259" w:type="dxa"/>
            <w:vMerge w:val="continue"/>
            <w:tcBorders>
              <w:left w:val="single" w:color="000000" w:sz="4" w:space="0"/>
              <w:bottom w:val="single" w:color="000000" w:sz="4" w:space="0"/>
              <w:right w:val="single" w:color="000000" w:sz="4" w:space="0"/>
            </w:tcBorders>
            <w:shd w:val="clear" w:color="auto" w:fill="auto"/>
            <w:noWrap/>
            <w:vAlign w:val="center"/>
          </w:tcPr>
          <w:p w14:paraId="60D8E576">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1979" w:type="dxa"/>
            <w:vMerge w:val="continue"/>
            <w:tcBorders>
              <w:left w:val="single" w:color="000000" w:sz="4" w:space="0"/>
              <w:bottom w:val="single" w:color="000000" w:sz="4" w:space="0"/>
              <w:right w:val="single" w:color="000000" w:sz="4" w:space="0"/>
            </w:tcBorders>
            <w:shd w:val="clear" w:color="auto" w:fill="auto"/>
            <w:noWrap/>
            <w:vAlign w:val="center"/>
          </w:tcPr>
          <w:p w14:paraId="62EDCB91">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280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88A8F76">
            <w:pPr>
              <w:keepNext w:val="0"/>
              <w:keepLines w:val="0"/>
              <w:pageBreakBefore w:val="0"/>
              <w:kinsoku/>
              <w:wordWrap/>
              <w:overflowPunct/>
              <w:topLinePunct w:val="0"/>
              <w:autoSpaceDE/>
              <w:autoSpaceDN/>
              <w:bidi w:val="0"/>
              <w:adjustRightInd/>
              <w:snapToGrid/>
              <w:spacing w:line="440" w:lineRule="exac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12.面食 </w:t>
            </w:r>
          </w:p>
        </w:tc>
        <w:tc>
          <w:tcPr>
            <w:tcW w:w="217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54FC3AC">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（5家）</w:t>
            </w:r>
          </w:p>
        </w:tc>
      </w:tr>
      <w:tr w14:paraId="257F7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259" w:type="dxa"/>
            <w:vMerge w:val="continue"/>
            <w:tcBorders>
              <w:left w:val="single" w:color="000000" w:sz="4" w:space="0"/>
              <w:bottom w:val="single" w:color="auto" w:sz="4" w:space="0"/>
              <w:right w:val="single" w:color="000000" w:sz="4" w:space="0"/>
            </w:tcBorders>
            <w:shd w:val="clear" w:color="auto" w:fill="auto"/>
            <w:noWrap/>
            <w:vAlign w:val="center"/>
          </w:tcPr>
          <w:p w14:paraId="0C78F751">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1979" w:type="dxa"/>
            <w:vMerge w:val="continue"/>
            <w:tcBorders>
              <w:left w:val="single" w:color="000000" w:sz="4" w:space="0"/>
              <w:bottom w:val="single" w:color="auto" w:sz="4" w:space="0"/>
              <w:right w:val="single" w:color="000000" w:sz="4" w:space="0"/>
            </w:tcBorders>
            <w:shd w:val="clear" w:color="auto" w:fill="auto"/>
            <w:noWrap/>
            <w:vAlign w:val="center"/>
          </w:tcPr>
          <w:p w14:paraId="18D28D5D">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280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3F06390">
            <w:pPr>
              <w:keepNext w:val="0"/>
              <w:keepLines w:val="0"/>
              <w:pageBreakBefore w:val="0"/>
              <w:kinsoku/>
              <w:wordWrap/>
              <w:overflowPunct/>
              <w:topLinePunct w:val="0"/>
              <w:autoSpaceDE/>
              <w:autoSpaceDN/>
              <w:bidi w:val="0"/>
              <w:adjustRightInd/>
              <w:snapToGrid/>
              <w:spacing w:line="440" w:lineRule="exac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13.腊制品 </w:t>
            </w:r>
          </w:p>
        </w:tc>
        <w:tc>
          <w:tcPr>
            <w:tcW w:w="217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80AF5F6">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（5家）</w:t>
            </w:r>
          </w:p>
        </w:tc>
      </w:tr>
      <w:tr w14:paraId="74C25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9" w:type="dxa"/>
            <w:vMerge w:val="restart"/>
            <w:tcBorders>
              <w:top w:val="single" w:color="auto" w:sz="4" w:space="0"/>
              <w:left w:val="single" w:color="auto" w:sz="4" w:space="0"/>
              <w:bottom w:val="single" w:color="auto" w:sz="4" w:space="0"/>
              <w:right w:val="single" w:color="000000" w:sz="4" w:space="0"/>
            </w:tcBorders>
            <w:shd w:val="clear" w:color="auto" w:fill="auto"/>
            <w:noWrap/>
            <w:vAlign w:val="center"/>
          </w:tcPr>
          <w:p w14:paraId="0CEF3C97">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第二包</w:t>
            </w:r>
          </w:p>
        </w:tc>
        <w:tc>
          <w:tcPr>
            <w:tcW w:w="1979" w:type="dxa"/>
            <w:vMerge w:val="restart"/>
            <w:tcBorders>
              <w:top w:val="single" w:color="auto" w:sz="4" w:space="0"/>
              <w:left w:val="single" w:color="000000" w:sz="4" w:space="0"/>
              <w:bottom w:val="single" w:color="auto" w:sz="4" w:space="0"/>
              <w:right w:val="single" w:color="auto" w:sz="4" w:space="0"/>
            </w:tcBorders>
            <w:shd w:val="clear" w:color="auto" w:fill="auto"/>
            <w:noWrap/>
            <w:vAlign w:val="center"/>
          </w:tcPr>
          <w:p w14:paraId="296716BA">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建材类</w:t>
            </w:r>
          </w:p>
        </w:tc>
        <w:tc>
          <w:tcPr>
            <w:tcW w:w="2800"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26AADF58">
            <w:pPr>
              <w:keepNext w:val="0"/>
              <w:keepLines w:val="0"/>
              <w:pageBreakBefore w:val="0"/>
              <w:numPr>
                <w:ilvl w:val="0"/>
                <w:numId w:val="0"/>
              </w:numPr>
              <w:kinsoku/>
              <w:wordWrap/>
              <w:overflowPunct/>
              <w:topLinePunct w:val="0"/>
              <w:autoSpaceDE/>
              <w:autoSpaceDN/>
              <w:bidi w:val="0"/>
              <w:adjustRightInd/>
              <w:snapToGrid/>
              <w:spacing w:line="440" w:lineRule="exact"/>
              <w:jc w:val="lef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1.水泥                            </w:t>
            </w:r>
          </w:p>
        </w:tc>
        <w:tc>
          <w:tcPr>
            <w:tcW w:w="217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65F2D5F">
            <w:pPr>
              <w:keepNext w:val="0"/>
              <w:keepLines w:val="0"/>
              <w:pageBreakBefore w:val="0"/>
              <w:numPr>
                <w:ilvl w:val="0"/>
                <w:numId w:val="0"/>
              </w:numPr>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（5家）</w:t>
            </w:r>
          </w:p>
        </w:tc>
      </w:tr>
      <w:tr w14:paraId="1CC3B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1259"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6CE0E503">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1979"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467C6A64">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280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3AAA3A59">
            <w:pPr>
              <w:keepNext w:val="0"/>
              <w:keepLines w:val="0"/>
              <w:pageBreakBefore w:val="0"/>
              <w:numPr>
                <w:ilvl w:val="0"/>
                <w:numId w:val="0"/>
              </w:numPr>
              <w:kinsoku/>
              <w:wordWrap/>
              <w:overflowPunct/>
              <w:topLinePunct w:val="0"/>
              <w:autoSpaceDE/>
              <w:autoSpaceDN/>
              <w:bidi w:val="0"/>
              <w:adjustRightInd/>
              <w:snapToGrid/>
              <w:spacing w:line="440" w:lineRule="exact"/>
              <w:jc w:val="lef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2.商砼</w:t>
            </w:r>
          </w:p>
        </w:tc>
        <w:tc>
          <w:tcPr>
            <w:tcW w:w="217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39F885D">
            <w:pPr>
              <w:keepNext w:val="0"/>
              <w:keepLines w:val="0"/>
              <w:pageBreakBefore w:val="0"/>
              <w:numPr>
                <w:ilvl w:val="0"/>
                <w:numId w:val="0"/>
              </w:numPr>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（5家）</w:t>
            </w:r>
          </w:p>
        </w:tc>
      </w:tr>
      <w:tr w14:paraId="1FB4A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9"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449347F8">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1979"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37EF23EC">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280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633FE05E">
            <w:pPr>
              <w:keepNext w:val="0"/>
              <w:keepLines w:val="0"/>
              <w:pageBreakBefore w:val="0"/>
              <w:numPr>
                <w:ilvl w:val="0"/>
                <w:numId w:val="0"/>
              </w:numPr>
              <w:kinsoku/>
              <w:wordWrap/>
              <w:overflowPunct/>
              <w:topLinePunct w:val="0"/>
              <w:autoSpaceDE/>
              <w:autoSpaceDN/>
              <w:bidi w:val="0"/>
              <w:adjustRightInd/>
              <w:snapToGrid/>
              <w:spacing w:line="440" w:lineRule="exact"/>
              <w:jc w:val="lef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3.钢材  </w:t>
            </w:r>
          </w:p>
        </w:tc>
        <w:tc>
          <w:tcPr>
            <w:tcW w:w="217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4CC05FC">
            <w:pPr>
              <w:keepNext w:val="0"/>
              <w:keepLines w:val="0"/>
              <w:pageBreakBefore w:val="0"/>
              <w:numPr>
                <w:ilvl w:val="0"/>
                <w:numId w:val="0"/>
              </w:numPr>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（10家）</w:t>
            </w:r>
          </w:p>
        </w:tc>
      </w:tr>
      <w:tr w14:paraId="015E1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259"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55AD6DB6">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1979"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25310A95">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280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470AD21B">
            <w:pPr>
              <w:keepNext w:val="0"/>
              <w:keepLines w:val="0"/>
              <w:pageBreakBefore w:val="0"/>
              <w:numPr>
                <w:ilvl w:val="0"/>
                <w:numId w:val="0"/>
              </w:numPr>
              <w:kinsoku/>
              <w:wordWrap/>
              <w:overflowPunct/>
              <w:topLinePunct w:val="0"/>
              <w:autoSpaceDE/>
              <w:autoSpaceDN/>
              <w:bidi w:val="0"/>
              <w:adjustRightInd/>
              <w:snapToGrid/>
              <w:spacing w:line="440" w:lineRule="exact"/>
              <w:jc w:val="lef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4.建筑装饰装修材料</w:t>
            </w:r>
          </w:p>
        </w:tc>
        <w:tc>
          <w:tcPr>
            <w:tcW w:w="217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2628146">
            <w:pPr>
              <w:keepNext w:val="0"/>
              <w:keepLines w:val="0"/>
              <w:pageBreakBefore w:val="0"/>
              <w:numPr>
                <w:ilvl w:val="0"/>
                <w:numId w:val="0"/>
              </w:numPr>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（10家）</w:t>
            </w:r>
          </w:p>
        </w:tc>
      </w:tr>
      <w:tr w14:paraId="2A157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2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6C4687F">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第三包</w:t>
            </w:r>
          </w:p>
        </w:tc>
        <w:tc>
          <w:tcPr>
            <w:tcW w:w="197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6962277">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百货类</w:t>
            </w:r>
          </w:p>
        </w:tc>
        <w:tc>
          <w:tcPr>
            <w:tcW w:w="2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A4FAC7">
            <w:pPr>
              <w:keepNext w:val="0"/>
              <w:keepLines w:val="0"/>
              <w:pageBreakBefore w:val="0"/>
              <w:numPr>
                <w:ilvl w:val="0"/>
                <w:numId w:val="0"/>
              </w:numPr>
              <w:kinsoku/>
              <w:wordWrap/>
              <w:overflowPunct/>
              <w:topLinePunct w:val="0"/>
              <w:autoSpaceDE/>
              <w:autoSpaceDN/>
              <w:bidi w:val="0"/>
              <w:adjustRightInd/>
              <w:snapToGrid/>
              <w:spacing w:line="440" w:lineRule="exact"/>
              <w:jc w:val="lef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1.酒水            </w:t>
            </w:r>
          </w:p>
        </w:tc>
        <w:tc>
          <w:tcPr>
            <w:tcW w:w="2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FAA4A6">
            <w:pPr>
              <w:keepNext w:val="0"/>
              <w:keepLines w:val="0"/>
              <w:pageBreakBefore w:val="0"/>
              <w:numPr>
                <w:ilvl w:val="0"/>
                <w:numId w:val="0"/>
              </w:numPr>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（10家）</w:t>
            </w:r>
          </w:p>
        </w:tc>
      </w:tr>
      <w:tr w14:paraId="0F12C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125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5E20AED">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197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C1AE398">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2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F7B5D2">
            <w:pPr>
              <w:keepNext w:val="0"/>
              <w:keepLines w:val="0"/>
              <w:pageBreakBefore w:val="0"/>
              <w:numPr>
                <w:ilvl w:val="0"/>
                <w:numId w:val="0"/>
              </w:numPr>
              <w:kinsoku/>
              <w:wordWrap/>
              <w:overflowPunct/>
              <w:topLinePunct w:val="0"/>
              <w:autoSpaceDE/>
              <w:autoSpaceDN/>
              <w:bidi w:val="0"/>
              <w:adjustRightInd/>
              <w:snapToGrid/>
              <w:spacing w:line="440" w:lineRule="exact"/>
              <w:jc w:val="lef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2.饮料 </w:t>
            </w:r>
          </w:p>
        </w:tc>
        <w:tc>
          <w:tcPr>
            <w:tcW w:w="2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C68EC0">
            <w:pPr>
              <w:keepNext w:val="0"/>
              <w:keepLines w:val="0"/>
              <w:pageBreakBefore w:val="0"/>
              <w:numPr>
                <w:ilvl w:val="0"/>
                <w:numId w:val="0"/>
              </w:numPr>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（10家）</w:t>
            </w:r>
          </w:p>
        </w:tc>
      </w:tr>
      <w:tr w14:paraId="60B41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125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F2DAA13">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197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AFBF39B">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p>
        </w:tc>
        <w:tc>
          <w:tcPr>
            <w:tcW w:w="2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A16D18">
            <w:pPr>
              <w:keepNext w:val="0"/>
              <w:keepLines w:val="0"/>
              <w:pageBreakBefore w:val="0"/>
              <w:numPr>
                <w:ilvl w:val="0"/>
                <w:numId w:val="0"/>
              </w:numPr>
              <w:kinsoku/>
              <w:wordWrap/>
              <w:overflowPunct/>
              <w:topLinePunct w:val="0"/>
              <w:autoSpaceDE/>
              <w:autoSpaceDN/>
              <w:bidi w:val="0"/>
              <w:adjustRightInd/>
              <w:snapToGrid/>
              <w:spacing w:line="440" w:lineRule="exact"/>
              <w:jc w:val="lef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3.日杂用品 </w:t>
            </w:r>
          </w:p>
        </w:tc>
        <w:tc>
          <w:tcPr>
            <w:tcW w:w="2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9EBAAB">
            <w:pPr>
              <w:keepNext w:val="0"/>
              <w:keepLines w:val="0"/>
              <w:pageBreakBefore w:val="0"/>
              <w:numPr>
                <w:ilvl w:val="0"/>
                <w:numId w:val="0"/>
              </w:numPr>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（20家）</w:t>
            </w:r>
          </w:p>
        </w:tc>
      </w:tr>
      <w:tr w14:paraId="0E6EC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12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531C0F">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第四包</w:t>
            </w:r>
          </w:p>
        </w:tc>
        <w:tc>
          <w:tcPr>
            <w:tcW w:w="19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78F93">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茶叶类</w:t>
            </w:r>
          </w:p>
        </w:tc>
        <w:tc>
          <w:tcPr>
            <w:tcW w:w="2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44EF7">
            <w:pPr>
              <w:keepNext w:val="0"/>
              <w:keepLines w:val="0"/>
              <w:pageBreakBefore w:val="0"/>
              <w:numPr>
                <w:ilvl w:val="0"/>
                <w:numId w:val="0"/>
              </w:numPr>
              <w:kinsoku/>
              <w:wordWrap/>
              <w:overflowPunct/>
              <w:topLinePunct w:val="0"/>
              <w:autoSpaceDE/>
              <w:autoSpaceDN/>
              <w:bidi w:val="0"/>
              <w:adjustRightInd/>
              <w:snapToGrid/>
              <w:spacing w:line="440" w:lineRule="exact"/>
              <w:jc w:val="lef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生产企业          </w:t>
            </w:r>
          </w:p>
        </w:tc>
        <w:tc>
          <w:tcPr>
            <w:tcW w:w="2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AA7795">
            <w:pPr>
              <w:keepNext w:val="0"/>
              <w:keepLines w:val="0"/>
              <w:pageBreakBefore w:val="0"/>
              <w:numPr>
                <w:ilvl w:val="0"/>
                <w:numId w:val="0"/>
              </w:numPr>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（10家）</w:t>
            </w:r>
          </w:p>
        </w:tc>
      </w:tr>
      <w:tr w14:paraId="22253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25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467FE46">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第五包</w:t>
            </w:r>
          </w:p>
        </w:tc>
        <w:tc>
          <w:tcPr>
            <w:tcW w:w="197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6678ADA">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办公用品</w:t>
            </w:r>
          </w:p>
        </w:tc>
        <w:tc>
          <w:tcPr>
            <w:tcW w:w="280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102F1A7">
            <w:pPr>
              <w:keepNext w:val="0"/>
              <w:keepLines w:val="0"/>
              <w:pageBreakBefore w:val="0"/>
              <w:kinsoku/>
              <w:wordWrap/>
              <w:overflowPunct/>
              <w:topLinePunct w:val="0"/>
              <w:autoSpaceDE/>
              <w:autoSpaceDN/>
              <w:bidi w:val="0"/>
              <w:adjustRightInd/>
              <w:snapToGrid/>
              <w:spacing w:line="440" w:lineRule="exact"/>
              <w:ind w:firstLine="1890" w:firstLineChars="900"/>
              <w:jc w:val="left"/>
              <w:outlineLvl w:val="9"/>
              <w:rPr>
                <w:rFonts w:hint="eastAsia" w:ascii="宋体" w:hAnsi="宋体" w:eastAsia="宋体" w:cs="宋体"/>
                <w:color w:val="auto"/>
                <w:highlight w:val="none"/>
                <w:lang w:val="en-US" w:eastAsia="zh-CN"/>
              </w:rPr>
            </w:pPr>
          </w:p>
        </w:tc>
        <w:tc>
          <w:tcPr>
            <w:tcW w:w="217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C9CF097">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（5家）</w:t>
            </w:r>
          </w:p>
        </w:tc>
      </w:tr>
      <w:tr w14:paraId="322D5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3E3F">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第六包</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C3892">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农用产品</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64D11">
            <w:pPr>
              <w:keepNext w:val="0"/>
              <w:keepLines w:val="0"/>
              <w:pageBreakBefore w:val="0"/>
              <w:kinsoku/>
              <w:wordWrap/>
              <w:overflowPunct/>
              <w:topLinePunct w:val="0"/>
              <w:autoSpaceDE/>
              <w:autoSpaceDN/>
              <w:bidi w:val="0"/>
              <w:adjustRightInd/>
              <w:snapToGrid/>
              <w:spacing w:line="440" w:lineRule="exact"/>
              <w:jc w:val="lef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农肥           </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48A9">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（5家）</w:t>
            </w:r>
          </w:p>
        </w:tc>
      </w:tr>
      <w:tr w14:paraId="4AA6E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E8C73">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第七包</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451B">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燃料类</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407E">
            <w:pPr>
              <w:keepNext w:val="0"/>
              <w:keepLines w:val="0"/>
              <w:pageBreakBefore w:val="0"/>
              <w:kinsoku/>
              <w:wordWrap/>
              <w:overflowPunct/>
              <w:topLinePunct w:val="0"/>
              <w:autoSpaceDE/>
              <w:autoSpaceDN/>
              <w:bidi w:val="0"/>
              <w:adjustRightInd/>
              <w:snapToGrid/>
              <w:spacing w:line="440" w:lineRule="exact"/>
              <w:jc w:val="lef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生物燃料          </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CEB55">
            <w:pPr>
              <w:keepNext w:val="0"/>
              <w:keepLines w:val="0"/>
              <w:pageBreakBefore w:val="0"/>
              <w:kinsoku/>
              <w:wordWrap/>
              <w:overflowPunct/>
              <w:topLinePunct w:val="0"/>
              <w:autoSpaceDE/>
              <w:autoSpaceDN/>
              <w:bidi w:val="0"/>
              <w:adjustRightInd/>
              <w:snapToGrid/>
              <w:spacing w:line="44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（5家）</w:t>
            </w:r>
          </w:p>
        </w:tc>
      </w:tr>
      <w:tr w14:paraId="27C6D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6" w:hRule="atLeast"/>
        </w:trPr>
        <w:tc>
          <w:tcPr>
            <w:tcW w:w="820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6CF9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outlineLvl w:val="9"/>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本项目每标包报名的数量小于等于拟建供应商数量时，采用合格制审查，审查合格的供应商全部入围；本项目每标包报名的数量大于拟建供应商数量时，进行资格符合性审查后，合格的数量小于等于拟建供应商数量时，合格的供应商全部入围；进行资格符合性审查后，合格的数量大于拟建供应商数量时，采用综合评分法确定入围供应商；如每标包入围数量不能满足宣恩仙山贡水商贸有限公司建库需求，将进行入围补录。</w:t>
            </w:r>
          </w:p>
        </w:tc>
      </w:tr>
    </w:tbl>
    <w:p w14:paraId="2DF37327">
      <w:pPr>
        <w:keepNext/>
        <w:keepLines/>
        <w:adjustRightInd w:val="0"/>
        <w:spacing w:before="120" w:after="120"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服务期限：拟定为3年，自合同签订之日起计算，合同实行一年一签，第二年，第三年考核合格后续签</w:t>
      </w:r>
    </w:p>
    <w:p w14:paraId="72B0B583">
      <w:pPr>
        <w:pStyle w:val="4"/>
        <w:spacing w:before="0" w:after="0" w:line="360" w:lineRule="auto"/>
        <w:jc w:val="both"/>
        <w:rPr>
          <w:rFonts w:hint="eastAsia" w:ascii="宋体" w:hAnsi="宋体" w:eastAsia="宋体" w:cs="宋体"/>
          <w:color w:val="auto"/>
          <w:sz w:val="24"/>
          <w:highlight w:val="none"/>
          <w:lang w:val="en-US"/>
        </w:rPr>
      </w:pPr>
      <w:bookmarkStart w:id="553" w:name="_Toc11422"/>
      <w:bookmarkStart w:id="554" w:name="_Toc18439"/>
      <w:bookmarkStart w:id="555" w:name="_Toc14699"/>
      <w:r>
        <w:rPr>
          <w:rFonts w:hint="eastAsia" w:ascii="宋体" w:hAnsi="宋体" w:eastAsia="宋体" w:cs="宋体"/>
          <w:color w:val="auto"/>
          <w:sz w:val="24"/>
          <w:highlight w:val="none"/>
        </w:rPr>
        <w:t>二、</w:t>
      </w:r>
      <w:bookmarkEnd w:id="553"/>
      <w:bookmarkEnd w:id="554"/>
      <w:r>
        <w:rPr>
          <w:rFonts w:hint="eastAsia" w:ascii="宋体" w:hAnsi="宋体" w:eastAsia="宋体" w:cs="宋体"/>
          <w:b/>
          <w:bCs/>
          <w:color w:val="auto"/>
          <w:sz w:val="24"/>
          <w:szCs w:val="24"/>
          <w:highlight w:val="none"/>
          <w:lang w:val="en-US" w:eastAsia="zh-CN"/>
        </w:rPr>
        <w:t>供货技术及服务要求</w:t>
      </w:r>
      <w:bookmarkEnd w:id="555"/>
    </w:p>
    <w:p w14:paraId="4DB524D9">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第一标包：</w:t>
      </w:r>
      <w:r>
        <w:rPr>
          <w:rFonts w:hint="eastAsia" w:ascii="宋体" w:hAnsi="宋体" w:eastAsia="宋体" w:cs="宋体"/>
          <w:b/>
          <w:bCs/>
          <w:color w:val="auto"/>
          <w:sz w:val="24"/>
          <w:szCs w:val="24"/>
          <w:highlight w:val="none"/>
          <w:lang w:val="en-US" w:eastAsia="zh-CN"/>
        </w:rPr>
        <w:t>食材类</w:t>
      </w:r>
    </w:p>
    <w:p w14:paraId="2DB5A17D">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1.米：</w:t>
      </w:r>
    </w:p>
    <w:p w14:paraId="2A1ECFC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需求所指的大米类为籼米、粳米。大米质量标准符合GB/T 1354---2018，要求有本批次货物的产品检验报告（同原料、同工艺、同设备、同班次加工的产品为一批），非自检。</w:t>
      </w:r>
    </w:p>
    <w:p w14:paraId="7794CE5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（1）大米的杂质总量≤0.25%，其中无机杂质含量≤0.02%，黄米粒含量≤1%，互混率≤5%，色泽、气味正常。</w:t>
      </w:r>
    </w:p>
    <w:p w14:paraId="502E2F8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（2）籼米二级碎米粒总量≤20%，其中小碎米含量≤1.5%；不完善粒含量≤4%；</w:t>
      </w:r>
    </w:p>
    <w:p w14:paraId="32FCB97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（3）粳米一级碎米粒总量≤10%，其中小碎米含量≤1%；不完善粒含量≤3%；</w:t>
      </w:r>
    </w:p>
    <w:p w14:paraId="69CB72C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（4）包装：包装应符合GB/T 17109的规定和食品安全要求。若采用包装袋，则包装袋应坚固坚实，封口或者缝口应严密。包装计量25KG包装的大米，单件含量负偏不得超过125g，批量平均偏差应大于或等于零。</w:t>
      </w:r>
    </w:p>
    <w:p w14:paraId="0F4194E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（5）产品外包装应标明产品名称、净含量、生产者名称和生产地址、生产日期、保质期、质量等级等内容。</w:t>
      </w:r>
    </w:p>
    <w:p w14:paraId="350AE7E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（6）标签：包装大米的标签标识应符合GB7718</w:t>
      </w:r>
      <w:r>
        <w:rPr>
          <w:rFonts w:hint="eastAsia" w:ascii="宋体" w:hAnsi="宋体" w:eastAsia="宋体" w:cs="宋体"/>
          <w:color w:val="auto"/>
          <w:sz w:val="24"/>
          <w:szCs w:val="24"/>
          <w:highlight w:val="none"/>
          <w:lang w:val="en-US" w:eastAsia="zh-CN"/>
        </w:rPr>
        <w:t>-2011</w:t>
      </w:r>
      <w:r>
        <w:rPr>
          <w:rFonts w:hint="eastAsia" w:ascii="宋体" w:hAnsi="宋体" w:eastAsia="宋体" w:cs="宋体"/>
          <w:color w:val="auto"/>
          <w:sz w:val="24"/>
          <w:szCs w:val="24"/>
          <w:highlight w:val="none"/>
        </w:rPr>
        <w:t>和GB28050</w:t>
      </w:r>
      <w:r>
        <w:rPr>
          <w:rFonts w:hint="eastAsia" w:ascii="宋体" w:hAnsi="宋体" w:eastAsia="宋体" w:cs="宋体"/>
          <w:color w:val="auto"/>
          <w:sz w:val="24"/>
          <w:szCs w:val="24"/>
          <w:highlight w:val="none"/>
          <w:lang w:val="en-US" w:eastAsia="zh-CN"/>
        </w:rPr>
        <w:t>-2011</w:t>
      </w:r>
      <w:r>
        <w:rPr>
          <w:rFonts w:hint="eastAsia" w:ascii="宋体" w:hAnsi="宋体" w:eastAsia="宋体" w:cs="宋体"/>
          <w:color w:val="auto"/>
          <w:sz w:val="24"/>
          <w:szCs w:val="24"/>
          <w:highlight w:val="none"/>
        </w:rPr>
        <w:t>的规定。产品名称应按本标准规定的名称和等级标注。标注的净含量应为产品最大允许水分状况下的质量。</w:t>
      </w:r>
    </w:p>
    <w:p w14:paraId="78F1CA23">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2.面粉：</w:t>
      </w:r>
    </w:p>
    <w:p w14:paraId="3516925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（1）面粉质量标准符合GB1355---</w:t>
      </w:r>
      <w:r>
        <w:rPr>
          <w:rFonts w:hint="eastAsia" w:ascii="宋体" w:hAnsi="宋体" w:eastAsia="宋体" w:cs="宋体"/>
          <w:color w:val="auto"/>
          <w:sz w:val="24"/>
          <w:szCs w:val="24"/>
          <w:highlight w:val="none"/>
          <w:lang w:val="en-US" w:eastAsia="zh-CN"/>
        </w:rPr>
        <w:t>2021</w:t>
      </w:r>
      <w:r>
        <w:rPr>
          <w:rFonts w:hint="eastAsia" w:ascii="宋体" w:hAnsi="宋体" w:eastAsia="宋体" w:cs="宋体"/>
          <w:color w:val="auto"/>
          <w:sz w:val="24"/>
          <w:szCs w:val="24"/>
          <w:highlight w:val="none"/>
        </w:rPr>
        <w:t>。</w:t>
      </w:r>
    </w:p>
    <w:p w14:paraId="0CA21C6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（2）特制一级、特精一级和标准粉的加工精度，以国家制订的标准样品为准。普通粉的加工精度标准样品，由省、自治区、直辖市制定的标准样品为准。</w:t>
      </w:r>
    </w:p>
    <w:p w14:paraId="63C6C13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（3）面粉应色泽洁白，干燥松散，无结块，无生虫现象。在产品保质期内。</w:t>
      </w:r>
    </w:p>
    <w:p w14:paraId="64D60B7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（4）包装完好无损，表面无污渍，标明产品名称、净含量、生产者名称和生产地址、生产日期、保质期、质量等级等内容。</w:t>
      </w:r>
    </w:p>
    <w:p w14:paraId="7179E55E">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3.挂面：</w:t>
      </w:r>
    </w:p>
    <w:p w14:paraId="75080B4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挂面质量标准符合LS/T3212-2021。</w:t>
      </w:r>
    </w:p>
    <w:p w14:paraId="72D98B7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色泽均匀一致，无肉眼可见的异物，气味无酸味、霉味及其他异味，口感煮熟后不粘，不牙碜。</w:t>
      </w:r>
    </w:p>
    <w:p w14:paraId="2D2ADEE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食品安全要求符合国家有关标准、规定执行。</w:t>
      </w:r>
    </w:p>
    <w:p w14:paraId="0624D4E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未列明质量标准的其他商品按照国家相关标准执行。</w:t>
      </w:r>
    </w:p>
    <w:p w14:paraId="03A22B7B">
      <w:pPr>
        <w:spacing w:line="360" w:lineRule="auto"/>
        <w:ind w:firstLine="48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随时对供货产品进行抽样送检（检测费用由供应商承担）。</w:t>
      </w:r>
    </w:p>
    <w:p w14:paraId="7D5D4F2B">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4.油：</w:t>
      </w:r>
    </w:p>
    <w:p w14:paraId="4B4E3B7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标准要求：执行国家标准，桶包装，一级标准。食用植物油是以花生、芝麻、葵花子、</w:t>
      </w:r>
      <w:r>
        <w:rPr>
          <w:rFonts w:hint="eastAsia" w:ascii="宋体" w:hAnsi="宋体" w:eastAsia="宋体" w:cs="宋体"/>
          <w:color w:val="auto"/>
          <w:sz w:val="24"/>
          <w:szCs w:val="24"/>
          <w:highlight w:val="none"/>
          <w:lang w:val="en-US" w:eastAsia="zh-CN"/>
        </w:rPr>
        <w:t>大豆、玉米</w:t>
      </w:r>
      <w:r>
        <w:rPr>
          <w:rFonts w:hint="eastAsia" w:ascii="宋体" w:hAnsi="宋体" w:eastAsia="宋体" w:cs="宋体"/>
          <w:color w:val="auto"/>
          <w:sz w:val="24"/>
          <w:szCs w:val="24"/>
          <w:highlight w:val="none"/>
        </w:rPr>
        <w:t>等植物种子为原料，经压榨、溶剂浸出精炼或用水化法制成的食用油脂。</w:t>
      </w:r>
    </w:p>
    <w:p w14:paraId="6C7C63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花生油GB/T 1534；</w:t>
      </w:r>
    </w:p>
    <w:p w14:paraId="1E15FD6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大豆油GB/T 1535；</w:t>
      </w:r>
    </w:p>
    <w:p w14:paraId="3522A41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菜籽油GB/T 1536；</w:t>
      </w:r>
    </w:p>
    <w:p w14:paraId="400DAFA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玉米油GB/T 19111；</w:t>
      </w:r>
    </w:p>
    <w:p w14:paraId="197A7B9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葵花籽油GB/T 10464。</w:t>
      </w:r>
    </w:p>
    <w:p w14:paraId="159FB8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rPr>
      </w:pPr>
    </w:p>
    <w:p w14:paraId="59E815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4.</w:t>
      </w:r>
      <w:r>
        <w:rPr>
          <w:rFonts w:hint="eastAsia" w:ascii="宋体" w:hAnsi="宋体" w:eastAsia="宋体" w:cs="宋体"/>
          <w:color w:val="auto"/>
          <w:sz w:val="24"/>
          <w:szCs w:val="32"/>
          <w:highlight w:val="none"/>
        </w:rPr>
        <w:t>1.花生油、葵花籽、及精炼油等产品的标准为国家强制性标准，非转基因。</w:t>
      </w:r>
    </w:p>
    <w:p w14:paraId="4D6421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4.</w:t>
      </w:r>
      <w:r>
        <w:rPr>
          <w:rFonts w:hint="eastAsia" w:ascii="宋体" w:hAnsi="宋体" w:eastAsia="宋体" w:cs="宋体"/>
          <w:color w:val="auto"/>
          <w:sz w:val="24"/>
          <w:szCs w:val="32"/>
          <w:highlight w:val="none"/>
        </w:rPr>
        <w:t>2.产品标识标注内容</w:t>
      </w:r>
    </w:p>
    <w:p w14:paraId="6184D2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4.</w:t>
      </w:r>
      <w:r>
        <w:rPr>
          <w:rFonts w:hint="eastAsia" w:ascii="宋体" w:hAnsi="宋体" w:eastAsia="宋体" w:cs="宋体"/>
          <w:color w:val="auto"/>
          <w:sz w:val="24"/>
          <w:szCs w:val="32"/>
          <w:highlight w:val="none"/>
        </w:rPr>
        <w:t>2.1产品名称；净含量；制造者的名称和地址；生产日期；产品标准编号；保质期；质量等级；检验合格证明。</w:t>
      </w:r>
    </w:p>
    <w:p w14:paraId="14C1BF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4.</w:t>
      </w:r>
      <w:r>
        <w:rPr>
          <w:rFonts w:hint="eastAsia" w:ascii="宋体" w:hAnsi="宋体" w:eastAsia="宋体" w:cs="宋体"/>
          <w:color w:val="auto"/>
          <w:sz w:val="24"/>
          <w:szCs w:val="32"/>
          <w:highlight w:val="none"/>
        </w:rPr>
        <w:t>2.2 混合油应标注配料表。</w:t>
      </w:r>
    </w:p>
    <w:p w14:paraId="564D0E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4.</w:t>
      </w:r>
      <w:r>
        <w:rPr>
          <w:rFonts w:hint="eastAsia" w:ascii="宋体" w:hAnsi="宋体" w:eastAsia="宋体" w:cs="宋体"/>
          <w:color w:val="auto"/>
          <w:sz w:val="24"/>
          <w:szCs w:val="32"/>
          <w:highlight w:val="none"/>
        </w:rPr>
        <w:t>2.3 含有转基因产品的植物油必须在显著位置标明转基因成分。</w:t>
      </w:r>
    </w:p>
    <w:p w14:paraId="45B080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4.</w:t>
      </w:r>
      <w:r>
        <w:rPr>
          <w:rFonts w:hint="eastAsia" w:ascii="宋体" w:hAnsi="宋体" w:eastAsia="宋体" w:cs="宋体"/>
          <w:color w:val="auto"/>
          <w:sz w:val="24"/>
          <w:szCs w:val="32"/>
          <w:highlight w:val="none"/>
        </w:rPr>
        <w:t>2.4必须加贴“SC”市场准入标志。</w:t>
      </w:r>
    </w:p>
    <w:p w14:paraId="347469ED">
      <w:pPr>
        <w:pStyle w:val="7"/>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5.肉类</w:t>
      </w:r>
    </w:p>
    <w:p w14:paraId="5D7CF86F">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5.1严格执行国家检疫检验制度，屠宰后经过冷却工艺处理，并在经营过程中环境温度始终保持0-4摄氏度。质量标准符合GB 2707---2016。严格索证索票，动物检疫合格证、肉类品质检验合格证、非洲猪瘟的分检报告等手写无效。</w:t>
      </w:r>
    </w:p>
    <w:p w14:paraId="40277A28">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5.2鲜肉必须有检疫章和检验单，印章清楚；肉质紧密、有弹性、表面湿润、不黏手、不注水。</w:t>
      </w:r>
    </w:p>
    <w:p w14:paraId="2B40F34C">
      <w:pPr>
        <w:pStyle w:val="7"/>
        <w:rPr>
          <w:rFonts w:hint="eastAsia" w:ascii="宋体" w:hAnsi="宋体" w:eastAsia="宋体" w:cs="宋体"/>
          <w:color w:val="auto"/>
          <w:highlight w:val="none"/>
        </w:rPr>
      </w:pPr>
    </w:p>
    <w:p w14:paraId="0BE30B16">
      <w:pPr>
        <w:pStyle w:val="7"/>
        <w:ind w:left="0" w:leftChars="0" w:firstLine="482" w:firstLineChars="200"/>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6.冻品</w:t>
      </w:r>
    </w:p>
    <w:p w14:paraId="77BA81EA">
      <w:pPr>
        <w:pStyle w:val="36"/>
        <w:keepNext w:val="0"/>
        <w:keepLines w:val="0"/>
        <w:pageBreakBefore w:val="0"/>
        <w:widowControl w:val="0"/>
        <w:numPr>
          <w:ilvl w:val="0"/>
          <w:numId w:val="0"/>
        </w:numPr>
        <w:kinsoku/>
        <w:wordWrap/>
        <w:overflowPunct/>
        <w:topLinePunct w:val="0"/>
        <w:bidi w:val="0"/>
        <w:snapToGrid/>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冷冻品应用专用低温冷藏（冻）车运输，满足冷冻类产品5%-10%的去水去冰标准。</w:t>
      </w:r>
    </w:p>
    <w:p w14:paraId="2C6CADAE">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6.1.外观检查</w:t>
      </w:r>
    </w:p>
    <w:p w14:paraId="3025FD06">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单件包装完整，无破损，封口严密。产品色泽均匀，形态完整，冻结坚实，无明显粗糙的冰晶，无气孔，不变形，不软塌，不收缩。具有该品种应有的滋味和气味，无异味，无可见杂质。</w:t>
      </w:r>
    </w:p>
    <w:p w14:paraId="1684165A">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6.2.标识检查</w:t>
      </w:r>
    </w:p>
    <w:p w14:paraId="1D9E5CA5">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产品名称；生产厂名及地址；净含量；生产日期；配料表；保存条件；保质期；食用方法；同时应附有检验合格证明。</w:t>
      </w:r>
    </w:p>
    <w:p w14:paraId="5FE05B77">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6.3.按照冻品的共同特征,其检验标准为:</w:t>
      </w:r>
    </w:p>
    <w:p w14:paraId="1D845007">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6.3.1 凡是冻肉类产品必须包装完整并有生产厂址和生产日期;</w:t>
      </w:r>
    </w:p>
    <w:p w14:paraId="46EB4B9E">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6.3.2 冻肉类产品必须有符合当年国家产品卫生检疫标准的第三方检测文件 ;</w:t>
      </w:r>
    </w:p>
    <w:p w14:paraId="0DE5CFE1">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6.3.3 冻肉类产品质量必须满足验收标准;</w:t>
      </w:r>
    </w:p>
    <w:p w14:paraId="0957B687">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6.3.4 冻肉类产品净含量不得低于90%;</w:t>
      </w:r>
    </w:p>
    <w:p w14:paraId="7CB6B7AF">
      <w:pPr>
        <w:pStyle w:val="7"/>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6.3.5 冻肉类产品重量必须和包装箱上标明的重量一致</w:t>
      </w:r>
    </w:p>
    <w:p w14:paraId="5D37CDE2">
      <w:pPr>
        <w:pStyle w:val="7"/>
        <w:rPr>
          <w:rFonts w:hint="eastAsia" w:ascii="宋体" w:hAnsi="宋体" w:eastAsia="宋体" w:cs="宋体"/>
          <w:color w:val="auto"/>
          <w:kern w:val="2"/>
          <w:sz w:val="24"/>
          <w:szCs w:val="32"/>
          <w:highlight w:val="none"/>
          <w:lang w:val="en-US" w:eastAsia="zh-CN" w:bidi="ar-SA"/>
        </w:rPr>
      </w:pPr>
    </w:p>
    <w:p w14:paraId="14867CC8">
      <w:pPr>
        <w:pStyle w:val="7"/>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7.水产类</w:t>
      </w:r>
    </w:p>
    <w:p w14:paraId="3C121396">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7.1卫生标准:鲜冻水产品符合现行食品安全国家标准《鲜、冻动物性水产品》(GB2733-2015)，水产制品符合现行食品安全国家标准《动物性水产制品》(GB10136-2015)的要求；</w:t>
      </w:r>
    </w:p>
    <w:p w14:paraId="3C93D8FC">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7.2水产品鲜品要求个体完整、体表卫生洁净且无伤痕，如鱼产品眼球饱满、腮丝清晰鲜红、粘液透明有光泽等；</w:t>
      </w:r>
    </w:p>
    <w:p w14:paraId="07F8EA62">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7.3水产品身体饱满结实，肉紧密有弹性，无离骨脱刺、肛门凹陷、腹无胀气等现象，肛门无异物流出。</w:t>
      </w:r>
    </w:p>
    <w:p w14:paraId="7330E351">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7.4 无伤痕破体现象。</w:t>
      </w:r>
    </w:p>
    <w:p w14:paraId="03BC62B0">
      <w:pPr>
        <w:pStyle w:val="7"/>
        <w:rPr>
          <w:rFonts w:hint="eastAsia" w:ascii="宋体" w:hAnsi="宋体" w:eastAsia="宋体" w:cs="宋体"/>
          <w:color w:val="auto"/>
          <w:highlight w:val="none"/>
        </w:rPr>
      </w:pPr>
    </w:p>
    <w:p w14:paraId="64FB47EE">
      <w:pPr>
        <w:bidi w:val="0"/>
        <w:ind w:firstLine="482" w:firstLineChars="200"/>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8.蔬菜</w:t>
      </w:r>
    </w:p>
    <w:p w14:paraId="1C4AF4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8</w:t>
      </w:r>
      <w:r>
        <w:rPr>
          <w:rFonts w:hint="eastAsia" w:ascii="宋体" w:hAnsi="宋体" w:eastAsia="宋体" w:cs="宋体"/>
          <w:color w:val="auto"/>
          <w:sz w:val="24"/>
          <w:szCs w:val="32"/>
          <w:highlight w:val="none"/>
        </w:rPr>
        <w:t>.1 叶菜类：</w:t>
      </w:r>
    </w:p>
    <w:p w14:paraId="2173CF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8</w:t>
      </w:r>
      <w:r>
        <w:rPr>
          <w:rFonts w:hint="eastAsia" w:ascii="宋体" w:hAnsi="宋体" w:eastAsia="宋体" w:cs="宋体"/>
          <w:color w:val="auto"/>
          <w:sz w:val="24"/>
          <w:szCs w:val="32"/>
          <w:highlight w:val="none"/>
        </w:rPr>
        <w:t>.1.1 茎叶鲜嫩肥厚，有生气，形态完整，捆扎包装整齐，茎部丰硕。无冻伤、晒伤、</w:t>
      </w:r>
    </w:p>
    <w:p w14:paraId="1F139E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压伤，脆性大。</w:t>
      </w:r>
    </w:p>
    <w:p w14:paraId="4169C1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8</w:t>
      </w:r>
      <w:r>
        <w:rPr>
          <w:rFonts w:hint="eastAsia" w:ascii="宋体" w:hAnsi="宋体" w:eastAsia="宋体" w:cs="宋体"/>
          <w:color w:val="auto"/>
          <w:sz w:val="24"/>
          <w:szCs w:val="32"/>
          <w:highlight w:val="none"/>
        </w:rPr>
        <w:t>.1.2 叶面光滑，无黄烂叶，杂质少，枝叶有弹性，断口部水分充盈，含水量达到65％-90％。</w:t>
      </w:r>
    </w:p>
    <w:p w14:paraId="553117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8</w:t>
      </w:r>
      <w:r>
        <w:rPr>
          <w:rFonts w:hint="eastAsia" w:ascii="宋体" w:hAnsi="宋体" w:eastAsia="宋体" w:cs="宋体"/>
          <w:color w:val="auto"/>
          <w:sz w:val="24"/>
          <w:szCs w:val="32"/>
          <w:highlight w:val="none"/>
        </w:rPr>
        <w:t>.1.3 无虫蛀虫卵，表皮无斑点，无腐烂变质，无异味，出菜率高。</w:t>
      </w:r>
    </w:p>
    <w:p w14:paraId="64326D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8</w:t>
      </w:r>
      <w:r>
        <w:rPr>
          <w:rFonts w:hint="eastAsia" w:ascii="宋体" w:hAnsi="宋体" w:eastAsia="宋体" w:cs="宋体"/>
          <w:color w:val="auto"/>
          <w:sz w:val="24"/>
          <w:szCs w:val="32"/>
          <w:highlight w:val="none"/>
        </w:rPr>
        <w:t>.2根茎类：</w:t>
      </w:r>
    </w:p>
    <w:p w14:paraId="3ECE24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8</w:t>
      </w:r>
      <w:r>
        <w:rPr>
          <w:rFonts w:hint="eastAsia" w:ascii="宋体" w:hAnsi="宋体" w:eastAsia="宋体" w:cs="宋体"/>
          <w:color w:val="auto"/>
          <w:sz w:val="24"/>
          <w:szCs w:val="32"/>
          <w:highlight w:val="none"/>
        </w:rPr>
        <w:t>.2.1 原料肥嫩丰满，光滑圆实，形态整齐，出菜率高。</w:t>
      </w:r>
    </w:p>
    <w:p w14:paraId="60F315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8</w:t>
      </w:r>
      <w:r>
        <w:rPr>
          <w:rFonts w:hint="eastAsia" w:ascii="宋体" w:hAnsi="宋体" w:eastAsia="宋体" w:cs="宋体"/>
          <w:color w:val="auto"/>
          <w:sz w:val="24"/>
          <w:szCs w:val="32"/>
          <w:highlight w:val="none"/>
        </w:rPr>
        <w:t>.2.2皮不干缩，无发霉，无泥沙。</w:t>
      </w:r>
    </w:p>
    <w:p w14:paraId="70FEE6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8</w:t>
      </w:r>
      <w:r>
        <w:rPr>
          <w:rFonts w:hint="eastAsia" w:ascii="宋体" w:hAnsi="宋体" w:eastAsia="宋体" w:cs="宋体"/>
          <w:color w:val="auto"/>
          <w:sz w:val="24"/>
          <w:szCs w:val="32"/>
          <w:highlight w:val="none"/>
        </w:rPr>
        <w:t>.2.3无破裂腐烂，无虫鼠咬伤、霉斑。</w:t>
      </w:r>
    </w:p>
    <w:p w14:paraId="08FE10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8</w:t>
      </w:r>
      <w:r>
        <w:rPr>
          <w:rFonts w:hint="eastAsia" w:ascii="宋体" w:hAnsi="宋体" w:eastAsia="宋体" w:cs="宋体"/>
          <w:color w:val="auto"/>
          <w:sz w:val="24"/>
          <w:szCs w:val="32"/>
          <w:highlight w:val="none"/>
        </w:rPr>
        <w:t>.3 瓜果类：</w:t>
      </w:r>
    </w:p>
    <w:p w14:paraId="04BCA3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8</w:t>
      </w:r>
      <w:r>
        <w:rPr>
          <w:rFonts w:hint="eastAsia" w:ascii="宋体" w:hAnsi="宋体" w:eastAsia="宋体" w:cs="宋体"/>
          <w:color w:val="auto"/>
          <w:sz w:val="24"/>
          <w:szCs w:val="32"/>
          <w:highlight w:val="none"/>
        </w:rPr>
        <w:t>.3.1 果皮完整、色泽鲜亮、果实饱满、蒂部不干枯，成熟适度。</w:t>
      </w:r>
    </w:p>
    <w:p w14:paraId="705E2A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8</w:t>
      </w:r>
      <w:r>
        <w:rPr>
          <w:rFonts w:hint="eastAsia" w:ascii="宋体" w:hAnsi="宋体" w:eastAsia="宋体" w:cs="宋体"/>
          <w:color w:val="auto"/>
          <w:sz w:val="24"/>
          <w:szCs w:val="32"/>
          <w:highlight w:val="none"/>
        </w:rPr>
        <w:t>.3.2 果实坚实，水分足，皮不干缩、形态完整。</w:t>
      </w:r>
    </w:p>
    <w:p w14:paraId="62A2A9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8</w:t>
      </w:r>
      <w:r>
        <w:rPr>
          <w:rFonts w:hint="eastAsia" w:ascii="宋体" w:hAnsi="宋体" w:eastAsia="宋体" w:cs="宋体"/>
          <w:color w:val="auto"/>
          <w:sz w:val="24"/>
          <w:szCs w:val="32"/>
          <w:highlight w:val="none"/>
        </w:rPr>
        <w:t>.3.3 表皮无斑点、腐烂，无虫咬破伤及霉点。</w:t>
      </w:r>
    </w:p>
    <w:p w14:paraId="2C3E33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8</w:t>
      </w:r>
      <w:r>
        <w:rPr>
          <w:rFonts w:hint="eastAsia" w:ascii="宋体" w:hAnsi="宋体" w:eastAsia="宋体" w:cs="宋体"/>
          <w:color w:val="auto"/>
          <w:sz w:val="24"/>
          <w:szCs w:val="32"/>
          <w:highlight w:val="none"/>
        </w:rPr>
        <w:t>.3.4 有瓜果的自然香味，无异味。</w:t>
      </w:r>
    </w:p>
    <w:p w14:paraId="2B4509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lang w:val="en-US" w:eastAsia="zh-CN"/>
        </w:rPr>
        <w:t>8</w:t>
      </w:r>
      <w:r>
        <w:rPr>
          <w:rFonts w:hint="eastAsia" w:ascii="宋体" w:hAnsi="宋体" w:eastAsia="宋体" w:cs="宋体"/>
          <w:color w:val="auto"/>
          <w:sz w:val="24"/>
          <w:szCs w:val="32"/>
          <w:highlight w:val="none"/>
        </w:rPr>
        <w:t>.4菌类：(干)</w:t>
      </w:r>
      <w:r>
        <w:rPr>
          <w:rFonts w:hint="eastAsia" w:ascii="宋体" w:hAnsi="宋体" w:eastAsia="宋体" w:cs="宋体"/>
          <w:color w:val="auto"/>
          <w:sz w:val="24"/>
          <w:szCs w:val="32"/>
          <w:highlight w:val="none"/>
          <w:lang w:eastAsia="zh-CN"/>
        </w:rPr>
        <w:t>：</w:t>
      </w:r>
    </w:p>
    <w:p w14:paraId="3D81BF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8</w:t>
      </w:r>
      <w:r>
        <w:rPr>
          <w:rFonts w:hint="eastAsia" w:ascii="宋体" w:hAnsi="宋体" w:eastAsia="宋体" w:cs="宋体"/>
          <w:color w:val="auto"/>
          <w:sz w:val="24"/>
          <w:szCs w:val="32"/>
          <w:highlight w:val="none"/>
        </w:rPr>
        <w:t>.4.1干爽体轻、色泽纯正自然。</w:t>
      </w:r>
    </w:p>
    <w:p w14:paraId="1E816E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8</w:t>
      </w:r>
      <w:r>
        <w:rPr>
          <w:rFonts w:hint="eastAsia" w:ascii="宋体" w:hAnsi="宋体" w:eastAsia="宋体" w:cs="宋体"/>
          <w:color w:val="auto"/>
          <w:sz w:val="24"/>
          <w:szCs w:val="32"/>
          <w:highlight w:val="none"/>
        </w:rPr>
        <w:t>.4.2无杂质，无虫蛀。</w:t>
      </w:r>
    </w:p>
    <w:p w14:paraId="24F737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8</w:t>
      </w:r>
      <w:r>
        <w:rPr>
          <w:rFonts w:hint="eastAsia" w:ascii="宋体" w:hAnsi="宋体" w:eastAsia="宋体" w:cs="宋体"/>
          <w:color w:val="auto"/>
          <w:sz w:val="24"/>
          <w:szCs w:val="32"/>
          <w:highlight w:val="none"/>
        </w:rPr>
        <w:t>.4.3无掺杂施假现象。</w:t>
      </w:r>
    </w:p>
    <w:p w14:paraId="7A82A77D">
      <w:pPr>
        <w:pStyle w:val="7"/>
        <w:rPr>
          <w:rFonts w:hint="eastAsia" w:ascii="宋体" w:hAnsi="宋体" w:eastAsia="宋体" w:cs="宋体"/>
          <w:color w:val="auto"/>
          <w:highlight w:val="none"/>
        </w:rPr>
      </w:pPr>
    </w:p>
    <w:p w14:paraId="0F930108">
      <w:pPr>
        <w:pStyle w:val="7"/>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9.干调类</w:t>
      </w:r>
    </w:p>
    <w:p w14:paraId="12D854A9">
      <w:pPr>
        <w:pStyle w:val="36"/>
        <w:numPr>
          <w:ilvl w:val="0"/>
          <w:numId w:val="0"/>
        </w:numPr>
        <w:ind w:firstLine="480" w:firstLineChars="200"/>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干爽，不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院标准。</w:t>
      </w:r>
    </w:p>
    <w:p w14:paraId="4A9A82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9.1干货类：</w:t>
      </w:r>
    </w:p>
    <w:p w14:paraId="274F6E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对于干货制品的品质检验必须根据其基本共同点，以及它们必须具备的基本要求，作为鉴别干货制品的质量标准：</w:t>
      </w:r>
    </w:p>
    <w:p w14:paraId="28A62B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9.1.1干爽、不霉烂,是衡量干货制品的重要标准；</w:t>
      </w:r>
    </w:p>
    <w:p w14:paraId="172C28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9.1.2 整齐、均匀、完整；</w:t>
      </w:r>
    </w:p>
    <w:p w14:paraId="2A7F9C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9.1.3 无虫蛀，无杂质，保持应有的色泽.</w:t>
      </w:r>
    </w:p>
    <w:p w14:paraId="7DED9C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9.1.4清洁干净，未被食用淀粉以外的其它物品污染，无异味，符合食品卫生条件。</w:t>
      </w:r>
    </w:p>
    <w:p w14:paraId="166E8C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9.1.5完整牢固：袋口缝制均匀、粘合严密、材质和缝口应能耐受装卸、运输和储存、不破漏。</w:t>
      </w:r>
    </w:p>
    <w:p w14:paraId="6DA246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9.1.6包装上标示应鲜明清晰，包括以下内容：产品名称：生产厂名、厂址；净含量（kg）；等级；生产日期；产品标准号；检验合格证明；保持期。</w:t>
      </w:r>
    </w:p>
    <w:p w14:paraId="79BAD7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9.2 调料类：</w:t>
      </w:r>
    </w:p>
    <w:p w14:paraId="13E5C9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9.2.1酱油、醋、料酒、面酱等：</w:t>
      </w:r>
    </w:p>
    <w:p w14:paraId="47859D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9.2.1.1 选用优质名牌、直接到厂家购买或购货渠道环节少而熟悉，确保渠道安全。</w:t>
      </w:r>
    </w:p>
    <w:p w14:paraId="3C7A2F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9.2.1.2 标示清楚完整、在保质期内。</w:t>
      </w:r>
    </w:p>
    <w:p w14:paraId="35EBE9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9.2.1.3 色味纯正、无杂质霉变、无虫蛆，无刺鼻味，严禁勾兑产品。</w:t>
      </w:r>
    </w:p>
    <w:p w14:paraId="4FEA6B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9.2.1.4 包装完整、无破损。</w:t>
      </w:r>
    </w:p>
    <w:p w14:paraId="768D0B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9.2.1.5 浆液透明、无浑浊及絮状物。</w:t>
      </w:r>
    </w:p>
    <w:p w14:paraId="5346F2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9.2.2 盐、糖、味精、色素等：</w:t>
      </w:r>
    </w:p>
    <w:p w14:paraId="38F5C6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9.2.2.1 选优质名牌、食盐含碘、严禁私盐。</w:t>
      </w:r>
    </w:p>
    <w:p w14:paraId="4E3A1A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9.2.2.2 干爽无杂质、无粘液外流。</w:t>
      </w:r>
    </w:p>
    <w:p w14:paraId="66B8B6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9.2.2.3 包装完整、标示清楚</w:t>
      </w:r>
    </w:p>
    <w:p w14:paraId="5D1479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9.2.2.4 颜色纯正、颗粒均匀。</w:t>
      </w:r>
    </w:p>
    <w:p w14:paraId="15A0A4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9.2.3 花椒、大料、辣椒：</w:t>
      </w:r>
    </w:p>
    <w:p w14:paraId="7B0285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9.2.1 花椒：干燥，形整，无杂质，无霉变。</w:t>
      </w:r>
    </w:p>
    <w:p w14:paraId="389C07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9.2.2大料：干燥，形整，味浓，色纯，无掺假。</w:t>
      </w:r>
    </w:p>
    <w:p w14:paraId="0278BD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9.2.3 辣椒：形整，干燥，无霉变，无虫蛀，无杂质，色红艳，光亮肉厚。</w:t>
      </w:r>
    </w:p>
    <w:p w14:paraId="6A8DE947">
      <w:pPr>
        <w:pStyle w:val="7"/>
        <w:ind w:left="0" w:leftChars="0" w:firstLine="0" w:firstLineChars="0"/>
        <w:rPr>
          <w:rFonts w:hint="eastAsia" w:ascii="宋体" w:hAnsi="宋体" w:eastAsia="宋体" w:cs="宋体"/>
          <w:color w:val="auto"/>
          <w:kern w:val="2"/>
          <w:sz w:val="24"/>
          <w:szCs w:val="32"/>
          <w:highlight w:val="none"/>
          <w:lang w:val="en-US" w:eastAsia="zh-CN" w:bidi="ar-SA"/>
        </w:rPr>
      </w:pPr>
    </w:p>
    <w:p w14:paraId="28CB2F83">
      <w:pPr>
        <w:pStyle w:val="7"/>
        <w:numPr>
          <w:ilvl w:val="0"/>
          <w:numId w:val="0"/>
        </w:numPr>
        <w:ind w:firstLine="482" w:firstLineChars="200"/>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10.水果</w:t>
      </w:r>
    </w:p>
    <w:p w14:paraId="652AF1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达到二等（含）以上标准。颜色鲜艳、外型端正、细腻光滑、富有光泽的水果，成熟度适中，应具有良好的色泽及形态特征，果品表面清洁新鲜，无病虫害和机械损伤等，农药残留量须低于国家规定标准。</w:t>
      </w:r>
    </w:p>
    <w:p w14:paraId="77AE0CB7">
      <w:pPr>
        <w:pStyle w:val="7"/>
        <w:rPr>
          <w:rFonts w:hint="eastAsia" w:ascii="宋体" w:hAnsi="宋体" w:eastAsia="宋体" w:cs="宋体"/>
          <w:color w:val="auto"/>
          <w:highlight w:val="none"/>
          <w:lang w:val="en-US" w:eastAsia="zh-CN"/>
        </w:rPr>
      </w:pPr>
    </w:p>
    <w:p w14:paraId="2DDD978F">
      <w:pPr>
        <w:pStyle w:val="7"/>
        <w:numPr>
          <w:ilvl w:val="0"/>
          <w:numId w:val="0"/>
        </w:numPr>
        <w:ind w:leftChars="200"/>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11.甜品糕点</w:t>
      </w:r>
      <w:r>
        <w:rPr>
          <w:rFonts w:hint="eastAsia" w:ascii="宋体" w:hAnsi="宋体" w:eastAsia="宋体" w:cs="宋体"/>
          <w:b/>
          <w:bCs/>
          <w:i w:val="0"/>
          <w:iCs w:val="0"/>
          <w:color w:val="auto"/>
          <w:kern w:val="0"/>
          <w:sz w:val="22"/>
          <w:szCs w:val="22"/>
          <w:highlight w:val="none"/>
          <w:u w:val="none"/>
          <w:lang w:val="en-US" w:eastAsia="zh-CN" w:bidi="ar"/>
        </w:rPr>
        <w:t xml:space="preserve"> </w:t>
      </w:r>
    </w:p>
    <w:p w14:paraId="4CA479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甜品符合GB/T 23780-2009 糕点质量检验方法</w:t>
      </w:r>
    </w:p>
    <w:p w14:paraId="6A8D2D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 xml:space="preserve">（1）、感官要求 </w:t>
      </w:r>
    </w:p>
    <w:p w14:paraId="373854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1.1.1色泽：正常，均匀一致，无硬块。</w:t>
      </w:r>
    </w:p>
    <w:p w14:paraId="182607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 xml:space="preserve">1.1.2 气味：正常，无酸味、霉味及其它异味。  </w:t>
      </w:r>
    </w:p>
    <w:p w14:paraId="5BB67A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 xml:space="preserve">（2）、储存 ： 产品应存放于保鲜、干静、清洁、无异味的库房中。 </w:t>
      </w:r>
    </w:p>
    <w:p w14:paraId="74E480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（3）、卫生指标： 无杂质、无虫害、无污染</w:t>
      </w:r>
    </w:p>
    <w:p w14:paraId="032C87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（4）、食品添加剂应符合GB 2760规定，食品营养强化剂按《食品营养强化剂使用卫生标准》有关规定执行。</w:t>
      </w:r>
    </w:p>
    <w:p w14:paraId="62BF7984">
      <w:pPr>
        <w:pStyle w:val="36"/>
        <w:keepNext w:val="0"/>
        <w:keepLines w:val="0"/>
        <w:pageBreakBefore w:val="0"/>
        <w:widowControl w:val="0"/>
        <w:kinsoku/>
        <w:wordWrap/>
        <w:overflowPunct/>
        <w:topLinePunct w:val="0"/>
        <w:bidi w:val="0"/>
        <w:snapToGrid/>
        <w:ind w:left="437" w:leftChars="208" w:firstLine="0" w:firstLineChars="0"/>
        <w:textAlignment w:val="auto"/>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12.豆制品</w:t>
      </w:r>
    </w:p>
    <w:p w14:paraId="5586AA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必须具有合格产品检验报告。所用的原辅材料、包装材料必须符合国家标准、行业标准及有关规定；不得使用变质或未去除有害物质的原料、辅料，油炸豆制品所用油脂必须符合安全卫生标准，禁止反复使用。发酵豆制品所使用的菌种应防止污染和变异产毒。不得将次硫酸氢钠甲醛（吊白块）等工业原料作为食品添加剂在豆制品加工中使用。所使用的稳定剂和凝固剂必须符合国家、行业食品添加剂使用标准。</w:t>
      </w:r>
    </w:p>
    <w:p w14:paraId="2087AF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12.1 豆腐色泽洁白，干净无杂物、形态完整、质地细腻、有弹性，无酸味，无卤味，水分适度，</w:t>
      </w:r>
    </w:p>
    <w:p w14:paraId="276F26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12.2 豆腐丝、豆腐干、豆腐泡表面清爽无粘液、无酸味、霉变。</w:t>
      </w:r>
    </w:p>
    <w:p w14:paraId="37526C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12.3 豆浆新鲜液态、乳白清香、无杂质。</w:t>
      </w:r>
    </w:p>
    <w:p w14:paraId="376945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12.4包装运输清洁合理、无污染。</w:t>
      </w:r>
    </w:p>
    <w:p w14:paraId="53387D4F">
      <w:pPr>
        <w:pStyle w:val="7"/>
        <w:rPr>
          <w:rFonts w:hint="eastAsia" w:ascii="宋体" w:hAnsi="宋体" w:eastAsia="宋体" w:cs="宋体"/>
          <w:color w:val="auto"/>
          <w:highlight w:val="none"/>
          <w:lang w:val="en-US" w:eastAsia="zh-CN"/>
        </w:rPr>
      </w:pPr>
    </w:p>
    <w:p w14:paraId="25EF3212">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color w:val="auto"/>
          <w:sz w:val="22"/>
          <w:szCs w:val="22"/>
          <w:highlight w:val="none"/>
        </w:rPr>
      </w:pPr>
      <w:r>
        <w:rPr>
          <w:rFonts w:hint="eastAsia" w:ascii="宋体" w:hAnsi="宋体" w:eastAsia="宋体" w:cs="宋体"/>
          <w:b/>
          <w:bCs/>
          <w:i w:val="0"/>
          <w:iCs w:val="0"/>
          <w:color w:val="auto"/>
          <w:kern w:val="0"/>
          <w:sz w:val="24"/>
          <w:szCs w:val="24"/>
          <w:highlight w:val="none"/>
          <w:u w:val="none"/>
          <w:lang w:val="en-US" w:eastAsia="zh-CN" w:bidi="ar"/>
        </w:rPr>
        <w:t>13.奶制品</w:t>
      </w:r>
    </w:p>
    <w:p w14:paraId="65246B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13.1感官指标：奶制品在外观和色泽上应该清澈透明，具有明显的奶制品香味。如果出现浑浊、泛黄、乳块等情况，或者出现异味或者腐臭味道，就会影响其品质。</w:t>
      </w:r>
    </w:p>
    <w:p w14:paraId="458C6C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13.2理化指标：包括脂肪含量、蛋白质含量、乳糖含量等。正常的牛奶脂肪含量应该在3%左右，蛋白质含量不能低于2.8%，乳糖含量大约为4.6%到4.8%。</w:t>
      </w:r>
    </w:p>
    <w:p w14:paraId="274BF6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13.3安全指标：涉及微生物指标、农药残留、重金属等，确保奶制品的安全性。例如，菌落总数平均值应低于30万CFU/mL，不得含有致病菌。</w:t>
      </w:r>
    </w:p>
    <w:p w14:paraId="507E9E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13.4加工标准：规范奶制品的加工过程，确保产品的质量和安全。例如，巴氏杀菌乳和灭菌乳的加工要求不同，巴氏杀菌乳要求在85℃以上进行瞬间杀菌，而灭菌乳则需要在132℃以上进行超高温瞬时杀菌。</w:t>
      </w:r>
    </w:p>
    <w:p w14:paraId="30A4C2C1">
      <w:pPr>
        <w:pStyle w:val="7"/>
        <w:numPr>
          <w:ilvl w:val="0"/>
          <w:numId w:val="0"/>
        </w:numPr>
        <w:ind w:leftChars="200"/>
        <w:rPr>
          <w:rFonts w:hint="eastAsia" w:ascii="宋体" w:hAnsi="宋体" w:eastAsia="宋体" w:cs="宋体"/>
          <w:b/>
          <w:bCs/>
          <w:i w:val="0"/>
          <w:iCs w:val="0"/>
          <w:color w:val="auto"/>
          <w:kern w:val="0"/>
          <w:sz w:val="22"/>
          <w:szCs w:val="22"/>
          <w:highlight w:val="none"/>
          <w:u w:val="none"/>
          <w:lang w:val="en-US" w:eastAsia="zh-CN" w:bidi="ar"/>
        </w:rPr>
      </w:pPr>
    </w:p>
    <w:p w14:paraId="2B3E5889">
      <w:pPr>
        <w:pStyle w:val="7"/>
        <w:numPr>
          <w:ilvl w:val="0"/>
          <w:numId w:val="0"/>
        </w:numPr>
        <w:ind w:leftChars="200"/>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14.蛋类</w:t>
      </w:r>
    </w:p>
    <w:p w14:paraId="259789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新鲜的蛋外壳有层霜状粉末,壳表面比较粗糙,但有光泽；新鲜的蛋用鼻闻,清新、无异味将蛋轻轻摇动,听不到声音或感觉不到振动的为新鲜蛋。</w:t>
      </w:r>
    </w:p>
    <w:p w14:paraId="209AE8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（1）蛋壳毛糙、有白霜、蛋壳完整、无破损 ,外表干净无杂物。</w:t>
      </w:r>
    </w:p>
    <w:p w14:paraId="67244F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（2）光照透明、气室小、蛋黄轮廊明显、无显影。</w:t>
      </w:r>
    </w:p>
    <w:p w14:paraId="65739D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（3）无斑点、臭味，摇晃无震荡声音。</w:t>
      </w:r>
    </w:p>
    <w:p w14:paraId="1AE1BD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（4）每批随货必须提供该批次货物的检测报告。</w:t>
      </w:r>
    </w:p>
    <w:p w14:paraId="536C9485">
      <w:pPr>
        <w:pStyle w:val="7"/>
        <w:numPr>
          <w:ilvl w:val="0"/>
          <w:numId w:val="0"/>
        </w:numPr>
        <w:ind w:leftChars="200"/>
        <w:rPr>
          <w:rFonts w:hint="eastAsia" w:ascii="宋体" w:hAnsi="宋体" w:eastAsia="宋体" w:cs="宋体"/>
          <w:b/>
          <w:bCs/>
          <w:i w:val="0"/>
          <w:iCs w:val="0"/>
          <w:color w:val="auto"/>
          <w:kern w:val="0"/>
          <w:sz w:val="22"/>
          <w:szCs w:val="22"/>
          <w:highlight w:val="none"/>
          <w:u w:val="none"/>
          <w:lang w:val="en-US" w:eastAsia="zh-CN" w:bidi="ar"/>
        </w:rPr>
      </w:pPr>
    </w:p>
    <w:p w14:paraId="72F435BB">
      <w:pPr>
        <w:pStyle w:val="7"/>
        <w:numPr>
          <w:ilvl w:val="0"/>
          <w:numId w:val="0"/>
        </w:numPr>
        <w:ind w:leftChars="200"/>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15.面食</w:t>
      </w:r>
    </w:p>
    <w:p w14:paraId="1C8A77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（1）制作材料必须保证其新鲜、卫生、符合该类食品的行业标准，成品及半成品要有足够的有效保质期。</w:t>
      </w:r>
    </w:p>
    <w:p w14:paraId="637DCE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（2）来货必须使用食品袋密封包装，生熟食必须分开。</w:t>
      </w:r>
    </w:p>
    <w:p w14:paraId="518636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（3）包装材料应符合国家关于《食品包装材料的卫生管理规定》的要求，并具备耐高温性能。</w:t>
      </w:r>
    </w:p>
    <w:p w14:paraId="70A581CC">
      <w:pPr>
        <w:pStyle w:val="7"/>
        <w:numPr>
          <w:ilvl w:val="0"/>
          <w:numId w:val="0"/>
        </w:numPr>
        <w:ind w:leftChars="200"/>
        <w:rPr>
          <w:rFonts w:hint="eastAsia" w:ascii="宋体" w:hAnsi="宋体" w:eastAsia="宋体" w:cs="宋体"/>
          <w:b/>
          <w:bCs/>
          <w:i w:val="0"/>
          <w:iCs w:val="0"/>
          <w:color w:val="auto"/>
          <w:kern w:val="0"/>
          <w:sz w:val="22"/>
          <w:szCs w:val="22"/>
          <w:highlight w:val="none"/>
          <w:u w:val="none"/>
          <w:lang w:val="en-US" w:eastAsia="zh-CN" w:bidi="ar"/>
        </w:rPr>
      </w:pPr>
    </w:p>
    <w:p w14:paraId="1649D86F">
      <w:pPr>
        <w:pStyle w:val="7"/>
        <w:numPr>
          <w:ilvl w:val="0"/>
          <w:numId w:val="0"/>
        </w:numPr>
        <w:ind w:leftChars="200"/>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16.腊制品</w:t>
      </w:r>
    </w:p>
    <w:p w14:paraId="6FA1F9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（1）色泽及外观：呈褐色，有光泽；无霉点、无粘液。干爽，结实；切面平整，纹理消晰。</w:t>
      </w:r>
    </w:p>
    <w:p w14:paraId="133A8E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（2）气味：具有该产品固有的香味与气味，无异味，无酸味。</w:t>
      </w:r>
    </w:p>
    <w:p w14:paraId="619344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（3）无肉眼可见的杂质。</w:t>
      </w:r>
    </w:p>
    <w:p w14:paraId="67CE69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（4）符合GB2730-2015食品安全国家标准腌腊肉制品。</w:t>
      </w:r>
    </w:p>
    <w:p w14:paraId="0B8F2A5C">
      <w:pPr>
        <w:spacing w:before="162" w:line="362" w:lineRule="auto"/>
        <w:ind w:left="12" w:right="84" w:firstLine="417"/>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食材类供应商供应的各类食材必须必须满足以上规定的国家标准，符合《中华人民共和国食品安全法》、《中华人民共和国产品质量法》、《中华人民共和国食品卫生法》、《农产品安全质量无公害蔬菜安全要求》、《食品中污染限量》、《食品安全国家标准（食品中农药最大残留限量）》、《无公害农产品管理办法》等相关法律、法规和管理办法，确保所供物资符合卫生防疫部门、检验检疫部门的各项合格指标，并按要求提供相应的检测报告及合格证书。如遇突发情况（例如疫情等），参照当时国家有关部门相关规定办理。</w:t>
      </w:r>
    </w:p>
    <w:p w14:paraId="08326137">
      <w:pPr>
        <w:pStyle w:val="7"/>
        <w:numPr>
          <w:ilvl w:val="0"/>
          <w:numId w:val="0"/>
        </w:numPr>
        <w:ind w:leftChars="200"/>
        <w:rPr>
          <w:rFonts w:hint="eastAsia" w:ascii="宋体" w:hAnsi="宋体" w:eastAsia="宋体" w:cs="宋体"/>
          <w:b/>
          <w:bCs/>
          <w:i w:val="0"/>
          <w:iCs w:val="0"/>
          <w:color w:val="auto"/>
          <w:kern w:val="0"/>
          <w:sz w:val="22"/>
          <w:szCs w:val="22"/>
          <w:highlight w:val="none"/>
          <w:u w:val="none"/>
          <w:lang w:val="en-US" w:eastAsia="zh-CN" w:bidi="ar"/>
        </w:rPr>
      </w:pPr>
    </w:p>
    <w:p w14:paraId="6F3920B3">
      <w:pPr>
        <w:pStyle w:val="7"/>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第二包：建材类</w:t>
      </w:r>
    </w:p>
    <w:p w14:paraId="1FDA4819">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1提供的建筑材料必须满足各类材料的标准；</w:t>
      </w:r>
    </w:p>
    <w:p w14:paraId="563162A3">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2建筑材料按照招标人的要求、规格、型号、数量提供；</w:t>
      </w:r>
    </w:p>
    <w:p w14:paraId="54389B20">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3招标人对建筑材料进行抽检，抽检不合格免费更换。</w:t>
      </w:r>
    </w:p>
    <w:p w14:paraId="7DEC57DA">
      <w:pPr>
        <w:pStyle w:val="7"/>
        <w:numPr>
          <w:ilvl w:val="0"/>
          <w:numId w:val="0"/>
        </w:numPr>
        <w:ind w:leftChars="200"/>
        <w:rPr>
          <w:rFonts w:hint="eastAsia" w:ascii="宋体" w:hAnsi="宋体" w:eastAsia="宋体" w:cs="宋体"/>
          <w:b/>
          <w:bCs/>
          <w:i w:val="0"/>
          <w:iCs w:val="0"/>
          <w:color w:val="auto"/>
          <w:kern w:val="0"/>
          <w:sz w:val="24"/>
          <w:szCs w:val="24"/>
          <w:highlight w:val="none"/>
          <w:u w:val="none"/>
          <w:lang w:val="en-US" w:eastAsia="zh-CN" w:bidi="ar"/>
        </w:rPr>
      </w:pPr>
    </w:p>
    <w:p w14:paraId="028C7875">
      <w:pPr>
        <w:pStyle w:val="7"/>
        <w:numPr>
          <w:ilvl w:val="0"/>
          <w:numId w:val="0"/>
        </w:numPr>
        <w:ind w:leftChars="200"/>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第三包：百货类</w:t>
      </w:r>
    </w:p>
    <w:p w14:paraId="1E315808">
      <w:pPr>
        <w:pStyle w:val="10"/>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包装密封完整，无破损且清洁。有品名、生产期、产地、制造商、经销商、使用方法、型号、规格数量、许可证号、执行标准等标示，且字迹清晰。符合国家规定的相关质地标准及卫生标准。</w:t>
      </w:r>
    </w:p>
    <w:p w14:paraId="58A0497D">
      <w:pPr>
        <w:pStyle w:val="7"/>
        <w:numPr>
          <w:ilvl w:val="0"/>
          <w:numId w:val="0"/>
        </w:numPr>
        <w:ind w:leftChars="200"/>
        <w:rPr>
          <w:rFonts w:hint="eastAsia" w:ascii="宋体" w:hAnsi="宋体" w:eastAsia="宋体" w:cs="宋体"/>
          <w:b/>
          <w:bCs/>
          <w:i w:val="0"/>
          <w:iCs w:val="0"/>
          <w:color w:val="auto"/>
          <w:kern w:val="0"/>
          <w:sz w:val="24"/>
          <w:szCs w:val="24"/>
          <w:highlight w:val="none"/>
          <w:u w:val="none"/>
          <w:lang w:val="en-US" w:eastAsia="zh-CN" w:bidi="ar"/>
        </w:rPr>
      </w:pPr>
    </w:p>
    <w:p w14:paraId="7B6063CC">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textAlignment w:val="auto"/>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第四包：茶叶类</w:t>
      </w:r>
    </w:p>
    <w:p w14:paraId="04151D64">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textAlignment w:val="auto"/>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茶业包装密封完整，有品名、生产期、产地，必须为当年的新茶</w:t>
      </w:r>
      <w:r>
        <w:rPr>
          <w:rFonts w:hint="eastAsia" w:ascii="宋体" w:hAnsi="宋体" w:eastAsia="宋体" w:cs="宋体"/>
          <w:b/>
          <w:bCs/>
          <w:i w:val="0"/>
          <w:iCs w:val="0"/>
          <w:color w:val="auto"/>
          <w:kern w:val="0"/>
          <w:sz w:val="24"/>
          <w:szCs w:val="24"/>
          <w:highlight w:val="none"/>
          <w:u w:val="none"/>
          <w:lang w:val="en-US" w:eastAsia="zh-CN" w:bidi="ar"/>
        </w:rPr>
        <w:t>。</w:t>
      </w:r>
    </w:p>
    <w:p w14:paraId="26C12B19">
      <w:pPr>
        <w:pStyle w:val="7"/>
        <w:numPr>
          <w:ilvl w:val="0"/>
          <w:numId w:val="0"/>
        </w:numPr>
        <w:ind w:leftChars="200"/>
        <w:rPr>
          <w:rFonts w:hint="eastAsia" w:ascii="宋体" w:hAnsi="宋体" w:eastAsia="宋体" w:cs="宋体"/>
          <w:b/>
          <w:bCs/>
          <w:i w:val="0"/>
          <w:iCs w:val="0"/>
          <w:color w:val="auto"/>
          <w:kern w:val="0"/>
          <w:sz w:val="24"/>
          <w:szCs w:val="24"/>
          <w:highlight w:val="none"/>
          <w:u w:val="none"/>
          <w:lang w:val="en-US" w:eastAsia="zh-CN" w:bidi="ar"/>
        </w:rPr>
      </w:pPr>
    </w:p>
    <w:p w14:paraId="376FBC59">
      <w:pPr>
        <w:pStyle w:val="7"/>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第五包：办公用品</w:t>
      </w:r>
    </w:p>
    <w:p w14:paraId="66163812">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1产品应与其注册商标相吻合,且该注册商标具有合法性；</w:t>
      </w:r>
    </w:p>
    <w:p w14:paraId="3BC5817A">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2办公用品都要求是全新(非代生品)，必须是正品；</w:t>
      </w:r>
    </w:p>
    <w:p w14:paraId="20869BB3">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3办公用品的包装在交付时应保持密封、完好，产品未被擦伤或因装卸、雨淋而受损；</w:t>
      </w:r>
    </w:p>
    <w:p w14:paraId="17390092">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4办公用品应与所列明型号、性能、规格等内容相一致。</w:t>
      </w:r>
    </w:p>
    <w:p w14:paraId="4CD32FA8">
      <w:pPr>
        <w:bidi w:val="0"/>
        <w:rPr>
          <w:rFonts w:hint="eastAsia" w:ascii="宋体" w:hAnsi="宋体" w:eastAsia="宋体" w:cs="宋体"/>
          <w:color w:val="auto"/>
          <w:highlight w:val="none"/>
        </w:rPr>
      </w:pPr>
      <w:bookmarkStart w:id="556" w:name="_Toc279480890"/>
      <w:bookmarkStart w:id="557" w:name="_Toc21273"/>
      <w:bookmarkStart w:id="558" w:name="_Toc31121"/>
      <w:bookmarkStart w:id="559" w:name="_Toc31843"/>
      <w:bookmarkStart w:id="560" w:name="_Toc82597099"/>
      <w:bookmarkStart w:id="561" w:name="_Toc416794654"/>
    </w:p>
    <w:p w14:paraId="0EAC97B9">
      <w:pPr>
        <w:pStyle w:val="7"/>
        <w:rPr>
          <w:rFonts w:hint="eastAsia" w:ascii="宋体" w:hAnsi="宋体" w:eastAsia="宋体" w:cs="宋体"/>
          <w:color w:val="auto"/>
          <w:kern w:val="2"/>
          <w:sz w:val="28"/>
          <w:szCs w:val="36"/>
          <w:highlight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第六包：农用产品</w:t>
      </w:r>
    </w:p>
    <w:p w14:paraId="58B91719">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1复合肥料符合国家标准GB15063-2020；有机肥料符合NY525-2021；其他肥料含量不得低于国家规定标准，不得含有有毒有害物质。</w:t>
      </w:r>
    </w:p>
    <w:p w14:paraId="61F7914C">
      <w:pPr>
        <w:pStyle w:val="7"/>
        <w:rPr>
          <w:rFonts w:hint="eastAsia" w:ascii="宋体" w:hAnsi="宋体" w:eastAsia="宋体" w:cs="宋体"/>
          <w:color w:val="auto"/>
          <w:highlight w:val="none"/>
          <w:lang w:val="en-US" w:eastAsia="zh-CN"/>
        </w:rPr>
      </w:pPr>
    </w:p>
    <w:p w14:paraId="3C008B0E">
      <w:pPr>
        <w:pStyle w:val="7"/>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第七包：燃料类</w:t>
      </w:r>
    </w:p>
    <w:p w14:paraId="35DF8EC0">
      <w:pPr>
        <w:pStyle w:val="7"/>
        <w:rPr>
          <w:rFonts w:hint="eastAsia" w:ascii="宋体" w:hAnsi="宋体" w:eastAsia="宋体" w:cs="宋体"/>
          <w:b/>
          <w:bCs/>
          <w:i w:val="0"/>
          <w:iCs w:val="0"/>
          <w:color w:val="auto"/>
          <w:kern w:val="0"/>
          <w:sz w:val="22"/>
          <w:szCs w:val="22"/>
          <w:highlight w:val="none"/>
          <w:u w:val="none"/>
          <w:lang w:val="en-US" w:eastAsia="zh-CN" w:bidi="ar"/>
        </w:rPr>
      </w:pPr>
    </w:p>
    <w:p w14:paraId="3F424E6C">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1燃烧类材料能够充分燃烧，释放的气体不产生有害、有毒气体。</w:t>
      </w:r>
    </w:p>
    <w:bookmarkEnd w:id="556"/>
    <w:bookmarkEnd w:id="557"/>
    <w:bookmarkEnd w:id="558"/>
    <w:bookmarkEnd w:id="559"/>
    <w:bookmarkEnd w:id="560"/>
    <w:bookmarkEnd w:id="561"/>
    <w:p w14:paraId="6FC5E7D5">
      <w:pPr>
        <w:pStyle w:val="7"/>
        <w:ind w:left="0" w:leftChars="0" w:firstLine="0" w:firstLineChars="0"/>
        <w:rPr>
          <w:rFonts w:hint="eastAsia" w:ascii="宋体" w:hAnsi="宋体" w:eastAsia="宋体" w:cs="宋体"/>
          <w:color w:val="auto"/>
          <w:highlight w:val="none"/>
          <w:lang w:val="en-US" w:eastAsia="zh-CN"/>
        </w:rPr>
      </w:pPr>
      <w:bookmarkStart w:id="562" w:name="_Toc15573"/>
      <w:bookmarkStart w:id="563" w:name="_Toc82597102"/>
      <w:bookmarkStart w:id="564" w:name="_Toc279480893"/>
      <w:bookmarkStart w:id="565" w:name="_Toc28178"/>
      <w:bookmarkStart w:id="566" w:name="_Toc416794657"/>
      <w:bookmarkStart w:id="567" w:name="_Toc9836"/>
      <w:bookmarkStart w:id="568" w:name="_Toc30874"/>
    </w:p>
    <w:p w14:paraId="2A96ED10">
      <w:pPr>
        <w:pStyle w:val="4"/>
        <w:spacing w:before="0" w:after="0" w:line="360" w:lineRule="auto"/>
        <w:ind w:firstLine="482" w:firstLineChars="200"/>
        <w:jc w:val="both"/>
        <w:rPr>
          <w:rFonts w:hint="eastAsia" w:ascii="宋体" w:hAnsi="宋体" w:eastAsia="宋体" w:cs="宋体"/>
          <w:color w:val="auto"/>
          <w:sz w:val="24"/>
          <w:highlight w:val="none"/>
        </w:rPr>
      </w:pPr>
      <w:bookmarkStart w:id="569" w:name="_Toc7588"/>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lang w:val="en-US" w:eastAsia="zh-CN"/>
        </w:rPr>
        <w:t>入围</w:t>
      </w:r>
      <w:r>
        <w:rPr>
          <w:rFonts w:hint="eastAsia" w:ascii="宋体" w:hAnsi="宋体" w:eastAsia="宋体" w:cs="宋体"/>
          <w:color w:val="auto"/>
          <w:sz w:val="24"/>
          <w:highlight w:val="none"/>
        </w:rPr>
        <w:t>供应商的要求</w:t>
      </w:r>
      <w:bookmarkEnd w:id="562"/>
      <w:bookmarkEnd w:id="563"/>
      <w:bookmarkEnd w:id="564"/>
      <w:bookmarkEnd w:id="565"/>
      <w:bookmarkEnd w:id="566"/>
      <w:bookmarkEnd w:id="567"/>
      <w:bookmarkEnd w:id="568"/>
      <w:bookmarkEnd w:id="569"/>
    </w:p>
    <w:p w14:paraId="0B5F857C">
      <w:pPr>
        <w:pStyle w:val="13"/>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入围供应商</w:t>
      </w:r>
      <w:r>
        <w:rPr>
          <w:rFonts w:hint="eastAsia" w:ascii="宋体" w:hAnsi="宋体" w:eastAsia="宋体" w:cs="宋体"/>
          <w:color w:val="auto"/>
          <w:kern w:val="0"/>
          <w:sz w:val="24"/>
          <w:szCs w:val="24"/>
          <w:highlight w:val="none"/>
        </w:rPr>
        <w:t>必须设立总协调人，全权负责中标后招标方对其中标产品的有关咨询、查询、签订和执行合同、无条件履行售后服务承诺和接受投诉等事务；总协调人信息和售后服务网点信息必须明确且详尽具体（包括联系电话、传真、电子邮件信息和QQ），以便于招标方与之进行联络。</w:t>
      </w:r>
    </w:p>
    <w:p w14:paraId="393E0520">
      <w:pPr>
        <w:pStyle w:val="13"/>
        <w:spacing w:line="360" w:lineRule="auto"/>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入围供应商</w:t>
      </w:r>
      <w:r>
        <w:rPr>
          <w:rFonts w:hint="eastAsia" w:ascii="宋体" w:hAnsi="宋体" w:eastAsia="宋体" w:cs="宋体"/>
          <w:color w:val="auto"/>
          <w:kern w:val="0"/>
          <w:sz w:val="24"/>
          <w:szCs w:val="24"/>
          <w:highlight w:val="none"/>
        </w:rPr>
        <w:t>入库后必须遵守</w:t>
      </w:r>
      <w:r>
        <w:rPr>
          <w:rFonts w:hint="eastAsia" w:ascii="宋体" w:hAnsi="宋体" w:eastAsia="宋体" w:cs="宋体"/>
          <w:color w:val="auto"/>
          <w:kern w:val="0"/>
          <w:sz w:val="24"/>
          <w:szCs w:val="24"/>
          <w:highlight w:val="none"/>
          <w:lang w:val="en-US" w:eastAsia="zh-CN"/>
        </w:rPr>
        <w:t>宣恩仙山贡水商贸有限公司</w:t>
      </w:r>
      <w:r>
        <w:rPr>
          <w:rFonts w:hint="eastAsia" w:ascii="宋体" w:hAnsi="宋体" w:eastAsia="宋体" w:cs="宋体"/>
          <w:color w:val="auto"/>
          <w:kern w:val="0"/>
          <w:sz w:val="24"/>
          <w:szCs w:val="24"/>
          <w:highlight w:val="none"/>
        </w:rPr>
        <w:t>对供应商库管理规章制度，</w:t>
      </w:r>
      <w:r>
        <w:rPr>
          <w:rFonts w:hint="eastAsia" w:ascii="宋体" w:hAnsi="宋体" w:eastAsia="宋体" w:cs="宋体"/>
          <w:color w:val="auto"/>
          <w:kern w:val="0"/>
          <w:sz w:val="24"/>
          <w:szCs w:val="24"/>
          <w:highlight w:val="none"/>
          <w:lang w:val="en-US" w:eastAsia="zh-CN"/>
        </w:rPr>
        <w:t>入围</w:t>
      </w:r>
      <w:r>
        <w:rPr>
          <w:rFonts w:hint="eastAsia" w:ascii="宋体" w:hAnsi="宋体" w:eastAsia="宋体" w:cs="宋体"/>
          <w:color w:val="auto"/>
          <w:kern w:val="0"/>
          <w:sz w:val="24"/>
          <w:szCs w:val="24"/>
          <w:highlight w:val="none"/>
        </w:rPr>
        <w:t>单位或人员在服务期限内被发现违纪违规行为，招标人有权取消其库成员资格。</w:t>
      </w:r>
    </w:p>
    <w:p w14:paraId="4C138B1C">
      <w:pPr>
        <w:pStyle w:val="13"/>
        <w:spacing w:line="360" w:lineRule="auto"/>
        <w:ind w:firstLine="482"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3.3入围供应商在入库后将再通过询价的方式确定具体每个项目的中选人，具体每个项目的中选按同等供货技术及服务要求报价最低的为中选人。</w:t>
      </w:r>
      <w:r>
        <w:rPr>
          <w:rFonts w:hint="eastAsia" w:ascii="宋体" w:hAnsi="宋体" w:eastAsia="宋体" w:cs="宋体"/>
          <w:color w:val="auto"/>
          <w:kern w:val="0"/>
          <w:sz w:val="24"/>
          <w:szCs w:val="24"/>
          <w:highlight w:val="none"/>
          <w:lang w:val="en-US" w:eastAsia="zh-CN"/>
        </w:rPr>
        <w:t xml:space="preserve"> </w:t>
      </w:r>
    </w:p>
    <w:p w14:paraId="599A8FFA">
      <w:pPr>
        <w:pStyle w:val="13"/>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入围供应商</w:t>
      </w:r>
      <w:r>
        <w:rPr>
          <w:rFonts w:hint="eastAsia" w:ascii="宋体" w:hAnsi="宋体" w:eastAsia="宋体" w:cs="宋体"/>
          <w:color w:val="auto"/>
          <w:kern w:val="0"/>
          <w:sz w:val="24"/>
          <w:szCs w:val="24"/>
          <w:highlight w:val="none"/>
        </w:rPr>
        <w:t>入库后其单次项目报价不得高于市场价格，明显高于市场价格的。</w:t>
      </w:r>
    </w:p>
    <w:p w14:paraId="0F808656">
      <w:pPr>
        <w:pStyle w:val="13"/>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val="en-US" w:eastAsia="zh-CN"/>
        </w:rPr>
        <w:t>入围</w:t>
      </w:r>
      <w:r>
        <w:rPr>
          <w:rFonts w:hint="eastAsia" w:ascii="宋体" w:hAnsi="宋体" w:eastAsia="宋体" w:cs="宋体"/>
          <w:color w:val="auto"/>
          <w:kern w:val="0"/>
          <w:sz w:val="24"/>
          <w:szCs w:val="24"/>
          <w:highlight w:val="none"/>
        </w:rPr>
        <w:t>供应商应诚实信用、提供优质的服务。</w:t>
      </w:r>
    </w:p>
    <w:p w14:paraId="54F115FB">
      <w:pPr>
        <w:pStyle w:val="13"/>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3.6入围</w:t>
      </w:r>
      <w:r>
        <w:rPr>
          <w:rFonts w:hint="eastAsia" w:ascii="宋体" w:hAnsi="宋体" w:eastAsia="宋体" w:cs="宋体"/>
          <w:color w:val="auto"/>
          <w:kern w:val="0"/>
          <w:sz w:val="24"/>
          <w:szCs w:val="24"/>
          <w:highlight w:val="none"/>
        </w:rPr>
        <w:t>供应商应主动配合</w:t>
      </w:r>
      <w:r>
        <w:rPr>
          <w:rFonts w:hint="eastAsia" w:ascii="宋体" w:hAnsi="宋体" w:eastAsia="宋体" w:cs="宋体"/>
          <w:color w:val="auto"/>
          <w:kern w:val="0"/>
          <w:sz w:val="24"/>
          <w:szCs w:val="24"/>
          <w:highlight w:val="none"/>
          <w:lang w:val="en-US" w:eastAsia="zh-CN"/>
        </w:rPr>
        <w:t>宣恩仙山贡水商贸有限公司入库单位工作情况的定期检查。</w:t>
      </w:r>
    </w:p>
    <w:p w14:paraId="17C93A78">
      <w:pPr>
        <w:pStyle w:val="13"/>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3.7入围供应商在服务过程中，应遵循保密原则，在结果没有得到招标人同意时，不得向其他机构或人员透露。经核实，入围供应商出现向其他机构或人员泄露的情况，招标人可以不支付该业务的费用并有权终止本合作协议，同时招标人保留依法追究入围供应商责任的权利。</w:t>
      </w:r>
    </w:p>
    <w:p w14:paraId="2FF1F4A2">
      <w:pPr>
        <w:pStyle w:val="4"/>
        <w:numPr>
          <w:ilvl w:val="0"/>
          <w:numId w:val="2"/>
        </w:numPr>
        <w:bidi w:val="0"/>
        <w:jc w:val="both"/>
        <w:rPr>
          <w:rFonts w:hint="eastAsia" w:ascii="宋体" w:hAnsi="宋体" w:eastAsia="宋体" w:cs="宋体"/>
          <w:color w:val="auto"/>
          <w:highlight w:val="none"/>
          <w:lang w:val="en-US" w:eastAsia="zh-CN"/>
        </w:rPr>
      </w:pPr>
      <w:bookmarkStart w:id="570" w:name="_Toc1326"/>
      <w:bookmarkStart w:id="571" w:name="_Toc31393"/>
      <w:r>
        <w:rPr>
          <w:rFonts w:hint="eastAsia" w:ascii="宋体" w:hAnsi="宋体" w:eastAsia="宋体" w:cs="宋体"/>
          <w:color w:val="auto"/>
          <w:highlight w:val="none"/>
          <w:lang w:val="en-US" w:eastAsia="zh-CN"/>
        </w:rPr>
        <w:t>食品类责任要求</w:t>
      </w:r>
      <w:bookmarkEnd w:id="570"/>
      <w:bookmarkEnd w:id="571"/>
    </w:p>
    <w:p w14:paraId="7E50F65A">
      <w:pPr>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食品供应商须保证所供食品材料均为符合国家卫生、质量检验标准的正规产品，保证配送品种、数量完全满足招标人要求。特殊原材料，供应商应每日均留存样品，保存时间为48小时，确认期间无任何食品安全问题后丢弃。</w:t>
      </w:r>
    </w:p>
    <w:p w14:paraId="28A16EF9">
      <w:pPr>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食品材料在验收时有不符合要求的，一律退回，供应商应无条件重新更换配送货物，更换后仍然不符合标准的，采购方有权自行采购且采购方有权对供应商处以一定金额的罚款，以不符合要求的单品金额两倍价款赔付当日损失，且采购方有权终止合同。</w:t>
      </w:r>
    </w:p>
    <w:p w14:paraId="3706E0C2">
      <w:pPr>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供应商未按时按要求将食品材料配送到位，影响采购方正常秩序的，采购方有权自行采购，同时采购方将对责任食品材料供应商进行处罚，以当日需求计划总量两倍价款赔付当日损失，且招标人有权终止合同。</w:t>
      </w:r>
    </w:p>
    <w:p w14:paraId="64A2B585">
      <w:pPr>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4、任何因食品材料质量问题导致的食品安全或食物中毒责任，在确认导致问题的食品材料品种后，由该供应商承担全部法律责任与经济损失，除对采购方进行赔付外，招标人有权单方终止合同。</w:t>
      </w:r>
    </w:p>
    <w:p w14:paraId="5E8986A3">
      <w:pPr>
        <w:spacing w:line="360" w:lineRule="auto"/>
        <w:ind w:firstLine="482" w:firstLineChars="20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5、供应商入库之后如国家质量标准在服务期限内发生变化，按照最新国家质量标准执行。</w:t>
      </w:r>
    </w:p>
    <w:p w14:paraId="7FBF3D42">
      <w:pPr>
        <w:pStyle w:val="4"/>
        <w:bidi w:val="0"/>
        <w:spacing w:before="0" w:after="0" w:line="240" w:lineRule="auto"/>
        <w:jc w:val="both"/>
        <w:rPr>
          <w:rFonts w:hint="eastAsia" w:ascii="宋体" w:hAnsi="宋体" w:eastAsia="宋体" w:cs="宋体"/>
          <w:b/>
          <w:color w:val="auto"/>
          <w:highlight w:val="none"/>
          <w:lang w:val="en-US" w:eastAsia="zh-CN"/>
        </w:rPr>
      </w:pPr>
      <w:bookmarkStart w:id="572" w:name="_Toc5266"/>
      <w:bookmarkStart w:id="573" w:name="_Toc2338"/>
      <w:r>
        <w:rPr>
          <w:rFonts w:hint="eastAsia" w:ascii="宋体" w:hAnsi="宋体" w:eastAsia="宋体" w:cs="宋体"/>
          <w:b/>
          <w:color w:val="auto"/>
          <w:highlight w:val="none"/>
          <w:lang w:val="en-US" w:eastAsia="zh-CN"/>
        </w:rPr>
        <w:t>五、其他要求</w:t>
      </w:r>
      <w:bookmarkEnd w:id="572"/>
      <w:bookmarkEnd w:id="573"/>
    </w:p>
    <w:p w14:paraId="07544686">
      <w:pPr>
        <w:spacing w:line="360" w:lineRule="auto"/>
        <w:ind w:firstLine="482" w:firstLineChars="20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1、供应商应自行承诺能够提供增值税专用发票。</w:t>
      </w:r>
    </w:p>
    <w:p w14:paraId="5B6B5DA4">
      <w:pPr>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2、以上招标内容因国家政策发生变化，根据国家政策实施，并终止其合同；招标人终止合同对入围供应商造成的损失不予补偿。</w:t>
      </w:r>
    </w:p>
    <w:p w14:paraId="5332632B">
      <w:pPr>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3、有其他相关要求在合同中具体约定。</w:t>
      </w:r>
    </w:p>
    <w:p w14:paraId="43D4658B">
      <w:pPr>
        <w:spacing w:line="360" w:lineRule="auto"/>
        <w:ind w:firstLine="480" w:firstLineChars="200"/>
        <w:rPr>
          <w:rFonts w:hint="eastAsia" w:ascii="宋体" w:hAnsi="宋体" w:eastAsia="宋体" w:cs="宋体"/>
          <w:color w:val="auto"/>
          <w:kern w:val="0"/>
          <w:sz w:val="24"/>
          <w:szCs w:val="24"/>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color w:val="auto"/>
          <w:kern w:val="0"/>
          <w:sz w:val="24"/>
          <w:szCs w:val="24"/>
          <w:highlight w:val="none"/>
          <w:lang w:val="en-US" w:eastAsia="zh-CN" w:bidi="ar-SA"/>
        </w:rPr>
        <w:t>4、招标文件中未明确的事项，可在合同中完善，如与国家现行法律法规相冲突，从其规定。</w:t>
      </w:r>
    </w:p>
    <w:p w14:paraId="73B34368">
      <w:pPr>
        <w:spacing w:line="360" w:lineRule="auto"/>
        <w:jc w:val="center"/>
        <w:outlineLvl w:val="0"/>
        <w:rPr>
          <w:rFonts w:hint="eastAsia" w:ascii="宋体" w:hAnsi="宋体" w:eastAsia="宋体" w:cs="宋体"/>
          <w:b/>
          <w:color w:val="auto"/>
          <w:sz w:val="32"/>
          <w:szCs w:val="32"/>
          <w:highlight w:val="none"/>
        </w:rPr>
      </w:pPr>
      <w:bookmarkStart w:id="574" w:name="_Toc3865"/>
      <w:bookmarkStart w:id="575" w:name="_Toc17883"/>
      <w:bookmarkStart w:id="576" w:name="_Toc8549"/>
      <w:bookmarkStart w:id="577" w:name="_Toc10234"/>
      <w:bookmarkStart w:id="578" w:name="_Toc12482"/>
      <w:bookmarkStart w:id="579" w:name="_Toc8871"/>
      <w:bookmarkStart w:id="580" w:name="_Toc22685"/>
      <w:bookmarkStart w:id="581" w:name="_Toc12303"/>
      <w:r>
        <w:rPr>
          <w:rFonts w:hint="eastAsia" w:ascii="宋体" w:hAnsi="宋体" w:eastAsia="宋体" w:cs="宋体"/>
          <w:b/>
          <w:color w:val="auto"/>
          <w:kern w:val="44"/>
          <w:sz w:val="48"/>
          <w:szCs w:val="48"/>
          <w:highlight w:val="none"/>
        </w:rPr>
        <w:t>第四章</w:t>
      </w:r>
      <w:bookmarkEnd w:id="574"/>
      <w:bookmarkEnd w:id="575"/>
      <w:r>
        <w:rPr>
          <w:rFonts w:hint="eastAsia" w:ascii="宋体" w:hAnsi="宋体" w:eastAsia="宋体" w:cs="宋体"/>
          <w:b/>
          <w:color w:val="auto"/>
          <w:kern w:val="44"/>
          <w:sz w:val="48"/>
          <w:szCs w:val="48"/>
          <w:highlight w:val="none"/>
        </w:rPr>
        <w:t>评标方法（综合评分法）</w:t>
      </w:r>
      <w:bookmarkEnd w:id="576"/>
      <w:bookmarkEnd w:id="577"/>
      <w:bookmarkEnd w:id="578"/>
      <w:bookmarkEnd w:id="579"/>
      <w:bookmarkEnd w:id="580"/>
      <w:bookmarkEnd w:id="581"/>
    </w:p>
    <w:p w14:paraId="3A61BB1B">
      <w:pPr>
        <w:pStyle w:val="4"/>
        <w:spacing w:before="0" w:after="0" w:line="240" w:lineRule="auto"/>
        <w:jc w:val="center"/>
        <w:rPr>
          <w:rFonts w:hint="eastAsia" w:ascii="宋体" w:hAnsi="宋体" w:eastAsia="宋体" w:cs="宋体"/>
          <w:b w:val="0"/>
          <w:bCs w:val="0"/>
          <w:color w:val="auto"/>
          <w:spacing w:val="12"/>
          <w:szCs w:val="28"/>
          <w:highlight w:val="none"/>
        </w:rPr>
      </w:pPr>
      <w:bookmarkStart w:id="582" w:name="_Toc31840"/>
      <w:bookmarkStart w:id="583" w:name="_Toc12735"/>
      <w:bookmarkStart w:id="584" w:name="_Toc29080"/>
      <w:bookmarkStart w:id="585" w:name="_Toc408773504"/>
      <w:bookmarkStart w:id="586" w:name="_Toc183492176"/>
      <w:bookmarkStart w:id="587" w:name="_Toc9703"/>
      <w:bookmarkStart w:id="588" w:name="_Toc31751"/>
      <w:bookmarkStart w:id="589" w:name="_Toc2006"/>
      <w:bookmarkStart w:id="590" w:name="_Toc6311"/>
      <w:bookmarkStart w:id="591" w:name="_Toc21790"/>
      <w:bookmarkStart w:id="592" w:name="_Toc15939"/>
      <w:r>
        <w:rPr>
          <w:rFonts w:hint="eastAsia" w:ascii="宋体" w:hAnsi="宋体" w:eastAsia="宋体" w:cs="宋体"/>
          <w:color w:val="auto"/>
          <w:spacing w:val="12"/>
          <w:szCs w:val="28"/>
          <w:highlight w:val="none"/>
        </w:rPr>
        <w:t>评标办法前附表</w:t>
      </w:r>
      <w:bookmarkEnd w:id="582"/>
      <w:bookmarkEnd w:id="583"/>
      <w:bookmarkEnd w:id="584"/>
      <w:bookmarkEnd w:id="585"/>
      <w:bookmarkEnd w:id="586"/>
      <w:bookmarkEnd w:id="587"/>
      <w:bookmarkEnd w:id="588"/>
      <w:bookmarkEnd w:id="589"/>
      <w:bookmarkEnd w:id="590"/>
      <w:bookmarkEnd w:id="591"/>
      <w:bookmarkEnd w:id="592"/>
    </w:p>
    <w:tbl>
      <w:tblPr>
        <w:tblStyle w:val="23"/>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076"/>
        <w:gridCol w:w="1082"/>
        <w:gridCol w:w="6288"/>
      </w:tblGrid>
      <w:tr w14:paraId="2B31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53" w:type="dxa"/>
            <w:vAlign w:val="center"/>
          </w:tcPr>
          <w:p w14:paraId="20FBFD14">
            <w:pPr>
              <w:autoSpaceDE w:val="0"/>
              <w:autoSpaceDN w:val="0"/>
              <w:adjustRightIn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076" w:type="dxa"/>
            <w:vAlign w:val="center"/>
          </w:tcPr>
          <w:p w14:paraId="5348F780">
            <w:pPr>
              <w:autoSpaceDE w:val="0"/>
              <w:autoSpaceDN w:val="0"/>
              <w:adjustRightIn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7370" w:type="dxa"/>
            <w:gridSpan w:val="2"/>
            <w:vAlign w:val="center"/>
          </w:tcPr>
          <w:p w14:paraId="20ED0055">
            <w:pPr>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审查内容</w:t>
            </w:r>
          </w:p>
        </w:tc>
      </w:tr>
      <w:tr w14:paraId="1161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853" w:type="dxa"/>
            <w:vMerge w:val="restart"/>
            <w:vAlign w:val="center"/>
          </w:tcPr>
          <w:p w14:paraId="7033BA0D">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w:t>
            </w:r>
          </w:p>
          <w:p w14:paraId="4A0BD9A4">
            <w:pPr>
              <w:rPr>
                <w:rFonts w:hint="eastAsia" w:ascii="宋体" w:hAnsi="宋体" w:eastAsia="宋体" w:cs="宋体"/>
                <w:color w:val="auto"/>
                <w:highlight w:val="none"/>
              </w:rPr>
            </w:pPr>
            <w:r>
              <w:rPr>
                <w:rFonts w:hint="eastAsia" w:ascii="宋体" w:hAnsi="宋体" w:eastAsia="宋体" w:cs="宋体"/>
                <w:bCs/>
                <w:color w:val="auto"/>
                <w:szCs w:val="21"/>
                <w:highlight w:val="none"/>
              </w:rPr>
              <w:t>资格审查</w:t>
            </w:r>
          </w:p>
        </w:tc>
        <w:tc>
          <w:tcPr>
            <w:tcW w:w="1076" w:type="dxa"/>
            <w:shd w:val="clear" w:color="auto" w:fill="auto"/>
            <w:vAlign w:val="center"/>
          </w:tcPr>
          <w:p w14:paraId="7937CE90">
            <w:pPr>
              <w:spacing w:beforeLines="50"/>
              <w:ind w:right="11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70" w:type="dxa"/>
            <w:gridSpan w:val="2"/>
            <w:shd w:val="clear" w:color="auto" w:fill="auto"/>
            <w:vAlign w:val="center"/>
          </w:tcPr>
          <w:p w14:paraId="5778EE9A">
            <w:pPr>
              <w:spacing w:line="400" w:lineRule="exact"/>
              <w:rPr>
                <w:rFonts w:hint="eastAsia" w:ascii="宋体" w:hAnsi="宋体" w:eastAsia="宋体" w:cs="宋体"/>
                <w:b/>
                <w:bCs/>
                <w:color w:val="auto"/>
                <w:sz w:val="21"/>
                <w:szCs w:val="21"/>
                <w:highlight w:val="none"/>
                <w:lang w:val="en-US"/>
              </w:rPr>
            </w:pPr>
            <w:r>
              <w:rPr>
                <w:rFonts w:hint="eastAsia" w:ascii="宋体" w:hAnsi="宋体" w:eastAsia="宋体" w:cs="宋体"/>
                <w:color w:val="auto"/>
                <w:sz w:val="21"/>
                <w:szCs w:val="21"/>
                <w:highlight w:val="none"/>
                <w:lang w:val="en-US" w:eastAsia="zh-CN"/>
              </w:rPr>
              <w:t>供应商必须为在中华人民共和国境内依法注册成立的法人或其他组织（含个体工商户），提供有效营业执照复印件加盖公章</w:t>
            </w:r>
          </w:p>
        </w:tc>
      </w:tr>
      <w:tr w14:paraId="24D3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853" w:type="dxa"/>
            <w:vMerge w:val="continue"/>
            <w:vAlign w:val="center"/>
          </w:tcPr>
          <w:p w14:paraId="13BBBFDB">
            <w:pPr>
              <w:autoSpaceDE w:val="0"/>
              <w:autoSpaceDN w:val="0"/>
              <w:adjustRightInd w:val="0"/>
              <w:spacing w:line="360" w:lineRule="auto"/>
              <w:rPr>
                <w:rFonts w:hint="eastAsia" w:ascii="宋体" w:hAnsi="宋体" w:eastAsia="宋体" w:cs="宋体"/>
                <w:bCs/>
                <w:color w:val="auto"/>
                <w:szCs w:val="21"/>
                <w:highlight w:val="none"/>
              </w:rPr>
            </w:pPr>
          </w:p>
        </w:tc>
        <w:tc>
          <w:tcPr>
            <w:tcW w:w="1076" w:type="dxa"/>
            <w:vAlign w:val="center"/>
          </w:tcPr>
          <w:p w14:paraId="5509E588">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370" w:type="dxa"/>
            <w:gridSpan w:val="2"/>
            <w:vAlign w:val="center"/>
          </w:tcPr>
          <w:p w14:paraId="5215FDBB">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财务要求：供应商具有良好的商业信誉和健全的财务会计制度，2023年财务审计报告或财务报表（利润表、资产负债表、现金流量表）或书面承诺函；所有标包的供应商承诺提供增值税专用发票。</w:t>
            </w:r>
          </w:p>
        </w:tc>
      </w:tr>
      <w:tr w14:paraId="4E15B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853" w:type="dxa"/>
            <w:vMerge w:val="continue"/>
            <w:vAlign w:val="center"/>
          </w:tcPr>
          <w:p w14:paraId="27DE3F98">
            <w:pPr>
              <w:autoSpaceDE w:val="0"/>
              <w:autoSpaceDN w:val="0"/>
              <w:adjustRightInd w:val="0"/>
              <w:spacing w:line="360" w:lineRule="auto"/>
              <w:rPr>
                <w:rFonts w:hint="eastAsia" w:ascii="宋体" w:hAnsi="宋体" w:eastAsia="宋体" w:cs="宋体"/>
                <w:bCs/>
                <w:color w:val="auto"/>
                <w:szCs w:val="21"/>
                <w:highlight w:val="none"/>
              </w:rPr>
            </w:pPr>
          </w:p>
        </w:tc>
        <w:tc>
          <w:tcPr>
            <w:tcW w:w="1076" w:type="dxa"/>
            <w:vAlign w:val="center"/>
          </w:tcPr>
          <w:p w14:paraId="62E6D7A6">
            <w:pPr>
              <w:spacing w:beforeLines="50"/>
              <w:ind w:right="11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370" w:type="dxa"/>
            <w:gridSpan w:val="2"/>
            <w:vAlign w:val="center"/>
          </w:tcPr>
          <w:p w14:paraId="14D13A0C">
            <w:pPr>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供应商依法缴纳税收和社会保险，提供2024年投标截止日前一个月的纳税证明材料和缴纳社保的证明材料或提供依法缴纳税收和社会保险或书面承诺函；依法免税或不需要缴纳社会保障资金的供应商应提供相应的证明材料</w:t>
            </w:r>
          </w:p>
        </w:tc>
      </w:tr>
      <w:tr w14:paraId="5014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53" w:type="dxa"/>
            <w:vMerge w:val="continue"/>
            <w:vAlign w:val="center"/>
          </w:tcPr>
          <w:p w14:paraId="4FC2E11F">
            <w:pPr>
              <w:autoSpaceDE w:val="0"/>
              <w:autoSpaceDN w:val="0"/>
              <w:adjustRightInd w:val="0"/>
              <w:spacing w:line="360" w:lineRule="auto"/>
              <w:rPr>
                <w:rFonts w:hint="eastAsia" w:ascii="宋体" w:hAnsi="宋体" w:eastAsia="宋体" w:cs="宋体"/>
                <w:bCs/>
                <w:color w:val="auto"/>
                <w:szCs w:val="21"/>
                <w:highlight w:val="none"/>
              </w:rPr>
            </w:pPr>
          </w:p>
        </w:tc>
        <w:tc>
          <w:tcPr>
            <w:tcW w:w="1076" w:type="dxa"/>
            <w:vAlign w:val="center"/>
          </w:tcPr>
          <w:p w14:paraId="1AB45E0D">
            <w:pPr>
              <w:spacing w:beforeLines="50"/>
              <w:ind w:right="11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370" w:type="dxa"/>
            <w:gridSpan w:val="2"/>
            <w:vAlign w:val="center"/>
          </w:tcPr>
          <w:p w14:paraId="3A584262">
            <w:pPr>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供应商必须具备所投标包履行合同所必需的相关产品、人员和服务能力，提供书面承诺函</w:t>
            </w:r>
          </w:p>
        </w:tc>
      </w:tr>
      <w:tr w14:paraId="73224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53" w:type="dxa"/>
            <w:vMerge w:val="continue"/>
            <w:vAlign w:val="center"/>
          </w:tcPr>
          <w:p w14:paraId="33300A3C">
            <w:pPr>
              <w:spacing w:line="360" w:lineRule="auto"/>
              <w:rPr>
                <w:rFonts w:hint="eastAsia" w:ascii="宋体" w:hAnsi="宋体" w:eastAsia="宋体" w:cs="宋体"/>
                <w:color w:val="auto"/>
                <w:highlight w:val="none"/>
              </w:rPr>
            </w:pPr>
          </w:p>
        </w:tc>
        <w:tc>
          <w:tcPr>
            <w:tcW w:w="1076" w:type="dxa"/>
            <w:vAlign w:val="center"/>
          </w:tcPr>
          <w:p w14:paraId="0C098598">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7370" w:type="dxa"/>
            <w:gridSpan w:val="2"/>
            <w:vAlign w:val="center"/>
          </w:tcPr>
          <w:p w14:paraId="671AD1F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单位负责人为同一人或者存在直接控股、管理关系的不同投标人，不得参加本项目同一合同项下的招标活动，提供书面承诺函</w:t>
            </w:r>
          </w:p>
        </w:tc>
      </w:tr>
      <w:tr w14:paraId="3D9A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53" w:type="dxa"/>
            <w:vMerge w:val="continue"/>
            <w:vAlign w:val="center"/>
          </w:tcPr>
          <w:p w14:paraId="0F39E428">
            <w:pPr>
              <w:autoSpaceDE w:val="0"/>
              <w:autoSpaceDN w:val="0"/>
              <w:adjustRightInd w:val="0"/>
              <w:spacing w:line="360" w:lineRule="auto"/>
              <w:rPr>
                <w:rFonts w:hint="eastAsia" w:ascii="宋体" w:hAnsi="宋体" w:eastAsia="宋体" w:cs="宋体"/>
                <w:bCs/>
                <w:color w:val="auto"/>
                <w:szCs w:val="21"/>
                <w:highlight w:val="none"/>
              </w:rPr>
            </w:pPr>
          </w:p>
        </w:tc>
        <w:tc>
          <w:tcPr>
            <w:tcW w:w="1076" w:type="dxa"/>
            <w:vAlign w:val="center"/>
          </w:tcPr>
          <w:p w14:paraId="30E82569">
            <w:pPr>
              <w:spacing w:beforeLines="50"/>
              <w:ind w:right="113"/>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7370" w:type="dxa"/>
            <w:gridSpan w:val="2"/>
            <w:vAlign w:val="center"/>
          </w:tcPr>
          <w:p w14:paraId="7D4E8BEB">
            <w:pPr>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参加本次招标活动前三年内，在经营活动中没有重大违法记录，提供书面承诺函</w:t>
            </w:r>
          </w:p>
        </w:tc>
      </w:tr>
      <w:tr w14:paraId="60C9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trPr>
        <w:tc>
          <w:tcPr>
            <w:tcW w:w="853" w:type="dxa"/>
            <w:vMerge w:val="continue"/>
            <w:vAlign w:val="center"/>
          </w:tcPr>
          <w:p w14:paraId="3258464B">
            <w:pPr>
              <w:spacing w:line="360" w:lineRule="auto"/>
              <w:rPr>
                <w:rFonts w:hint="eastAsia" w:ascii="宋体" w:hAnsi="宋体" w:eastAsia="宋体" w:cs="宋体"/>
                <w:color w:val="auto"/>
                <w:highlight w:val="none"/>
              </w:rPr>
            </w:pPr>
          </w:p>
        </w:tc>
        <w:tc>
          <w:tcPr>
            <w:tcW w:w="1076" w:type="dxa"/>
            <w:vAlign w:val="center"/>
          </w:tcPr>
          <w:p w14:paraId="25CFEB48">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7370" w:type="dxa"/>
            <w:gridSpan w:val="2"/>
            <w:vAlign w:val="center"/>
          </w:tcPr>
          <w:p w14:paraId="1D3A60E8">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供应商未被“中国执行信息公开网（http://zxgk.court.gov.cn/shixin/）列入“失信被执行人”；未被“信用中国”（http://www.creditchina.gov.cn）网站列入“重大税收违法失信主体”、“政府采购严重违法失信行为记录名单”。（提供加盖供应商鲜章的网页截图或书面承诺函）</w:t>
            </w:r>
          </w:p>
        </w:tc>
      </w:tr>
      <w:tr w14:paraId="09C31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53" w:type="dxa"/>
            <w:vMerge w:val="continue"/>
            <w:vAlign w:val="center"/>
          </w:tcPr>
          <w:p w14:paraId="11B51F06">
            <w:pPr>
              <w:spacing w:line="360" w:lineRule="auto"/>
              <w:rPr>
                <w:rFonts w:hint="eastAsia" w:ascii="宋体" w:hAnsi="宋体" w:eastAsia="宋体" w:cs="宋体"/>
                <w:color w:val="auto"/>
                <w:szCs w:val="21"/>
                <w:highlight w:val="none"/>
              </w:rPr>
            </w:pPr>
          </w:p>
        </w:tc>
        <w:tc>
          <w:tcPr>
            <w:tcW w:w="1076" w:type="dxa"/>
            <w:vAlign w:val="center"/>
          </w:tcPr>
          <w:p w14:paraId="499FDAA9">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7370" w:type="dxa"/>
            <w:gridSpan w:val="2"/>
            <w:vAlign w:val="center"/>
          </w:tcPr>
          <w:p w14:paraId="7A04F54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投标企业、企业法定代表人无行贿犯罪记录，提供在“中国裁判文书网”无“行贿犯罪”的查询结果截图并加盖供应商公章或书面承诺函</w:t>
            </w:r>
          </w:p>
        </w:tc>
      </w:tr>
      <w:tr w14:paraId="45F5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Merge w:val="continue"/>
            <w:vAlign w:val="center"/>
          </w:tcPr>
          <w:p w14:paraId="1E2209B5">
            <w:pPr>
              <w:spacing w:line="360" w:lineRule="auto"/>
              <w:rPr>
                <w:rFonts w:hint="eastAsia" w:ascii="宋体" w:hAnsi="宋体" w:eastAsia="宋体" w:cs="宋体"/>
                <w:color w:val="auto"/>
                <w:highlight w:val="none"/>
              </w:rPr>
            </w:pPr>
          </w:p>
        </w:tc>
        <w:tc>
          <w:tcPr>
            <w:tcW w:w="1076" w:type="dxa"/>
            <w:vAlign w:val="center"/>
          </w:tcPr>
          <w:p w14:paraId="133D3DFB">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7370" w:type="dxa"/>
            <w:gridSpan w:val="2"/>
            <w:vAlign w:val="center"/>
          </w:tcPr>
          <w:p w14:paraId="3063C415">
            <w:pPr>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特定资格要求：所投每标包的供应商对应招标公告每标包明确的特定资格要求</w:t>
            </w:r>
          </w:p>
        </w:tc>
      </w:tr>
      <w:tr w14:paraId="1EED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853" w:type="dxa"/>
            <w:vMerge w:val="restart"/>
            <w:vAlign w:val="center"/>
          </w:tcPr>
          <w:p w14:paraId="6C1F1739">
            <w:pPr>
              <w:autoSpaceDE w:val="0"/>
              <w:autoSpaceDN w:val="0"/>
              <w:adjustRightIn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w:t>
            </w:r>
          </w:p>
          <w:p w14:paraId="417C7C6A">
            <w:pPr>
              <w:autoSpaceDE w:val="0"/>
              <w:autoSpaceDN w:val="0"/>
              <w:adjustRightIn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符合性审查</w:t>
            </w:r>
          </w:p>
        </w:tc>
        <w:tc>
          <w:tcPr>
            <w:tcW w:w="1076" w:type="dxa"/>
            <w:vAlign w:val="center"/>
          </w:tcPr>
          <w:p w14:paraId="4E705275">
            <w:pPr>
              <w:spacing w:beforeLines="50"/>
              <w:ind w:right="11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70" w:type="dxa"/>
            <w:gridSpan w:val="2"/>
            <w:vAlign w:val="center"/>
          </w:tcPr>
          <w:p w14:paraId="00B5A28D">
            <w:pPr>
              <w:spacing w:line="360" w:lineRule="auto"/>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val="en-US" w:eastAsia="zh-CN"/>
              </w:rPr>
              <w:t>投标文件中的投标函是否加盖供应商的公章及法定代表人或个体工商户经营者签字，或法定代表人及个体工商户经营者及委托代理人是否有合法、有效的委托书原件及委托代理人签字的，如未有则投标无效。</w:t>
            </w:r>
          </w:p>
        </w:tc>
      </w:tr>
      <w:tr w14:paraId="7E87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53" w:type="dxa"/>
            <w:vMerge w:val="continue"/>
            <w:vAlign w:val="center"/>
          </w:tcPr>
          <w:p w14:paraId="6A523FFF">
            <w:pPr>
              <w:autoSpaceDE w:val="0"/>
              <w:autoSpaceDN w:val="0"/>
              <w:adjustRightInd w:val="0"/>
              <w:spacing w:line="360" w:lineRule="auto"/>
              <w:ind w:firstLine="420"/>
              <w:jc w:val="center"/>
              <w:rPr>
                <w:rFonts w:hint="eastAsia" w:ascii="宋体" w:hAnsi="宋体" w:eastAsia="宋体" w:cs="宋体"/>
                <w:b/>
                <w:color w:val="auto"/>
                <w:szCs w:val="21"/>
                <w:highlight w:val="none"/>
              </w:rPr>
            </w:pPr>
          </w:p>
        </w:tc>
        <w:tc>
          <w:tcPr>
            <w:tcW w:w="1076" w:type="dxa"/>
            <w:vAlign w:val="center"/>
          </w:tcPr>
          <w:p w14:paraId="7D8C7EA2">
            <w:pPr>
              <w:spacing w:beforeLines="50"/>
              <w:ind w:right="11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370" w:type="dxa"/>
            <w:gridSpan w:val="2"/>
            <w:vAlign w:val="center"/>
          </w:tcPr>
          <w:p w14:paraId="6EE0B69E">
            <w:pPr>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供应商是否按照供应商须知要求提供投标文件，如未有则投标无效</w:t>
            </w:r>
          </w:p>
        </w:tc>
      </w:tr>
      <w:tr w14:paraId="64F6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53" w:type="dxa"/>
            <w:vMerge w:val="continue"/>
            <w:vAlign w:val="center"/>
          </w:tcPr>
          <w:p w14:paraId="1C51276C">
            <w:pPr>
              <w:autoSpaceDE w:val="0"/>
              <w:autoSpaceDN w:val="0"/>
              <w:adjustRightInd w:val="0"/>
              <w:spacing w:line="360" w:lineRule="auto"/>
              <w:ind w:firstLine="420"/>
              <w:jc w:val="center"/>
              <w:rPr>
                <w:rFonts w:hint="eastAsia" w:ascii="宋体" w:hAnsi="宋体" w:eastAsia="宋体" w:cs="宋体"/>
                <w:b/>
                <w:color w:val="auto"/>
                <w:szCs w:val="21"/>
                <w:highlight w:val="none"/>
              </w:rPr>
            </w:pPr>
          </w:p>
        </w:tc>
        <w:tc>
          <w:tcPr>
            <w:tcW w:w="1076" w:type="dxa"/>
            <w:vAlign w:val="center"/>
          </w:tcPr>
          <w:p w14:paraId="0DB59FE0">
            <w:pPr>
              <w:spacing w:beforeLines="50"/>
              <w:ind w:right="11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370" w:type="dxa"/>
            <w:gridSpan w:val="2"/>
            <w:vAlign w:val="center"/>
          </w:tcPr>
          <w:p w14:paraId="1DC80F08">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供应商提供投标文件是否符合招标文件规定的技术要求和标准，如不符合则投标无效</w:t>
            </w:r>
          </w:p>
        </w:tc>
      </w:tr>
      <w:tr w14:paraId="428F9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53" w:type="dxa"/>
            <w:vMerge w:val="continue"/>
            <w:vAlign w:val="center"/>
          </w:tcPr>
          <w:p w14:paraId="1DA0F82A">
            <w:pPr>
              <w:autoSpaceDE w:val="0"/>
              <w:autoSpaceDN w:val="0"/>
              <w:adjustRightInd w:val="0"/>
              <w:spacing w:line="360" w:lineRule="auto"/>
              <w:ind w:firstLine="420"/>
              <w:jc w:val="center"/>
              <w:rPr>
                <w:rFonts w:hint="eastAsia" w:ascii="宋体" w:hAnsi="宋体" w:eastAsia="宋体" w:cs="宋体"/>
                <w:b/>
                <w:color w:val="auto"/>
                <w:szCs w:val="21"/>
                <w:highlight w:val="none"/>
              </w:rPr>
            </w:pPr>
          </w:p>
        </w:tc>
        <w:tc>
          <w:tcPr>
            <w:tcW w:w="1076" w:type="dxa"/>
            <w:vAlign w:val="center"/>
          </w:tcPr>
          <w:p w14:paraId="5916A122">
            <w:pPr>
              <w:spacing w:beforeLines="50"/>
              <w:ind w:right="11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370" w:type="dxa"/>
            <w:gridSpan w:val="2"/>
            <w:vAlign w:val="center"/>
          </w:tcPr>
          <w:p w14:paraId="57507527">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投标文件中投标有效期是否满足招标文件要求，如果不满足则投标无效</w:t>
            </w:r>
          </w:p>
        </w:tc>
      </w:tr>
      <w:tr w14:paraId="7F910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53" w:type="dxa"/>
            <w:vMerge w:val="continue"/>
            <w:vAlign w:val="center"/>
          </w:tcPr>
          <w:p w14:paraId="008CF03D">
            <w:pPr>
              <w:autoSpaceDE w:val="0"/>
              <w:autoSpaceDN w:val="0"/>
              <w:adjustRightInd w:val="0"/>
              <w:spacing w:line="360" w:lineRule="auto"/>
              <w:ind w:firstLine="420"/>
              <w:jc w:val="center"/>
              <w:rPr>
                <w:rFonts w:hint="eastAsia" w:ascii="宋体" w:hAnsi="宋体" w:eastAsia="宋体" w:cs="宋体"/>
                <w:b/>
                <w:color w:val="auto"/>
                <w:szCs w:val="21"/>
                <w:highlight w:val="none"/>
              </w:rPr>
            </w:pPr>
          </w:p>
        </w:tc>
        <w:tc>
          <w:tcPr>
            <w:tcW w:w="1076" w:type="dxa"/>
            <w:vAlign w:val="center"/>
          </w:tcPr>
          <w:p w14:paraId="32EBDD18">
            <w:pPr>
              <w:spacing w:beforeLines="50"/>
              <w:ind w:right="11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370" w:type="dxa"/>
            <w:gridSpan w:val="2"/>
            <w:vAlign w:val="center"/>
          </w:tcPr>
          <w:p w14:paraId="0CFA5EC4">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是否响应招标文件中规定的其他实质性要求的，如果不响应则投标无效</w:t>
            </w:r>
          </w:p>
        </w:tc>
      </w:tr>
      <w:tr w14:paraId="07B3F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4" w:hRule="atLeast"/>
        </w:trPr>
        <w:tc>
          <w:tcPr>
            <w:tcW w:w="853" w:type="dxa"/>
            <w:vMerge w:val="continue"/>
            <w:vAlign w:val="center"/>
          </w:tcPr>
          <w:p w14:paraId="64C5AEDC">
            <w:pPr>
              <w:autoSpaceDE w:val="0"/>
              <w:autoSpaceDN w:val="0"/>
              <w:adjustRightInd w:val="0"/>
              <w:spacing w:line="360" w:lineRule="auto"/>
              <w:ind w:firstLine="420"/>
              <w:jc w:val="center"/>
              <w:rPr>
                <w:rFonts w:hint="eastAsia" w:ascii="宋体" w:hAnsi="宋体" w:eastAsia="宋体" w:cs="宋体"/>
                <w:b/>
                <w:color w:val="auto"/>
                <w:szCs w:val="21"/>
                <w:highlight w:val="none"/>
              </w:rPr>
            </w:pPr>
          </w:p>
        </w:tc>
        <w:tc>
          <w:tcPr>
            <w:tcW w:w="1076" w:type="dxa"/>
            <w:vAlign w:val="center"/>
          </w:tcPr>
          <w:p w14:paraId="479FFD53">
            <w:pPr>
              <w:spacing w:beforeLines="50"/>
              <w:ind w:right="11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7370" w:type="dxa"/>
            <w:gridSpan w:val="2"/>
            <w:vAlign w:val="center"/>
          </w:tcPr>
          <w:p w14:paraId="473A2DC4">
            <w:pPr>
              <w:spacing w:line="360" w:lineRule="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eastAsia="zh-CN"/>
              </w:rPr>
              <w:t>未有下列任一情形：</w:t>
            </w:r>
          </w:p>
          <w:p w14:paraId="0C21FFEE">
            <w:pPr>
              <w:spacing w:line="360" w:lineRule="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（1）不同</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eastAsia="zh-CN"/>
              </w:rPr>
              <w:t>的</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文件由同一单位或者个人编制；</w:t>
            </w:r>
          </w:p>
          <w:p w14:paraId="51B34FAB">
            <w:pPr>
              <w:spacing w:line="360" w:lineRule="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（2）不同</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eastAsia="zh-CN"/>
              </w:rPr>
              <w:t>委托同一单位或者个人办理投标事宜；</w:t>
            </w:r>
          </w:p>
          <w:p w14:paraId="19CADB0E">
            <w:pPr>
              <w:spacing w:line="360" w:lineRule="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（3）不同</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eastAsia="zh-CN"/>
              </w:rPr>
              <w:t>的</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文件载明的项目管理成员或者联系人员为同一人；</w:t>
            </w:r>
          </w:p>
          <w:p w14:paraId="235545CE">
            <w:pPr>
              <w:spacing w:line="360" w:lineRule="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（4）不同</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eastAsia="zh-CN"/>
              </w:rPr>
              <w:t>的</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文件异常一致；</w:t>
            </w:r>
          </w:p>
          <w:p w14:paraId="12AB0DC3">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（5）不同</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eastAsia="zh-CN"/>
              </w:rPr>
              <w:t>的</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文件相互混装。</w:t>
            </w:r>
          </w:p>
        </w:tc>
      </w:tr>
      <w:tr w14:paraId="0B339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53" w:type="dxa"/>
            <w:vAlign w:val="center"/>
          </w:tcPr>
          <w:p w14:paraId="4E43F7AA">
            <w:pPr>
              <w:autoSpaceDE w:val="0"/>
              <w:autoSpaceDN w:val="0"/>
              <w:adjustRightInd w:val="0"/>
              <w:spacing w:beforeLines="50"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076" w:type="dxa"/>
            <w:vAlign w:val="center"/>
          </w:tcPr>
          <w:p w14:paraId="3B9502C4">
            <w:pPr>
              <w:autoSpaceDE w:val="0"/>
              <w:autoSpaceDN w:val="0"/>
              <w:adjustRightInd w:val="0"/>
              <w:spacing w:beforeLines="50"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7370" w:type="dxa"/>
            <w:gridSpan w:val="2"/>
            <w:vAlign w:val="center"/>
          </w:tcPr>
          <w:p w14:paraId="07FF3690">
            <w:pPr>
              <w:autoSpaceDE w:val="0"/>
              <w:autoSpaceDN w:val="0"/>
              <w:adjustRightInd w:val="0"/>
              <w:spacing w:beforeLines="50"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编列内容</w:t>
            </w:r>
          </w:p>
        </w:tc>
      </w:tr>
      <w:tr w14:paraId="0B4E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853" w:type="dxa"/>
            <w:vAlign w:val="center"/>
          </w:tcPr>
          <w:p w14:paraId="1CB639D5">
            <w:pPr>
              <w:ind w:right="113"/>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1076" w:type="dxa"/>
            <w:vAlign w:val="center"/>
          </w:tcPr>
          <w:p w14:paraId="4E0F2B62">
            <w:pPr>
              <w:spacing w:beforeLines="50"/>
              <w:ind w:right="113"/>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分值构成（总分 100分）</w:t>
            </w:r>
          </w:p>
        </w:tc>
        <w:tc>
          <w:tcPr>
            <w:tcW w:w="7370" w:type="dxa"/>
            <w:gridSpan w:val="2"/>
            <w:vAlign w:val="center"/>
          </w:tcPr>
          <w:p w14:paraId="09236A3C">
            <w:pPr>
              <w:ind w:right="11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详见2.2.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评分标准</w:t>
            </w:r>
          </w:p>
        </w:tc>
      </w:tr>
      <w:tr w14:paraId="76A0C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299" w:type="dxa"/>
            <w:gridSpan w:val="4"/>
            <w:vAlign w:val="center"/>
          </w:tcPr>
          <w:p w14:paraId="67820DC9">
            <w:pPr>
              <w:ind w:right="113"/>
              <w:jc w:val="center"/>
              <w:rPr>
                <w:rFonts w:hint="eastAsia" w:ascii="宋体" w:hAnsi="宋体" w:eastAsia="宋体" w:cs="宋体"/>
                <w:color w:val="auto"/>
                <w:szCs w:val="21"/>
                <w:highlight w:val="none"/>
              </w:rPr>
            </w:pPr>
            <w:r>
              <w:rPr>
                <w:rFonts w:hint="eastAsia" w:ascii="宋体" w:hAnsi="宋体" w:eastAsia="宋体" w:cs="宋体"/>
                <w:b/>
                <w:bCs/>
                <w:i w:val="0"/>
                <w:iCs w:val="0"/>
                <w:color w:val="auto"/>
                <w:kern w:val="0"/>
                <w:sz w:val="22"/>
                <w:szCs w:val="22"/>
                <w:highlight w:val="none"/>
                <w:u w:val="none"/>
                <w:lang w:val="en-US" w:eastAsia="zh-CN" w:bidi="ar"/>
              </w:rPr>
              <w:t>第一包：食材类</w:t>
            </w:r>
          </w:p>
        </w:tc>
      </w:tr>
      <w:tr w14:paraId="6FF4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3" w:type="dxa"/>
            <w:vMerge w:val="restart"/>
            <w:vAlign w:val="center"/>
          </w:tcPr>
          <w:p w14:paraId="73C212B6">
            <w:pPr>
              <w:ind w:right="113"/>
              <w:rPr>
                <w:rFonts w:hint="eastAsia" w:ascii="宋体" w:hAnsi="宋体" w:eastAsia="宋体" w:cs="宋体"/>
                <w:color w:val="auto"/>
                <w:szCs w:val="21"/>
                <w:highlight w:val="none"/>
                <w:lang w:val="en-US" w:eastAsia="zh-CN"/>
              </w:rPr>
            </w:pPr>
          </w:p>
          <w:p w14:paraId="7E94A300">
            <w:pPr>
              <w:ind w:right="113"/>
              <w:rPr>
                <w:rFonts w:hint="eastAsia" w:ascii="宋体" w:hAnsi="宋体" w:eastAsia="宋体" w:cs="宋体"/>
                <w:color w:val="auto"/>
                <w:szCs w:val="21"/>
                <w:highlight w:val="none"/>
                <w:lang w:val="en-US" w:eastAsia="zh-CN"/>
              </w:rPr>
            </w:pPr>
          </w:p>
          <w:p w14:paraId="6DEF2C24">
            <w:pPr>
              <w:ind w:right="113"/>
              <w:rPr>
                <w:rFonts w:hint="eastAsia" w:ascii="宋体" w:hAnsi="宋体" w:eastAsia="宋体" w:cs="宋体"/>
                <w:color w:val="auto"/>
                <w:szCs w:val="21"/>
                <w:highlight w:val="none"/>
                <w:lang w:val="en-US" w:eastAsia="zh-CN"/>
              </w:rPr>
            </w:pPr>
          </w:p>
          <w:p w14:paraId="6665040A">
            <w:pPr>
              <w:ind w:right="113"/>
              <w:rPr>
                <w:rFonts w:hint="eastAsia" w:ascii="宋体" w:hAnsi="宋体" w:eastAsia="宋体" w:cs="宋体"/>
                <w:color w:val="auto"/>
                <w:szCs w:val="21"/>
                <w:highlight w:val="none"/>
                <w:lang w:val="en-US" w:eastAsia="zh-CN"/>
              </w:rPr>
            </w:pPr>
          </w:p>
          <w:p w14:paraId="66C267FA">
            <w:pPr>
              <w:ind w:right="113"/>
              <w:rPr>
                <w:rFonts w:hint="eastAsia" w:ascii="宋体" w:hAnsi="宋体" w:eastAsia="宋体" w:cs="宋体"/>
                <w:color w:val="auto"/>
                <w:szCs w:val="21"/>
                <w:highlight w:val="none"/>
                <w:lang w:val="en-US" w:eastAsia="zh-CN"/>
              </w:rPr>
            </w:pPr>
          </w:p>
          <w:p w14:paraId="17E48575">
            <w:pPr>
              <w:ind w:right="113"/>
              <w:rPr>
                <w:rFonts w:hint="eastAsia" w:ascii="宋体" w:hAnsi="宋体" w:eastAsia="宋体" w:cs="宋体"/>
                <w:color w:val="auto"/>
                <w:szCs w:val="21"/>
                <w:highlight w:val="none"/>
                <w:lang w:val="en-US" w:eastAsia="zh-CN"/>
              </w:rPr>
            </w:pPr>
          </w:p>
          <w:p w14:paraId="5B8856B8">
            <w:pPr>
              <w:ind w:right="113"/>
              <w:rPr>
                <w:rFonts w:hint="eastAsia" w:ascii="宋体" w:hAnsi="宋体" w:eastAsia="宋体" w:cs="宋体"/>
                <w:color w:val="auto"/>
                <w:szCs w:val="21"/>
                <w:highlight w:val="none"/>
                <w:lang w:val="en-US" w:eastAsia="zh-CN"/>
              </w:rPr>
            </w:pPr>
          </w:p>
          <w:p w14:paraId="134E87C1">
            <w:pPr>
              <w:ind w:right="113"/>
              <w:rPr>
                <w:rFonts w:hint="eastAsia" w:ascii="宋体" w:hAnsi="宋体" w:eastAsia="宋体" w:cs="宋体"/>
                <w:color w:val="auto"/>
                <w:szCs w:val="21"/>
                <w:highlight w:val="none"/>
                <w:lang w:val="en-US" w:eastAsia="zh-CN"/>
              </w:rPr>
            </w:pPr>
          </w:p>
          <w:p w14:paraId="56CBE6F2">
            <w:pPr>
              <w:ind w:right="113"/>
              <w:rPr>
                <w:rFonts w:hint="eastAsia" w:ascii="宋体" w:hAnsi="宋体" w:eastAsia="宋体" w:cs="宋体"/>
                <w:color w:val="auto"/>
                <w:szCs w:val="21"/>
                <w:highlight w:val="none"/>
                <w:lang w:val="en-US" w:eastAsia="zh-CN"/>
              </w:rPr>
            </w:pPr>
          </w:p>
          <w:p w14:paraId="70397202">
            <w:pPr>
              <w:ind w:right="11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2.2.2（1）</w:t>
            </w:r>
          </w:p>
        </w:tc>
        <w:tc>
          <w:tcPr>
            <w:tcW w:w="1076" w:type="dxa"/>
            <w:vMerge w:val="restart"/>
            <w:vAlign w:val="center"/>
          </w:tcPr>
          <w:p w14:paraId="1F8685C5">
            <w:pPr>
              <w:spacing w:beforeLines="50"/>
              <w:ind w:right="113"/>
              <w:rPr>
                <w:rFonts w:hint="eastAsia" w:ascii="宋体" w:hAnsi="宋体" w:eastAsia="宋体" w:cs="宋体"/>
                <w:color w:val="auto"/>
                <w:kern w:val="0"/>
                <w:szCs w:val="24"/>
                <w:highlight w:val="none"/>
                <w:lang w:val="en-US" w:eastAsia="zh-CN"/>
              </w:rPr>
            </w:pPr>
          </w:p>
          <w:p w14:paraId="7993F310">
            <w:pPr>
              <w:spacing w:beforeLines="50"/>
              <w:ind w:right="113"/>
              <w:rPr>
                <w:rFonts w:hint="eastAsia" w:ascii="宋体" w:hAnsi="宋体" w:eastAsia="宋体" w:cs="宋体"/>
                <w:color w:val="auto"/>
                <w:kern w:val="0"/>
                <w:szCs w:val="24"/>
                <w:highlight w:val="none"/>
                <w:lang w:val="en-US" w:eastAsia="zh-CN"/>
              </w:rPr>
            </w:pPr>
          </w:p>
          <w:p w14:paraId="10B03FC7">
            <w:pPr>
              <w:spacing w:beforeLines="50"/>
              <w:ind w:right="113"/>
              <w:rPr>
                <w:rFonts w:hint="eastAsia" w:ascii="宋体" w:hAnsi="宋体" w:eastAsia="宋体" w:cs="宋体"/>
                <w:color w:val="auto"/>
                <w:kern w:val="0"/>
                <w:szCs w:val="24"/>
                <w:highlight w:val="none"/>
                <w:lang w:val="en-US" w:eastAsia="zh-CN"/>
              </w:rPr>
            </w:pPr>
          </w:p>
          <w:p w14:paraId="1DDDF92A">
            <w:pPr>
              <w:spacing w:beforeLines="50"/>
              <w:ind w:right="113"/>
              <w:rPr>
                <w:rFonts w:hint="eastAsia" w:ascii="宋体" w:hAnsi="宋体" w:eastAsia="宋体" w:cs="宋体"/>
                <w:color w:val="auto"/>
                <w:kern w:val="0"/>
                <w:szCs w:val="24"/>
                <w:highlight w:val="none"/>
                <w:lang w:val="en-US" w:eastAsia="zh-CN"/>
              </w:rPr>
            </w:pPr>
          </w:p>
          <w:p w14:paraId="663A2524">
            <w:pPr>
              <w:spacing w:beforeLines="50"/>
              <w:ind w:right="113"/>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lang w:val="en-US" w:eastAsia="zh-CN"/>
              </w:rPr>
              <w:t>商务</w:t>
            </w:r>
            <w:r>
              <w:rPr>
                <w:rFonts w:hint="eastAsia" w:ascii="宋体" w:hAnsi="宋体" w:eastAsia="宋体" w:cs="宋体"/>
                <w:color w:val="auto"/>
                <w:kern w:val="0"/>
                <w:szCs w:val="24"/>
                <w:highlight w:val="none"/>
              </w:rPr>
              <w:t>部分评分标准</w:t>
            </w:r>
          </w:p>
          <w:p w14:paraId="3409D816">
            <w:pPr>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50分</w:t>
            </w:r>
            <w:r>
              <w:rPr>
                <w:rFonts w:hint="eastAsia" w:ascii="宋体" w:hAnsi="宋体" w:eastAsia="宋体" w:cs="宋体"/>
                <w:color w:val="auto"/>
                <w:highlight w:val="none"/>
                <w:lang w:eastAsia="zh-CN"/>
              </w:rPr>
              <w:t>）</w:t>
            </w:r>
          </w:p>
        </w:tc>
        <w:tc>
          <w:tcPr>
            <w:tcW w:w="1082" w:type="dxa"/>
            <w:vAlign w:val="center"/>
          </w:tcPr>
          <w:p w14:paraId="1357C0EB">
            <w:pPr>
              <w:ind w:right="113"/>
              <w:rPr>
                <w:rFonts w:hint="eastAsia" w:ascii="宋体" w:hAnsi="宋体" w:eastAsia="宋体" w:cs="宋体"/>
                <w:color w:val="auto"/>
                <w:szCs w:val="21"/>
                <w:highlight w:val="none"/>
              </w:rPr>
            </w:pPr>
            <w:r>
              <w:rPr>
                <w:rFonts w:hint="eastAsia" w:ascii="宋体" w:hAnsi="宋体" w:eastAsia="宋体" w:cs="宋体"/>
                <w:color w:val="auto"/>
                <w:highlight w:val="none"/>
              </w:rPr>
              <w:t>业绩（</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分）</w:t>
            </w:r>
          </w:p>
        </w:tc>
        <w:tc>
          <w:tcPr>
            <w:tcW w:w="6288" w:type="dxa"/>
            <w:vAlign w:val="center"/>
          </w:tcPr>
          <w:p w14:paraId="5F4A4189">
            <w:pPr>
              <w:ind w:right="113"/>
              <w:rPr>
                <w:rFonts w:hint="eastAsia" w:ascii="宋体" w:hAnsi="宋体" w:eastAsia="宋体" w:cs="宋体"/>
                <w:color w:val="auto"/>
                <w:szCs w:val="21"/>
                <w:highlight w:val="none"/>
              </w:rPr>
            </w:pPr>
            <w:r>
              <w:rPr>
                <w:rFonts w:hint="eastAsia" w:ascii="宋体" w:hAnsi="宋体" w:eastAsia="宋体" w:cs="宋体"/>
                <w:color w:val="auto"/>
                <w:highlight w:val="none"/>
              </w:rPr>
              <w:t>供应商提供近三年（投标截止日前推36个月）以来类似业绩，每个业绩得</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分，最高得分</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分，以供应商提供的合同复印件或中标通知书等相关证明材料为评分依据。</w:t>
            </w:r>
          </w:p>
        </w:tc>
      </w:tr>
      <w:tr w14:paraId="753F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853" w:type="dxa"/>
            <w:vMerge w:val="continue"/>
            <w:vAlign w:val="center"/>
          </w:tcPr>
          <w:p w14:paraId="4384B587">
            <w:pPr>
              <w:ind w:right="113"/>
              <w:rPr>
                <w:rFonts w:hint="eastAsia" w:ascii="宋体" w:hAnsi="宋体" w:eastAsia="宋体" w:cs="宋体"/>
                <w:color w:val="auto"/>
                <w:szCs w:val="21"/>
                <w:highlight w:val="none"/>
              </w:rPr>
            </w:pPr>
          </w:p>
        </w:tc>
        <w:tc>
          <w:tcPr>
            <w:tcW w:w="1076" w:type="dxa"/>
            <w:vMerge w:val="continue"/>
            <w:vAlign w:val="center"/>
          </w:tcPr>
          <w:p w14:paraId="33DD38F7">
            <w:pPr>
              <w:spacing w:beforeLines="50"/>
              <w:ind w:right="113"/>
              <w:rPr>
                <w:rFonts w:hint="eastAsia" w:ascii="宋体" w:hAnsi="宋体" w:eastAsia="宋体" w:cs="宋体"/>
                <w:color w:val="auto"/>
                <w:szCs w:val="21"/>
                <w:highlight w:val="none"/>
              </w:rPr>
            </w:pPr>
          </w:p>
        </w:tc>
        <w:tc>
          <w:tcPr>
            <w:tcW w:w="1082" w:type="dxa"/>
            <w:vAlign w:val="center"/>
          </w:tcPr>
          <w:p w14:paraId="44E006DD">
            <w:pPr>
              <w:ind w:right="113"/>
              <w:jc w:val="center"/>
              <w:rPr>
                <w:rFonts w:hint="eastAsia" w:ascii="宋体" w:hAnsi="宋体" w:eastAsia="宋体" w:cs="宋体"/>
                <w:color w:val="auto"/>
                <w:szCs w:val="21"/>
                <w:highlight w:val="none"/>
                <w:lang w:eastAsia="zh-CN"/>
              </w:rPr>
            </w:pPr>
            <w:r>
              <w:rPr>
                <w:rFonts w:hint="eastAsia" w:ascii="宋体" w:hAnsi="宋体" w:eastAsia="宋体" w:cs="宋体"/>
                <w:color w:val="auto"/>
                <w:highlight w:val="none"/>
              </w:rPr>
              <w:t>配送车辆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10分</w:t>
            </w:r>
            <w:r>
              <w:rPr>
                <w:rFonts w:hint="eastAsia" w:ascii="宋体" w:hAnsi="宋体" w:eastAsia="宋体" w:cs="宋体"/>
                <w:color w:val="auto"/>
                <w:highlight w:val="none"/>
                <w:lang w:eastAsia="zh-CN"/>
              </w:rPr>
              <w:t>）</w:t>
            </w:r>
          </w:p>
        </w:tc>
        <w:tc>
          <w:tcPr>
            <w:tcW w:w="6288" w:type="dxa"/>
            <w:vAlign w:val="center"/>
          </w:tcPr>
          <w:p w14:paraId="46CE8DFC">
            <w:pPr>
              <w:rPr>
                <w:rFonts w:hint="eastAsia" w:ascii="宋体" w:hAnsi="宋体" w:eastAsia="宋体" w:cs="宋体"/>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lang w:val="en-US" w:eastAsia="zh-CN"/>
              </w:rPr>
              <w:t>有</w:t>
            </w:r>
            <w:r>
              <w:rPr>
                <w:rFonts w:hint="eastAsia" w:ascii="宋体" w:hAnsi="宋体" w:eastAsia="宋体" w:cs="宋体"/>
                <w:color w:val="auto"/>
                <w:highlight w:val="none"/>
              </w:rPr>
              <w:t>配送车辆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具备自有配送车</w:t>
            </w:r>
            <w:r>
              <w:rPr>
                <w:rFonts w:hint="eastAsia" w:ascii="宋体" w:hAnsi="宋体" w:eastAsia="宋体" w:cs="宋体"/>
                <w:color w:val="auto"/>
                <w:highlight w:val="none"/>
                <w:lang w:val="en-US" w:eastAsia="zh-CN"/>
              </w:rPr>
              <w:t>或租赁配送车</w:t>
            </w:r>
            <w:r>
              <w:rPr>
                <w:rFonts w:hint="eastAsia" w:ascii="宋体" w:hAnsi="宋体" w:eastAsia="宋体" w:cs="宋体"/>
                <w:color w:val="auto"/>
                <w:highlight w:val="none"/>
              </w:rPr>
              <w:t>1辆得</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每增加</w:t>
            </w:r>
            <w:r>
              <w:rPr>
                <w:rFonts w:hint="eastAsia" w:ascii="宋体" w:hAnsi="宋体" w:eastAsia="宋体" w:cs="宋体"/>
                <w:color w:val="auto"/>
                <w:highlight w:val="none"/>
                <w:lang w:val="en-US" w:eastAsia="zh-CN"/>
              </w:rPr>
              <w:t>1辆加5分，本项共计10分</w:t>
            </w:r>
            <w:r>
              <w:rPr>
                <w:rFonts w:hint="eastAsia" w:ascii="宋体" w:hAnsi="宋体" w:eastAsia="宋体" w:cs="宋体"/>
                <w:color w:val="auto"/>
                <w:highlight w:val="none"/>
              </w:rPr>
              <w:t>。（提供自有车辆的行驶证复印件和车辆照片</w:t>
            </w:r>
            <w:r>
              <w:rPr>
                <w:rFonts w:hint="eastAsia" w:ascii="宋体" w:hAnsi="宋体" w:eastAsia="宋体" w:cs="宋体"/>
                <w:color w:val="auto"/>
                <w:highlight w:val="none"/>
                <w:lang w:val="en-US" w:eastAsia="zh-CN"/>
              </w:rPr>
              <w:t>或提供车辆租赁合同、车辆行驶证和车辆照片</w:t>
            </w:r>
            <w:r>
              <w:rPr>
                <w:rFonts w:hint="eastAsia" w:ascii="宋体" w:hAnsi="宋体" w:eastAsia="宋体" w:cs="宋体"/>
                <w:color w:val="auto"/>
                <w:highlight w:val="none"/>
              </w:rPr>
              <w:t>)。</w:t>
            </w:r>
          </w:p>
          <w:p w14:paraId="6787EBF8">
            <w:pPr>
              <w:ind w:right="113"/>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注：自有车辆是指行驶证所有人为公司名称或公司法定代表人姓名均可。</w:t>
            </w:r>
          </w:p>
        </w:tc>
      </w:tr>
      <w:tr w14:paraId="40DF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853" w:type="dxa"/>
            <w:vMerge w:val="continue"/>
            <w:vAlign w:val="center"/>
          </w:tcPr>
          <w:p w14:paraId="3FB4F517">
            <w:pPr>
              <w:ind w:right="113"/>
              <w:rPr>
                <w:rFonts w:hint="eastAsia" w:ascii="宋体" w:hAnsi="宋体" w:eastAsia="宋体" w:cs="宋体"/>
                <w:color w:val="auto"/>
                <w:highlight w:val="none"/>
              </w:rPr>
            </w:pPr>
          </w:p>
        </w:tc>
        <w:tc>
          <w:tcPr>
            <w:tcW w:w="1076" w:type="dxa"/>
            <w:vMerge w:val="continue"/>
            <w:vAlign w:val="center"/>
          </w:tcPr>
          <w:p w14:paraId="534D8E49">
            <w:pPr>
              <w:ind w:right="113"/>
              <w:rPr>
                <w:rFonts w:hint="eastAsia" w:ascii="宋体" w:hAnsi="宋体" w:eastAsia="宋体" w:cs="宋体"/>
                <w:color w:val="auto"/>
                <w:highlight w:val="none"/>
              </w:rPr>
            </w:pPr>
          </w:p>
        </w:tc>
        <w:tc>
          <w:tcPr>
            <w:tcW w:w="1082" w:type="dxa"/>
            <w:vAlign w:val="center"/>
          </w:tcPr>
          <w:p w14:paraId="26509D33">
            <w:pPr>
              <w:ind w:right="113"/>
              <w:rPr>
                <w:rFonts w:hint="eastAsia" w:ascii="宋体" w:hAnsi="宋体" w:eastAsia="宋体" w:cs="宋体"/>
                <w:color w:val="auto"/>
                <w:highlight w:val="none"/>
                <w:lang w:eastAsia="zh-CN"/>
              </w:rPr>
            </w:pPr>
            <w:r>
              <w:rPr>
                <w:rFonts w:hint="eastAsia" w:ascii="宋体" w:hAnsi="宋体" w:eastAsia="宋体" w:cs="宋体"/>
                <w:color w:val="auto"/>
                <w:highlight w:val="none"/>
              </w:rPr>
              <w:t>项目</w:t>
            </w:r>
            <w:r>
              <w:rPr>
                <w:rFonts w:hint="eastAsia" w:ascii="宋体" w:hAnsi="宋体" w:eastAsia="宋体" w:cs="宋体"/>
                <w:color w:val="auto"/>
                <w:highlight w:val="none"/>
                <w:lang w:eastAsia="zh-CN"/>
              </w:rPr>
              <w:t>负责</w:t>
            </w:r>
            <w:r>
              <w:rPr>
                <w:rFonts w:hint="eastAsia" w:ascii="宋体" w:hAnsi="宋体" w:eastAsia="宋体" w:cs="宋体"/>
                <w:color w:val="auto"/>
                <w:highlight w:val="none"/>
              </w:rPr>
              <w:t>人</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10分</w:t>
            </w:r>
            <w:r>
              <w:rPr>
                <w:rFonts w:hint="eastAsia" w:ascii="宋体" w:hAnsi="宋体" w:eastAsia="宋体" w:cs="宋体"/>
                <w:color w:val="auto"/>
                <w:highlight w:val="none"/>
                <w:lang w:eastAsia="zh-CN"/>
              </w:rPr>
              <w:t>）</w:t>
            </w:r>
          </w:p>
        </w:tc>
        <w:tc>
          <w:tcPr>
            <w:tcW w:w="6288" w:type="dxa"/>
            <w:vAlign w:val="center"/>
          </w:tcPr>
          <w:p w14:paraId="663E2BE4">
            <w:pPr>
              <w:ind w:right="113"/>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提供本项目</w:t>
            </w:r>
            <w:r>
              <w:rPr>
                <w:rFonts w:hint="eastAsia" w:ascii="宋体" w:hAnsi="宋体" w:eastAsia="宋体" w:cs="宋体"/>
                <w:color w:val="auto"/>
                <w:highlight w:val="none"/>
                <w:lang w:eastAsia="zh-CN"/>
              </w:rPr>
              <w:t>负责</w:t>
            </w:r>
            <w:r>
              <w:rPr>
                <w:rFonts w:hint="eastAsia" w:ascii="宋体" w:hAnsi="宋体" w:eastAsia="宋体" w:cs="宋体"/>
                <w:color w:val="auto"/>
                <w:highlight w:val="none"/>
              </w:rPr>
              <w:t>人员</w:t>
            </w:r>
            <w:r>
              <w:rPr>
                <w:rFonts w:hint="eastAsia" w:ascii="宋体" w:hAnsi="宋体" w:eastAsia="宋体" w:cs="宋体"/>
                <w:color w:val="auto"/>
                <w:highlight w:val="none"/>
                <w:lang w:eastAsia="zh-CN"/>
              </w:rPr>
              <w:t>相关信息，并</w:t>
            </w:r>
            <w:r>
              <w:rPr>
                <w:rFonts w:hint="eastAsia" w:ascii="宋体" w:hAnsi="宋体" w:eastAsia="宋体" w:cs="宋体"/>
                <w:color w:val="auto"/>
                <w:highlight w:val="none"/>
                <w:lang w:val="en-US" w:eastAsia="zh-CN"/>
              </w:rPr>
              <w:t>出具本项目负责人员委托书，</w:t>
            </w:r>
            <w:r>
              <w:rPr>
                <w:rFonts w:hint="eastAsia" w:ascii="宋体" w:hAnsi="宋体" w:eastAsia="宋体" w:cs="宋体"/>
                <w:color w:val="auto"/>
                <w:highlight w:val="none"/>
                <w:lang w:eastAsia="zh-CN"/>
              </w:rPr>
              <w:t>同时</w:t>
            </w:r>
            <w:r>
              <w:rPr>
                <w:rFonts w:hint="eastAsia" w:ascii="宋体" w:hAnsi="宋体" w:eastAsia="宋体" w:cs="宋体"/>
                <w:color w:val="auto"/>
                <w:highlight w:val="none"/>
              </w:rPr>
              <w:t>承诺中标后</w:t>
            </w:r>
            <w:r>
              <w:rPr>
                <w:rFonts w:hint="eastAsia" w:ascii="宋体" w:hAnsi="宋体" w:eastAsia="宋体" w:cs="宋体"/>
                <w:color w:val="auto"/>
                <w:highlight w:val="none"/>
                <w:lang w:val="en-US" w:eastAsia="zh-CN"/>
              </w:rPr>
              <w:t>拟派负责人员与我单位对接相关事宜的得10</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。需附负责人员</w:t>
            </w:r>
            <w:r>
              <w:rPr>
                <w:rFonts w:hint="eastAsia" w:ascii="宋体" w:hAnsi="宋体" w:eastAsia="宋体" w:cs="宋体"/>
                <w:color w:val="auto"/>
                <w:highlight w:val="none"/>
                <w:lang w:val="en-US" w:eastAsia="zh-CN"/>
              </w:rPr>
              <w:t>身份证复印件、联系方式、委托书、承诺书，附件不全的酌情扣分。</w:t>
            </w:r>
          </w:p>
        </w:tc>
      </w:tr>
      <w:tr w14:paraId="6703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53" w:type="dxa"/>
            <w:vMerge w:val="continue"/>
            <w:vAlign w:val="center"/>
          </w:tcPr>
          <w:p w14:paraId="27FFC88E">
            <w:pPr>
              <w:ind w:right="113"/>
              <w:rPr>
                <w:rFonts w:hint="eastAsia" w:ascii="宋体" w:hAnsi="宋体" w:eastAsia="宋体" w:cs="宋体"/>
                <w:color w:val="auto"/>
                <w:szCs w:val="21"/>
                <w:highlight w:val="none"/>
              </w:rPr>
            </w:pPr>
          </w:p>
        </w:tc>
        <w:tc>
          <w:tcPr>
            <w:tcW w:w="1076" w:type="dxa"/>
            <w:vMerge w:val="continue"/>
            <w:vAlign w:val="center"/>
          </w:tcPr>
          <w:p w14:paraId="6A2E8E53">
            <w:pPr>
              <w:spacing w:beforeLines="50"/>
              <w:ind w:right="113"/>
              <w:rPr>
                <w:rFonts w:hint="eastAsia" w:ascii="宋体" w:hAnsi="宋体" w:eastAsia="宋体" w:cs="宋体"/>
                <w:color w:val="auto"/>
                <w:szCs w:val="21"/>
                <w:highlight w:val="none"/>
              </w:rPr>
            </w:pPr>
          </w:p>
        </w:tc>
        <w:tc>
          <w:tcPr>
            <w:tcW w:w="1082" w:type="dxa"/>
            <w:vAlign w:val="center"/>
          </w:tcPr>
          <w:p w14:paraId="128A3550">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食品安全险（10分）</w:t>
            </w:r>
          </w:p>
        </w:tc>
        <w:tc>
          <w:tcPr>
            <w:tcW w:w="6288" w:type="dxa"/>
            <w:vAlign w:val="center"/>
          </w:tcPr>
          <w:p w14:paraId="595C3D9E">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供应商提供在保险期内的购买食品安全险200万及以上的证明材料的得10分（提供材料复印件加盖公章）</w:t>
            </w:r>
          </w:p>
        </w:tc>
      </w:tr>
      <w:tr w14:paraId="77E5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853" w:type="dxa"/>
            <w:vMerge w:val="restart"/>
            <w:vAlign w:val="center"/>
          </w:tcPr>
          <w:p w14:paraId="4FA4FE96">
            <w:pPr>
              <w:ind w:right="11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2.2.2（2）</w:t>
            </w:r>
          </w:p>
        </w:tc>
        <w:tc>
          <w:tcPr>
            <w:tcW w:w="1076" w:type="dxa"/>
            <w:vMerge w:val="restart"/>
            <w:vAlign w:val="center"/>
          </w:tcPr>
          <w:p w14:paraId="3F1FE38F">
            <w:pPr>
              <w:spacing w:beforeLines="50"/>
              <w:ind w:right="113"/>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4"/>
                <w:highlight w:val="none"/>
              </w:rPr>
              <w:t>技术部分评分标准</w:t>
            </w:r>
            <w:r>
              <w:rPr>
                <w:rFonts w:hint="eastAsia" w:ascii="宋体" w:hAnsi="宋体" w:eastAsia="宋体" w:cs="宋体"/>
                <w:color w:val="auto"/>
                <w:kern w:val="0"/>
                <w:szCs w:val="24"/>
                <w:highlight w:val="none"/>
                <w:lang w:eastAsia="zh-CN"/>
              </w:rPr>
              <w:t>（</w:t>
            </w:r>
            <w:r>
              <w:rPr>
                <w:rFonts w:hint="eastAsia" w:ascii="宋体" w:hAnsi="宋体" w:eastAsia="宋体" w:cs="宋体"/>
                <w:color w:val="auto"/>
                <w:kern w:val="0"/>
                <w:szCs w:val="24"/>
                <w:highlight w:val="none"/>
                <w:lang w:val="en-US" w:eastAsia="zh-CN"/>
              </w:rPr>
              <w:t>50分</w:t>
            </w:r>
            <w:r>
              <w:rPr>
                <w:rFonts w:hint="eastAsia" w:ascii="宋体" w:hAnsi="宋体" w:eastAsia="宋体" w:cs="宋体"/>
                <w:color w:val="auto"/>
                <w:kern w:val="0"/>
                <w:szCs w:val="24"/>
                <w:highlight w:val="none"/>
                <w:lang w:eastAsia="zh-CN"/>
              </w:rPr>
              <w:t>）</w:t>
            </w:r>
          </w:p>
        </w:tc>
        <w:tc>
          <w:tcPr>
            <w:tcW w:w="1082" w:type="dxa"/>
            <w:vAlign w:val="center"/>
          </w:tcPr>
          <w:p w14:paraId="5ED3C392">
            <w:pPr>
              <w:ind w:right="113"/>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服务方案（15分）</w:t>
            </w:r>
          </w:p>
        </w:tc>
        <w:tc>
          <w:tcPr>
            <w:tcW w:w="6288" w:type="dxa"/>
            <w:vAlign w:val="center"/>
          </w:tcPr>
          <w:p w14:paraId="2E3BD8D9">
            <w:pPr>
              <w:ind w:right="113"/>
              <w:rPr>
                <w:rFonts w:hint="eastAsia" w:ascii="宋体" w:hAnsi="宋体" w:eastAsia="宋体" w:cs="宋体"/>
                <w:color w:val="auto"/>
                <w:kern w:val="0"/>
                <w:szCs w:val="24"/>
                <w:highlight w:val="none"/>
                <w:lang w:val="en-US" w:eastAsia="zh-CN"/>
              </w:rPr>
            </w:pPr>
            <w:r>
              <w:rPr>
                <w:rFonts w:hint="eastAsia" w:ascii="宋体" w:hAnsi="宋体" w:eastAsia="宋体" w:cs="宋体"/>
                <w:color w:val="auto"/>
                <w:szCs w:val="21"/>
                <w:highlight w:val="none"/>
                <w:lang w:val="en-US" w:eastAsia="zh-CN"/>
              </w:rPr>
              <w:t>供应商提供服务包括</w:t>
            </w:r>
            <w:r>
              <w:rPr>
                <w:rFonts w:hint="eastAsia" w:ascii="宋体" w:hAnsi="宋体" w:eastAsia="宋体" w:cs="宋体"/>
                <w:color w:val="auto"/>
                <w:kern w:val="0"/>
                <w:szCs w:val="24"/>
                <w:highlight w:val="none"/>
              </w:rPr>
              <w:t>进货渠道</w:t>
            </w:r>
            <w:r>
              <w:rPr>
                <w:rFonts w:hint="eastAsia" w:ascii="宋体" w:hAnsi="宋体" w:eastAsia="宋体" w:cs="宋体"/>
                <w:color w:val="auto"/>
                <w:kern w:val="0"/>
                <w:szCs w:val="24"/>
                <w:highlight w:val="none"/>
                <w:lang w:eastAsia="zh-CN"/>
              </w:rPr>
              <w:t>、</w:t>
            </w:r>
            <w:r>
              <w:rPr>
                <w:rFonts w:hint="eastAsia" w:ascii="宋体" w:hAnsi="宋体" w:eastAsia="宋体" w:cs="宋体"/>
                <w:color w:val="auto"/>
                <w:kern w:val="0"/>
                <w:szCs w:val="24"/>
                <w:highlight w:val="none"/>
              </w:rPr>
              <w:t>配送</w:t>
            </w:r>
            <w:r>
              <w:rPr>
                <w:rFonts w:hint="eastAsia" w:ascii="宋体" w:hAnsi="宋体" w:eastAsia="宋体" w:cs="宋体"/>
                <w:color w:val="auto"/>
                <w:kern w:val="0"/>
                <w:szCs w:val="24"/>
                <w:highlight w:val="none"/>
                <w:lang w:val="en-US" w:eastAsia="zh-CN"/>
              </w:rPr>
              <w:t>服务、食品保障措施等方面，方案满足服务要求、内容完整、科学合理的得15分；</w:t>
            </w:r>
          </w:p>
          <w:p w14:paraId="121B7D34">
            <w:pPr>
              <w:ind w:right="113"/>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en-US" w:eastAsia="zh-CN"/>
              </w:rPr>
              <w:t>方案基本满足服务要求、内容基本完整、科学合理的得10分；</w:t>
            </w:r>
          </w:p>
          <w:p w14:paraId="609AD554">
            <w:pPr>
              <w:ind w:right="113"/>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en-US" w:eastAsia="zh-CN"/>
              </w:rPr>
              <w:t>方案基本满足服务要求、内容不够完整、不够合理的得5分；</w:t>
            </w:r>
          </w:p>
          <w:p w14:paraId="7E5037B7">
            <w:pPr>
              <w:ind w:right="113"/>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4"/>
                <w:highlight w:val="none"/>
                <w:lang w:val="en-US" w:eastAsia="zh-CN"/>
              </w:rPr>
              <w:t>方案不符合服务要求、内容不完整、不合理或者未提供的得0分。</w:t>
            </w:r>
          </w:p>
        </w:tc>
      </w:tr>
      <w:tr w14:paraId="0AE4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trPr>
        <w:tc>
          <w:tcPr>
            <w:tcW w:w="853" w:type="dxa"/>
            <w:vMerge w:val="continue"/>
            <w:vAlign w:val="center"/>
          </w:tcPr>
          <w:p w14:paraId="1F61AC4D">
            <w:pPr>
              <w:ind w:right="113"/>
              <w:rPr>
                <w:rFonts w:hint="eastAsia" w:ascii="宋体" w:hAnsi="宋体" w:eastAsia="宋体" w:cs="宋体"/>
                <w:color w:val="auto"/>
                <w:szCs w:val="21"/>
                <w:highlight w:val="none"/>
              </w:rPr>
            </w:pPr>
          </w:p>
        </w:tc>
        <w:tc>
          <w:tcPr>
            <w:tcW w:w="1076" w:type="dxa"/>
            <w:vMerge w:val="continue"/>
            <w:vAlign w:val="center"/>
          </w:tcPr>
          <w:p w14:paraId="1ABA20CF">
            <w:pPr>
              <w:spacing w:beforeLines="50"/>
              <w:ind w:right="113"/>
              <w:rPr>
                <w:rFonts w:hint="eastAsia" w:ascii="宋体" w:hAnsi="宋体" w:eastAsia="宋体" w:cs="宋体"/>
                <w:color w:val="auto"/>
                <w:szCs w:val="21"/>
                <w:highlight w:val="none"/>
              </w:rPr>
            </w:pPr>
          </w:p>
        </w:tc>
        <w:tc>
          <w:tcPr>
            <w:tcW w:w="1082" w:type="dxa"/>
            <w:vAlign w:val="center"/>
          </w:tcPr>
          <w:p w14:paraId="30B1C03C">
            <w:pPr>
              <w:ind w:right="113"/>
              <w:jc w:val="center"/>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en-US" w:eastAsia="zh-CN"/>
              </w:rPr>
              <w:t>供应商质量、安全管理措施（15分）</w:t>
            </w:r>
          </w:p>
          <w:p w14:paraId="4439988D">
            <w:pPr>
              <w:ind w:right="113"/>
              <w:rPr>
                <w:rFonts w:hint="eastAsia" w:ascii="宋体" w:hAnsi="宋体" w:eastAsia="宋体" w:cs="宋体"/>
                <w:color w:val="auto"/>
                <w:kern w:val="0"/>
                <w:szCs w:val="24"/>
                <w:highlight w:val="none"/>
                <w:lang w:val="en-US" w:eastAsia="zh-CN"/>
              </w:rPr>
            </w:pPr>
          </w:p>
        </w:tc>
        <w:tc>
          <w:tcPr>
            <w:tcW w:w="6288" w:type="dxa"/>
            <w:vAlign w:val="center"/>
          </w:tcPr>
          <w:p w14:paraId="34EACDDF">
            <w:pPr>
              <w:ind w:right="113"/>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en-US" w:eastAsia="zh-CN"/>
              </w:rPr>
              <w:t>根据供应商提供保障货品质量、安全措施的相对优劣、可靠性进行评分：</w:t>
            </w:r>
          </w:p>
          <w:p w14:paraId="12DFAB5E">
            <w:pPr>
              <w:ind w:right="113"/>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en-US" w:eastAsia="zh-CN"/>
              </w:rPr>
              <w:t>提供质量管理、安全管理措施，措施科学合理、内容完整、可行，的得15分</w:t>
            </w:r>
          </w:p>
          <w:p w14:paraId="59EC19A4">
            <w:pPr>
              <w:ind w:right="113"/>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en-US" w:eastAsia="zh-CN"/>
              </w:rPr>
              <w:t>提供质量管理、安全管理措施，措施基本科学合理、内容基本完整、可行，的得10分</w:t>
            </w:r>
          </w:p>
          <w:p w14:paraId="50D3E33D">
            <w:pPr>
              <w:ind w:right="113"/>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en-US" w:eastAsia="zh-CN"/>
              </w:rPr>
              <w:t>提供质量管理、安全管理措施，措施不够科学合理、内容不够完整、可行，的得5分</w:t>
            </w:r>
          </w:p>
          <w:p w14:paraId="70023B71">
            <w:pPr>
              <w:ind w:right="113"/>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en-US" w:eastAsia="zh-CN"/>
              </w:rPr>
              <w:t>提供质量管理、安全管理措施，内容不符、不合理或未提供的得0分</w:t>
            </w:r>
          </w:p>
        </w:tc>
      </w:tr>
      <w:tr w14:paraId="3A95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trPr>
        <w:tc>
          <w:tcPr>
            <w:tcW w:w="853" w:type="dxa"/>
            <w:vMerge w:val="continue"/>
            <w:vAlign w:val="center"/>
          </w:tcPr>
          <w:p w14:paraId="7D0B3A29">
            <w:pPr>
              <w:ind w:right="113"/>
              <w:rPr>
                <w:rFonts w:hint="eastAsia" w:ascii="宋体" w:hAnsi="宋体" w:eastAsia="宋体" w:cs="宋体"/>
                <w:color w:val="auto"/>
                <w:szCs w:val="21"/>
                <w:highlight w:val="none"/>
              </w:rPr>
            </w:pPr>
          </w:p>
        </w:tc>
        <w:tc>
          <w:tcPr>
            <w:tcW w:w="1076" w:type="dxa"/>
            <w:vMerge w:val="continue"/>
            <w:vAlign w:val="center"/>
          </w:tcPr>
          <w:p w14:paraId="3C0D6EB6">
            <w:pPr>
              <w:spacing w:beforeLines="50"/>
              <w:ind w:right="113"/>
              <w:rPr>
                <w:rFonts w:hint="eastAsia" w:ascii="宋体" w:hAnsi="宋体" w:eastAsia="宋体" w:cs="宋体"/>
                <w:color w:val="auto"/>
                <w:szCs w:val="21"/>
                <w:highlight w:val="none"/>
              </w:rPr>
            </w:pPr>
          </w:p>
        </w:tc>
        <w:tc>
          <w:tcPr>
            <w:tcW w:w="1082" w:type="dxa"/>
            <w:vAlign w:val="center"/>
          </w:tcPr>
          <w:p w14:paraId="080E7B75">
            <w:pPr>
              <w:ind w:right="113"/>
              <w:jc w:val="center"/>
              <w:rPr>
                <w:rFonts w:hint="eastAsia" w:ascii="宋体" w:hAnsi="宋体" w:eastAsia="宋体" w:cs="宋体"/>
                <w:color w:val="auto"/>
                <w:szCs w:val="21"/>
                <w:highlight w:val="none"/>
              </w:rPr>
            </w:pPr>
            <w:r>
              <w:rPr>
                <w:rFonts w:hint="eastAsia" w:ascii="宋体" w:hAnsi="宋体" w:eastAsia="宋体" w:cs="宋体"/>
                <w:color w:val="auto"/>
                <w:highlight w:val="none"/>
              </w:rPr>
              <w:t>项目应急方</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10分</w:t>
            </w:r>
            <w:r>
              <w:rPr>
                <w:rFonts w:hint="eastAsia" w:ascii="宋体" w:hAnsi="宋体" w:eastAsia="宋体" w:cs="宋体"/>
                <w:color w:val="auto"/>
                <w:highlight w:val="none"/>
                <w:lang w:eastAsia="zh-CN"/>
              </w:rPr>
              <w:t>）</w:t>
            </w:r>
          </w:p>
        </w:tc>
        <w:tc>
          <w:tcPr>
            <w:tcW w:w="6288" w:type="dxa"/>
            <w:vAlign w:val="center"/>
          </w:tcPr>
          <w:p w14:paraId="1ABD133A">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针对本项目编制的项目应急方案。</w:t>
            </w:r>
          </w:p>
          <w:p w14:paraId="4163045A">
            <w:p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1.提供缺货补货应急措施方案的得基本</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分，缺货补货应急措施方案编制科学合理、可行的加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分，基本合理的加</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分，其他不加分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本项最多5分。</w:t>
            </w:r>
          </w:p>
          <w:p w14:paraId="1E04CF3E">
            <w:pPr>
              <w:ind w:right="113"/>
              <w:rPr>
                <w:rFonts w:hint="eastAsia" w:ascii="宋体" w:hAnsi="宋体" w:eastAsia="宋体" w:cs="宋体"/>
                <w:color w:val="auto"/>
                <w:szCs w:val="21"/>
                <w:highlight w:val="none"/>
              </w:rPr>
            </w:pPr>
            <w:r>
              <w:rPr>
                <w:rFonts w:hint="eastAsia" w:ascii="宋体" w:hAnsi="宋体" w:eastAsia="宋体" w:cs="宋体"/>
                <w:color w:val="auto"/>
                <w:highlight w:val="none"/>
              </w:rPr>
              <w:t>2.提供突发事件应急措施方案的得基本分</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分，突发事件应急措施方案编制科学合理、可行的加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分，基本合理的加</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分，其他不加分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本项最多5分</w:t>
            </w:r>
            <w:r>
              <w:rPr>
                <w:rFonts w:hint="eastAsia" w:ascii="宋体" w:hAnsi="宋体" w:eastAsia="宋体" w:cs="宋体"/>
                <w:color w:val="auto"/>
                <w:highlight w:val="none"/>
              </w:rPr>
              <w:t xml:space="preserve">。 </w:t>
            </w:r>
          </w:p>
        </w:tc>
      </w:tr>
      <w:tr w14:paraId="634BB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853" w:type="dxa"/>
            <w:vMerge w:val="continue"/>
            <w:vAlign w:val="center"/>
          </w:tcPr>
          <w:p w14:paraId="1555CDC9">
            <w:pPr>
              <w:ind w:right="113"/>
              <w:rPr>
                <w:rFonts w:hint="eastAsia" w:ascii="宋体" w:hAnsi="宋体" w:eastAsia="宋体" w:cs="宋体"/>
                <w:color w:val="auto"/>
                <w:szCs w:val="21"/>
                <w:highlight w:val="none"/>
              </w:rPr>
            </w:pPr>
          </w:p>
        </w:tc>
        <w:tc>
          <w:tcPr>
            <w:tcW w:w="1076" w:type="dxa"/>
            <w:vMerge w:val="continue"/>
            <w:vAlign w:val="center"/>
          </w:tcPr>
          <w:p w14:paraId="792FAF1F">
            <w:pPr>
              <w:spacing w:beforeLines="50"/>
              <w:ind w:right="113"/>
              <w:rPr>
                <w:rFonts w:hint="eastAsia" w:ascii="宋体" w:hAnsi="宋体" w:eastAsia="宋体" w:cs="宋体"/>
                <w:color w:val="auto"/>
                <w:szCs w:val="21"/>
                <w:highlight w:val="none"/>
              </w:rPr>
            </w:pPr>
          </w:p>
        </w:tc>
        <w:tc>
          <w:tcPr>
            <w:tcW w:w="1082" w:type="dxa"/>
            <w:vAlign w:val="center"/>
          </w:tcPr>
          <w:p w14:paraId="34CFB781">
            <w:pPr>
              <w:widowControl/>
              <w:snapToGrid w:val="0"/>
              <w:spacing w:line="240" w:lineRule="atLeast"/>
              <w:jc w:val="center"/>
              <w:rPr>
                <w:rFonts w:hint="eastAsia" w:ascii="宋体" w:hAnsi="宋体" w:eastAsia="宋体" w:cs="宋体"/>
                <w:color w:val="auto"/>
                <w:szCs w:val="21"/>
                <w:highlight w:val="none"/>
              </w:rPr>
            </w:pPr>
            <w:r>
              <w:rPr>
                <w:rFonts w:hint="eastAsia" w:ascii="宋体" w:hAnsi="宋体" w:eastAsia="宋体" w:cs="宋体"/>
                <w:color w:val="auto"/>
                <w:kern w:val="0"/>
                <w:szCs w:val="24"/>
                <w:highlight w:val="none"/>
              </w:rPr>
              <w:t>服务承诺及处罚措施（</w:t>
            </w:r>
            <w:r>
              <w:rPr>
                <w:rFonts w:hint="eastAsia" w:ascii="宋体" w:hAnsi="宋体" w:eastAsia="宋体" w:cs="宋体"/>
                <w:color w:val="auto"/>
                <w:kern w:val="0"/>
                <w:szCs w:val="24"/>
                <w:highlight w:val="none"/>
                <w:lang w:val="en-US" w:eastAsia="zh-CN"/>
              </w:rPr>
              <w:t>10</w:t>
            </w:r>
            <w:r>
              <w:rPr>
                <w:rFonts w:hint="eastAsia" w:ascii="宋体" w:hAnsi="宋体" w:eastAsia="宋体" w:cs="宋体"/>
                <w:color w:val="auto"/>
                <w:kern w:val="0"/>
                <w:szCs w:val="24"/>
                <w:highlight w:val="none"/>
              </w:rPr>
              <w:t>分）</w:t>
            </w:r>
          </w:p>
        </w:tc>
        <w:tc>
          <w:tcPr>
            <w:tcW w:w="6288" w:type="dxa"/>
            <w:vAlign w:val="center"/>
          </w:tcPr>
          <w:p w14:paraId="6ECB1C69">
            <w:pPr>
              <w:widowControl/>
              <w:snapToGrid w:val="0"/>
              <w:spacing w:line="240" w:lineRule="atLeas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针对本项目服务内容和要求做出服务承诺，</w:t>
            </w:r>
          </w:p>
          <w:p w14:paraId="57D737CF">
            <w:pPr>
              <w:widowControl/>
              <w:snapToGrid w:val="0"/>
              <w:spacing w:line="240" w:lineRule="atLeast"/>
              <w:jc w:val="left"/>
              <w:rPr>
                <w:rFonts w:hint="eastAsia" w:ascii="宋体" w:hAnsi="宋体" w:eastAsia="宋体" w:cs="宋体"/>
                <w:color w:val="auto"/>
                <w:highlight w:val="none"/>
              </w:rPr>
            </w:pPr>
            <w:r>
              <w:rPr>
                <w:rFonts w:hint="eastAsia" w:ascii="宋体" w:hAnsi="宋体" w:eastAsia="宋体" w:cs="宋体"/>
                <w:color w:val="auto"/>
                <w:highlight w:val="none"/>
              </w:rPr>
              <w:t>1.提供</w:t>
            </w:r>
            <w:r>
              <w:rPr>
                <w:rFonts w:hint="eastAsia" w:ascii="宋体" w:hAnsi="宋体" w:eastAsia="宋体" w:cs="宋体"/>
                <w:color w:val="auto"/>
                <w:highlight w:val="none"/>
                <w:lang w:val="en-US" w:eastAsia="zh-CN"/>
              </w:rPr>
              <w:t>完全按照招标人的要求对</w:t>
            </w:r>
            <w:r>
              <w:rPr>
                <w:rFonts w:hint="eastAsia" w:ascii="宋体" w:hAnsi="宋体" w:eastAsia="宋体" w:cs="宋体"/>
                <w:color w:val="auto"/>
                <w:highlight w:val="none"/>
              </w:rPr>
              <w:t>供货质量、数量</w:t>
            </w:r>
            <w:r>
              <w:rPr>
                <w:rFonts w:hint="eastAsia" w:ascii="宋体" w:hAnsi="宋体" w:eastAsia="宋体" w:cs="宋体"/>
                <w:color w:val="auto"/>
                <w:highlight w:val="none"/>
                <w:lang w:val="en-US" w:eastAsia="zh-CN"/>
              </w:rPr>
              <w:t>进行</w:t>
            </w:r>
            <w:r>
              <w:rPr>
                <w:rFonts w:hint="eastAsia" w:ascii="宋体" w:hAnsi="宋体" w:eastAsia="宋体" w:cs="宋体"/>
                <w:color w:val="auto"/>
                <w:highlight w:val="none"/>
              </w:rPr>
              <w:t>承诺的得</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w:t>
            </w:r>
          </w:p>
          <w:p w14:paraId="61926E7B">
            <w:pPr>
              <w:widowControl/>
              <w:snapToGrid w:val="0"/>
              <w:spacing w:line="240" w:lineRule="atLeast"/>
              <w:jc w:val="left"/>
              <w:rPr>
                <w:rFonts w:hint="eastAsia" w:ascii="宋体" w:hAnsi="宋体" w:eastAsia="宋体" w:cs="宋体"/>
                <w:color w:val="auto"/>
                <w:szCs w:val="21"/>
                <w:highlight w:val="none"/>
              </w:rPr>
            </w:pPr>
            <w:r>
              <w:rPr>
                <w:rFonts w:hint="eastAsia" w:ascii="宋体" w:hAnsi="宋体" w:eastAsia="宋体" w:cs="宋体"/>
                <w:color w:val="auto"/>
                <w:highlight w:val="none"/>
              </w:rPr>
              <w:t>2.提供</w:t>
            </w:r>
            <w:r>
              <w:rPr>
                <w:rFonts w:hint="eastAsia" w:ascii="宋体" w:hAnsi="宋体" w:eastAsia="宋体" w:cs="宋体"/>
                <w:color w:val="auto"/>
                <w:highlight w:val="none"/>
                <w:lang w:val="en-US" w:eastAsia="zh-CN"/>
              </w:rPr>
              <w:t>质量、数量以及出差频率对应的处罚措施，处罚措施明确具体金额的得5分</w:t>
            </w:r>
            <w:r>
              <w:rPr>
                <w:rFonts w:hint="eastAsia" w:ascii="宋体" w:hAnsi="宋体" w:eastAsia="宋体" w:cs="宋体"/>
                <w:color w:val="auto"/>
                <w:highlight w:val="none"/>
              </w:rPr>
              <w:t>。</w:t>
            </w:r>
          </w:p>
        </w:tc>
      </w:tr>
      <w:tr w14:paraId="6276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299" w:type="dxa"/>
            <w:gridSpan w:val="4"/>
            <w:vAlign w:val="center"/>
          </w:tcPr>
          <w:p w14:paraId="43048AC0">
            <w:pPr>
              <w:widowControl/>
              <w:snapToGrid w:val="0"/>
              <w:spacing w:line="240" w:lineRule="atLeast"/>
              <w:jc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第二包：建材类</w:t>
            </w:r>
          </w:p>
        </w:tc>
      </w:tr>
      <w:tr w14:paraId="0A712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53" w:type="dxa"/>
            <w:vMerge w:val="restart"/>
            <w:vAlign w:val="center"/>
          </w:tcPr>
          <w:p w14:paraId="00D904D8">
            <w:pPr>
              <w:ind w:right="113"/>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2.2.2（1）</w:t>
            </w:r>
          </w:p>
        </w:tc>
        <w:tc>
          <w:tcPr>
            <w:tcW w:w="1076" w:type="dxa"/>
            <w:vMerge w:val="restart"/>
            <w:vAlign w:val="center"/>
          </w:tcPr>
          <w:p w14:paraId="35288C49">
            <w:pPr>
              <w:spacing w:beforeLines="50"/>
              <w:ind w:right="113"/>
              <w:rPr>
                <w:rFonts w:hint="eastAsia" w:ascii="宋体" w:hAnsi="宋体" w:eastAsia="宋体" w:cs="宋体"/>
                <w:color w:val="auto"/>
                <w:kern w:val="0"/>
                <w:szCs w:val="24"/>
                <w:highlight w:val="none"/>
                <w:lang w:val="en-US" w:eastAsia="zh-CN"/>
              </w:rPr>
            </w:pPr>
          </w:p>
          <w:p w14:paraId="09902FBD">
            <w:pPr>
              <w:spacing w:beforeLines="50"/>
              <w:ind w:right="113"/>
              <w:rPr>
                <w:rFonts w:hint="eastAsia" w:ascii="宋体" w:hAnsi="宋体" w:eastAsia="宋体" w:cs="宋体"/>
                <w:color w:val="auto"/>
                <w:szCs w:val="21"/>
                <w:highlight w:val="none"/>
              </w:rPr>
            </w:pPr>
            <w:r>
              <w:rPr>
                <w:rFonts w:hint="eastAsia" w:ascii="宋体" w:hAnsi="宋体" w:eastAsia="宋体" w:cs="宋体"/>
                <w:color w:val="auto"/>
                <w:kern w:val="0"/>
                <w:szCs w:val="24"/>
                <w:highlight w:val="none"/>
                <w:lang w:val="en-US" w:eastAsia="zh-CN"/>
              </w:rPr>
              <w:t>商务</w:t>
            </w:r>
            <w:r>
              <w:rPr>
                <w:rFonts w:hint="eastAsia" w:ascii="宋体" w:hAnsi="宋体" w:eastAsia="宋体" w:cs="宋体"/>
                <w:color w:val="auto"/>
                <w:kern w:val="0"/>
                <w:szCs w:val="24"/>
                <w:highlight w:val="none"/>
              </w:rPr>
              <w:t>部分评分标准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50分</w:t>
            </w:r>
            <w:r>
              <w:rPr>
                <w:rFonts w:hint="eastAsia" w:ascii="宋体" w:hAnsi="宋体" w:eastAsia="宋体" w:cs="宋体"/>
                <w:color w:val="auto"/>
                <w:highlight w:val="none"/>
                <w:lang w:eastAsia="zh-CN"/>
              </w:rPr>
              <w:t>）</w:t>
            </w:r>
          </w:p>
        </w:tc>
        <w:tc>
          <w:tcPr>
            <w:tcW w:w="1082" w:type="dxa"/>
            <w:vAlign w:val="center"/>
          </w:tcPr>
          <w:p w14:paraId="6FD6F889">
            <w:pPr>
              <w:ind w:right="113" w:rightChars="0"/>
              <w:jc w:val="center"/>
              <w:rPr>
                <w:rFonts w:hint="eastAsia" w:ascii="宋体" w:hAnsi="宋体" w:eastAsia="宋体" w:cs="宋体"/>
                <w:color w:val="auto"/>
                <w:kern w:val="0"/>
                <w:szCs w:val="24"/>
                <w:highlight w:val="none"/>
              </w:rPr>
            </w:pPr>
            <w:r>
              <w:rPr>
                <w:rFonts w:hint="eastAsia" w:ascii="宋体" w:hAnsi="宋体" w:eastAsia="宋体" w:cs="宋体"/>
                <w:color w:val="auto"/>
                <w:highlight w:val="none"/>
              </w:rPr>
              <w:t>业绩（</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分）</w:t>
            </w:r>
          </w:p>
        </w:tc>
        <w:tc>
          <w:tcPr>
            <w:tcW w:w="6288" w:type="dxa"/>
            <w:vAlign w:val="center"/>
          </w:tcPr>
          <w:p w14:paraId="621A3E7F">
            <w:pPr>
              <w:ind w:right="113" w:rightChars="0"/>
              <w:rPr>
                <w:rFonts w:hint="eastAsia" w:ascii="宋体" w:hAnsi="宋体" w:eastAsia="宋体" w:cs="宋体"/>
                <w:color w:val="auto"/>
                <w:highlight w:val="none"/>
              </w:rPr>
            </w:pPr>
            <w:r>
              <w:rPr>
                <w:rFonts w:hint="eastAsia" w:ascii="宋体" w:hAnsi="宋体" w:eastAsia="宋体" w:cs="宋体"/>
                <w:color w:val="auto"/>
                <w:highlight w:val="none"/>
              </w:rPr>
              <w:t>供应商提供近三年（投标截止日前推36个月）以来类似业绩，每个业绩得</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分，最高得分</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分，以供应商提供的合同复印件或中标通知书等相关证明材料为评分依据。</w:t>
            </w:r>
          </w:p>
        </w:tc>
      </w:tr>
      <w:tr w14:paraId="55A1E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53" w:type="dxa"/>
            <w:vMerge w:val="continue"/>
            <w:vAlign w:val="center"/>
          </w:tcPr>
          <w:p w14:paraId="1C95C00C">
            <w:pPr>
              <w:ind w:right="113"/>
              <w:rPr>
                <w:rFonts w:hint="eastAsia" w:ascii="宋体" w:hAnsi="宋体" w:eastAsia="宋体" w:cs="宋体"/>
                <w:color w:val="auto"/>
                <w:szCs w:val="21"/>
                <w:highlight w:val="none"/>
              </w:rPr>
            </w:pPr>
          </w:p>
        </w:tc>
        <w:tc>
          <w:tcPr>
            <w:tcW w:w="1076" w:type="dxa"/>
            <w:vMerge w:val="continue"/>
            <w:vAlign w:val="center"/>
          </w:tcPr>
          <w:p w14:paraId="42C78AD2">
            <w:pPr>
              <w:spacing w:beforeLines="50"/>
              <w:ind w:right="113"/>
              <w:rPr>
                <w:rFonts w:hint="eastAsia" w:ascii="宋体" w:hAnsi="宋体" w:eastAsia="宋体" w:cs="宋体"/>
                <w:color w:val="auto"/>
                <w:szCs w:val="21"/>
                <w:highlight w:val="none"/>
              </w:rPr>
            </w:pPr>
          </w:p>
        </w:tc>
        <w:tc>
          <w:tcPr>
            <w:tcW w:w="1082" w:type="dxa"/>
            <w:vAlign w:val="center"/>
          </w:tcPr>
          <w:p w14:paraId="18E89CB0">
            <w:pPr>
              <w:ind w:right="113" w:rightChars="0"/>
              <w:rPr>
                <w:rFonts w:hint="eastAsia" w:ascii="宋体" w:hAnsi="宋体" w:eastAsia="宋体" w:cs="宋体"/>
                <w:color w:val="auto"/>
                <w:kern w:val="0"/>
                <w:szCs w:val="24"/>
                <w:highlight w:val="none"/>
              </w:rPr>
            </w:pPr>
            <w:r>
              <w:rPr>
                <w:rFonts w:hint="eastAsia" w:ascii="宋体" w:hAnsi="宋体" w:eastAsia="宋体" w:cs="宋体"/>
                <w:color w:val="auto"/>
                <w:highlight w:val="none"/>
                <w:lang w:val="en-US" w:eastAsia="zh-CN"/>
              </w:rPr>
              <w:t>场地(10分）</w:t>
            </w:r>
          </w:p>
        </w:tc>
        <w:tc>
          <w:tcPr>
            <w:tcW w:w="6288" w:type="dxa"/>
            <w:vAlign w:val="center"/>
          </w:tcPr>
          <w:p w14:paraId="632B2990">
            <w:pPr>
              <w:ind w:right="113" w:right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供应商在具有固定场所，且场所为自有（提供房产证或不动产权证）或租赁合同复印件加盖公章，得10分。</w:t>
            </w:r>
          </w:p>
        </w:tc>
      </w:tr>
      <w:tr w14:paraId="4D20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853" w:type="dxa"/>
            <w:vMerge w:val="continue"/>
            <w:vAlign w:val="center"/>
          </w:tcPr>
          <w:p w14:paraId="4D95A96C">
            <w:pPr>
              <w:ind w:right="113"/>
              <w:rPr>
                <w:rFonts w:hint="eastAsia" w:ascii="宋体" w:hAnsi="宋体" w:eastAsia="宋体" w:cs="宋体"/>
                <w:color w:val="auto"/>
                <w:szCs w:val="21"/>
                <w:highlight w:val="none"/>
              </w:rPr>
            </w:pPr>
          </w:p>
        </w:tc>
        <w:tc>
          <w:tcPr>
            <w:tcW w:w="1076" w:type="dxa"/>
            <w:vMerge w:val="continue"/>
            <w:vAlign w:val="center"/>
          </w:tcPr>
          <w:p w14:paraId="1C6B107B">
            <w:pPr>
              <w:spacing w:beforeLines="50"/>
              <w:ind w:right="113"/>
              <w:rPr>
                <w:rFonts w:hint="eastAsia" w:ascii="宋体" w:hAnsi="宋体" w:eastAsia="宋体" w:cs="宋体"/>
                <w:color w:val="auto"/>
                <w:szCs w:val="21"/>
                <w:highlight w:val="none"/>
              </w:rPr>
            </w:pPr>
          </w:p>
        </w:tc>
        <w:tc>
          <w:tcPr>
            <w:tcW w:w="1082" w:type="dxa"/>
            <w:vAlign w:val="center"/>
          </w:tcPr>
          <w:p w14:paraId="3EB7AE77">
            <w:pPr>
              <w:ind w:right="113" w:rightChars="0"/>
              <w:jc w:val="center"/>
              <w:rPr>
                <w:rFonts w:hint="eastAsia" w:ascii="宋体" w:hAnsi="宋体" w:eastAsia="宋体" w:cs="宋体"/>
                <w:color w:val="auto"/>
                <w:kern w:val="0"/>
                <w:szCs w:val="24"/>
                <w:highlight w:val="none"/>
              </w:rPr>
            </w:pPr>
            <w:r>
              <w:rPr>
                <w:rFonts w:hint="eastAsia" w:ascii="宋体" w:hAnsi="宋体" w:eastAsia="宋体" w:cs="宋体"/>
                <w:color w:val="auto"/>
                <w:highlight w:val="none"/>
              </w:rPr>
              <w:t>项目</w:t>
            </w:r>
            <w:r>
              <w:rPr>
                <w:rFonts w:hint="eastAsia" w:ascii="宋体" w:hAnsi="宋体" w:eastAsia="宋体" w:cs="宋体"/>
                <w:color w:val="auto"/>
                <w:highlight w:val="none"/>
                <w:lang w:eastAsia="zh-CN"/>
              </w:rPr>
              <w:t>负责</w:t>
            </w:r>
            <w:r>
              <w:rPr>
                <w:rFonts w:hint="eastAsia" w:ascii="宋体" w:hAnsi="宋体" w:eastAsia="宋体" w:cs="宋体"/>
                <w:color w:val="auto"/>
                <w:highlight w:val="none"/>
              </w:rPr>
              <w:t>人</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10分</w:t>
            </w:r>
            <w:r>
              <w:rPr>
                <w:rFonts w:hint="eastAsia" w:ascii="宋体" w:hAnsi="宋体" w:eastAsia="宋体" w:cs="宋体"/>
                <w:color w:val="auto"/>
                <w:highlight w:val="none"/>
                <w:lang w:eastAsia="zh-CN"/>
              </w:rPr>
              <w:t>）</w:t>
            </w:r>
          </w:p>
        </w:tc>
        <w:tc>
          <w:tcPr>
            <w:tcW w:w="6288" w:type="dxa"/>
            <w:vAlign w:val="center"/>
          </w:tcPr>
          <w:p w14:paraId="3F77B00E">
            <w:pPr>
              <w:ind w:right="113" w:right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提供本项目</w:t>
            </w:r>
            <w:r>
              <w:rPr>
                <w:rFonts w:hint="eastAsia" w:ascii="宋体" w:hAnsi="宋体" w:eastAsia="宋体" w:cs="宋体"/>
                <w:color w:val="auto"/>
                <w:highlight w:val="none"/>
                <w:lang w:eastAsia="zh-CN"/>
              </w:rPr>
              <w:t>负责</w:t>
            </w:r>
            <w:r>
              <w:rPr>
                <w:rFonts w:hint="eastAsia" w:ascii="宋体" w:hAnsi="宋体" w:eastAsia="宋体" w:cs="宋体"/>
                <w:color w:val="auto"/>
                <w:highlight w:val="none"/>
              </w:rPr>
              <w:t>人员</w:t>
            </w:r>
            <w:r>
              <w:rPr>
                <w:rFonts w:hint="eastAsia" w:ascii="宋体" w:hAnsi="宋体" w:eastAsia="宋体" w:cs="宋体"/>
                <w:color w:val="auto"/>
                <w:highlight w:val="none"/>
                <w:lang w:eastAsia="zh-CN"/>
              </w:rPr>
              <w:t>相关信息，并</w:t>
            </w:r>
            <w:r>
              <w:rPr>
                <w:rFonts w:hint="eastAsia" w:ascii="宋体" w:hAnsi="宋体" w:eastAsia="宋体" w:cs="宋体"/>
                <w:color w:val="auto"/>
                <w:highlight w:val="none"/>
                <w:lang w:val="en-US" w:eastAsia="zh-CN"/>
              </w:rPr>
              <w:t>出具本项目负责人员委托书，</w:t>
            </w:r>
            <w:r>
              <w:rPr>
                <w:rFonts w:hint="eastAsia" w:ascii="宋体" w:hAnsi="宋体" w:eastAsia="宋体" w:cs="宋体"/>
                <w:color w:val="auto"/>
                <w:highlight w:val="none"/>
                <w:lang w:eastAsia="zh-CN"/>
              </w:rPr>
              <w:t>同时</w:t>
            </w:r>
            <w:r>
              <w:rPr>
                <w:rFonts w:hint="eastAsia" w:ascii="宋体" w:hAnsi="宋体" w:eastAsia="宋体" w:cs="宋体"/>
                <w:color w:val="auto"/>
                <w:highlight w:val="none"/>
              </w:rPr>
              <w:t>承诺中标后</w:t>
            </w:r>
            <w:r>
              <w:rPr>
                <w:rFonts w:hint="eastAsia" w:ascii="宋体" w:hAnsi="宋体" w:eastAsia="宋体" w:cs="宋体"/>
                <w:color w:val="auto"/>
                <w:highlight w:val="none"/>
                <w:lang w:val="en-US" w:eastAsia="zh-CN"/>
              </w:rPr>
              <w:t>拟派负责人员与我单位对接相关事宜的得10</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。需附负责人员</w:t>
            </w:r>
            <w:r>
              <w:rPr>
                <w:rFonts w:hint="eastAsia" w:ascii="宋体" w:hAnsi="宋体" w:eastAsia="宋体" w:cs="宋体"/>
                <w:color w:val="auto"/>
                <w:highlight w:val="none"/>
                <w:lang w:val="en-US" w:eastAsia="zh-CN"/>
              </w:rPr>
              <w:t>身份证复印件、联系方式、委托书、承诺书，附件不全的酌情扣分。</w:t>
            </w:r>
          </w:p>
        </w:tc>
      </w:tr>
      <w:tr w14:paraId="29860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trPr>
        <w:tc>
          <w:tcPr>
            <w:tcW w:w="853" w:type="dxa"/>
            <w:vMerge w:val="restart"/>
            <w:vAlign w:val="center"/>
          </w:tcPr>
          <w:p w14:paraId="21AE051A">
            <w:pPr>
              <w:ind w:right="113"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2.2.2（2）</w:t>
            </w:r>
          </w:p>
        </w:tc>
        <w:tc>
          <w:tcPr>
            <w:tcW w:w="1076" w:type="dxa"/>
            <w:vMerge w:val="restart"/>
            <w:vAlign w:val="center"/>
          </w:tcPr>
          <w:p w14:paraId="6AF5E8A8">
            <w:pPr>
              <w:spacing w:beforeLines="50"/>
              <w:ind w:right="113" w:rightChars="0"/>
              <w:rPr>
                <w:rFonts w:hint="eastAsia" w:ascii="宋体" w:hAnsi="宋体" w:eastAsia="宋体" w:cs="宋体"/>
                <w:color w:val="auto"/>
                <w:szCs w:val="21"/>
                <w:highlight w:val="none"/>
              </w:rPr>
            </w:pPr>
            <w:r>
              <w:rPr>
                <w:rFonts w:hint="eastAsia" w:ascii="宋体" w:hAnsi="宋体" w:eastAsia="宋体" w:cs="宋体"/>
                <w:color w:val="auto"/>
                <w:kern w:val="0"/>
                <w:szCs w:val="24"/>
                <w:highlight w:val="none"/>
              </w:rPr>
              <w:t>技术部分评分标准</w:t>
            </w:r>
            <w:r>
              <w:rPr>
                <w:rFonts w:hint="eastAsia" w:ascii="宋体" w:hAnsi="宋体" w:eastAsia="宋体" w:cs="宋体"/>
                <w:color w:val="auto"/>
                <w:kern w:val="0"/>
                <w:szCs w:val="24"/>
                <w:highlight w:val="none"/>
                <w:lang w:eastAsia="zh-CN"/>
              </w:rPr>
              <w:t>（</w:t>
            </w:r>
            <w:r>
              <w:rPr>
                <w:rFonts w:hint="eastAsia" w:ascii="宋体" w:hAnsi="宋体" w:eastAsia="宋体" w:cs="宋体"/>
                <w:color w:val="auto"/>
                <w:kern w:val="0"/>
                <w:szCs w:val="24"/>
                <w:highlight w:val="none"/>
                <w:lang w:val="en-US" w:eastAsia="zh-CN"/>
              </w:rPr>
              <w:t>50分</w:t>
            </w:r>
            <w:r>
              <w:rPr>
                <w:rFonts w:hint="eastAsia" w:ascii="宋体" w:hAnsi="宋体" w:eastAsia="宋体" w:cs="宋体"/>
                <w:color w:val="auto"/>
                <w:kern w:val="0"/>
                <w:szCs w:val="24"/>
                <w:highlight w:val="none"/>
                <w:lang w:eastAsia="zh-CN"/>
              </w:rPr>
              <w:t>）</w:t>
            </w:r>
          </w:p>
        </w:tc>
        <w:tc>
          <w:tcPr>
            <w:tcW w:w="1082" w:type="dxa"/>
            <w:vAlign w:val="center"/>
          </w:tcPr>
          <w:p w14:paraId="02BCFA3A">
            <w:pPr>
              <w:widowControl/>
              <w:snapToGrid w:val="0"/>
              <w:spacing w:line="240" w:lineRule="atLeast"/>
              <w:jc w:val="center"/>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lang w:val="en-US" w:eastAsia="zh-CN"/>
              </w:rPr>
              <w:t>服务方案（15分）</w:t>
            </w:r>
          </w:p>
        </w:tc>
        <w:tc>
          <w:tcPr>
            <w:tcW w:w="6288" w:type="dxa"/>
            <w:vAlign w:val="center"/>
          </w:tcPr>
          <w:p w14:paraId="1400DA48">
            <w:pPr>
              <w:widowControl/>
              <w:snapToGrid w:val="0"/>
              <w:spacing w:line="240" w:lineRule="atLeast"/>
              <w:jc w:val="left"/>
              <w:rPr>
                <w:rFonts w:hint="eastAsia" w:ascii="宋体" w:hAnsi="宋体" w:eastAsia="宋体" w:cs="宋体"/>
                <w:color w:val="auto"/>
                <w:highlight w:val="none"/>
              </w:rPr>
            </w:pPr>
            <w:r>
              <w:rPr>
                <w:rFonts w:hint="eastAsia" w:ascii="宋体" w:hAnsi="宋体" w:eastAsia="宋体" w:cs="宋体"/>
                <w:color w:val="auto"/>
                <w:highlight w:val="none"/>
              </w:rPr>
              <w:t>针对整体配送计划方案、</w:t>
            </w:r>
            <w:r>
              <w:rPr>
                <w:rFonts w:hint="eastAsia" w:ascii="宋体" w:hAnsi="宋体" w:eastAsia="宋体" w:cs="宋体"/>
                <w:color w:val="auto"/>
                <w:highlight w:val="none"/>
                <w:lang w:val="en-US" w:eastAsia="zh-CN"/>
              </w:rPr>
              <w:t>建筑材料类</w:t>
            </w:r>
            <w:r>
              <w:rPr>
                <w:rFonts w:hint="eastAsia" w:ascii="宋体" w:hAnsi="宋体" w:eastAsia="宋体" w:cs="宋体"/>
                <w:color w:val="auto"/>
                <w:highlight w:val="none"/>
              </w:rPr>
              <w:t>备货周期、供货入库周期、送货实施周期等4个方面的总体服务方案及相关措施进行综合评价：以上4个方面每个方面符合招标单位工作特点，描述的方案详尽、清晰、合理的得</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分；方案较完整、较全面合理、措施具有可性行的每项得</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分；方案</w:t>
            </w:r>
            <w:r>
              <w:rPr>
                <w:rFonts w:hint="eastAsia" w:ascii="宋体" w:hAnsi="宋体" w:eastAsia="宋体" w:cs="宋体"/>
                <w:color w:val="auto"/>
                <w:highlight w:val="none"/>
                <w:lang w:val="en-US" w:eastAsia="zh-CN"/>
              </w:rPr>
              <w:t>一般但能够反映出部分措施的得5分；</w:t>
            </w:r>
            <w:r>
              <w:rPr>
                <w:rFonts w:hint="eastAsia" w:ascii="宋体" w:hAnsi="宋体" w:eastAsia="宋体" w:cs="宋体"/>
                <w:color w:val="auto"/>
                <w:highlight w:val="none"/>
              </w:rPr>
              <w:t>方案混乱、不符合项目实际、内容不全或未提供方案的均不得分。本项最高得</w:t>
            </w:r>
            <w:r>
              <w:rPr>
                <w:rFonts w:hint="eastAsia" w:ascii="宋体" w:hAnsi="宋体" w:eastAsia="宋体" w:cs="宋体"/>
                <w:color w:val="auto"/>
                <w:highlight w:val="none"/>
                <w:lang w:val="en-US" w:eastAsia="zh-CN"/>
              </w:rPr>
              <w:t>15分</w:t>
            </w:r>
          </w:p>
        </w:tc>
      </w:tr>
      <w:tr w14:paraId="07B09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853" w:type="dxa"/>
            <w:vMerge w:val="continue"/>
            <w:vAlign w:val="center"/>
          </w:tcPr>
          <w:p w14:paraId="5BD4156E">
            <w:pPr>
              <w:ind w:right="113"/>
              <w:rPr>
                <w:rFonts w:hint="eastAsia" w:ascii="宋体" w:hAnsi="宋体" w:eastAsia="宋体" w:cs="宋体"/>
                <w:color w:val="auto"/>
                <w:szCs w:val="21"/>
                <w:highlight w:val="none"/>
              </w:rPr>
            </w:pPr>
          </w:p>
        </w:tc>
        <w:tc>
          <w:tcPr>
            <w:tcW w:w="1076" w:type="dxa"/>
            <w:vMerge w:val="continue"/>
            <w:vAlign w:val="center"/>
          </w:tcPr>
          <w:p w14:paraId="018214D6">
            <w:pPr>
              <w:spacing w:beforeLines="50"/>
              <w:ind w:right="113"/>
              <w:rPr>
                <w:rFonts w:hint="eastAsia" w:ascii="宋体" w:hAnsi="宋体" w:eastAsia="宋体" w:cs="宋体"/>
                <w:color w:val="auto"/>
                <w:szCs w:val="21"/>
                <w:highlight w:val="none"/>
              </w:rPr>
            </w:pPr>
          </w:p>
        </w:tc>
        <w:tc>
          <w:tcPr>
            <w:tcW w:w="1082" w:type="dxa"/>
            <w:vAlign w:val="center"/>
          </w:tcPr>
          <w:p w14:paraId="1629BE4A">
            <w:pPr>
              <w:widowControl/>
              <w:snapToGrid w:val="0"/>
              <w:spacing w:line="240" w:lineRule="atLeast"/>
              <w:jc w:val="center"/>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lang w:val="en-US" w:eastAsia="zh-CN"/>
              </w:rPr>
              <w:t>质量保障措施（15分）</w:t>
            </w:r>
          </w:p>
        </w:tc>
        <w:tc>
          <w:tcPr>
            <w:tcW w:w="6288" w:type="dxa"/>
            <w:vAlign w:val="center"/>
          </w:tcPr>
          <w:p w14:paraId="03FD068A">
            <w:pPr>
              <w:widowControl/>
              <w:snapToGrid w:val="0"/>
              <w:spacing w:line="240" w:lineRule="atLeast"/>
              <w:jc w:val="left"/>
              <w:rPr>
                <w:rFonts w:hint="eastAsia" w:ascii="宋体" w:hAnsi="宋体" w:eastAsia="宋体" w:cs="宋体"/>
                <w:color w:val="auto"/>
                <w:highlight w:val="none"/>
              </w:rPr>
            </w:pPr>
            <w:r>
              <w:rPr>
                <w:rFonts w:hint="eastAsia" w:ascii="宋体" w:hAnsi="宋体" w:eastAsia="宋体" w:cs="宋体"/>
                <w:color w:val="auto"/>
                <w:highlight w:val="none"/>
              </w:rPr>
              <w:t>提供</w:t>
            </w:r>
            <w:r>
              <w:rPr>
                <w:rFonts w:hint="eastAsia" w:ascii="宋体" w:hAnsi="宋体" w:eastAsia="宋体" w:cs="宋体"/>
                <w:color w:val="auto"/>
                <w:highlight w:val="none"/>
                <w:lang w:val="en-US" w:eastAsia="zh-CN"/>
              </w:rPr>
              <w:t>满足本项目标包中明确货物、服务的质量承诺及出现质量问题相应的处罚措施，没有提供的不得分</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质量承诺及出现质量问题相应的处罚措施详细合理、内容完整、可行的得15分；质量承诺及出现质量问题相应的处罚措施较详细合理、内容较完整、可行的得10分；质量承诺及出现质量问题相应的处罚措施</w:t>
            </w:r>
            <w:r>
              <w:rPr>
                <w:rFonts w:hint="eastAsia" w:ascii="宋体" w:hAnsi="宋体" w:eastAsia="宋体" w:cs="宋体"/>
                <w:color w:val="auto"/>
                <w:highlight w:val="none"/>
              </w:rPr>
              <w:t>不够详细合理，缺乏可行性，得</w:t>
            </w:r>
            <w:r>
              <w:rPr>
                <w:rFonts w:hint="eastAsia" w:ascii="宋体" w:hAnsi="宋体" w:eastAsia="宋体" w:cs="宋体"/>
                <w:color w:val="auto"/>
                <w:highlight w:val="none"/>
                <w:lang w:val="en-US" w:eastAsia="zh-CN"/>
              </w:rPr>
              <w:t>5分；未提供得0分。</w:t>
            </w:r>
          </w:p>
        </w:tc>
      </w:tr>
      <w:tr w14:paraId="43AA9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853" w:type="dxa"/>
            <w:vMerge w:val="continue"/>
            <w:vAlign w:val="center"/>
          </w:tcPr>
          <w:p w14:paraId="75D47FED">
            <w:pPr>
              <w:ind w:right="113"/>
              <w:rPr>
                <w:rFonts w:hint="eastAsia" w:ascii="宋体" w:hAnsi="宋体" w:eastAsia="宋体" w:cs="宋体"/>
                <w:color w:val="auto"/>
                <w:szCs w:val="21"/>
                <w:highlight w:val="none"/>
              </w:rPr>
            </w:pPr>
          </w:p>
        </w:tc>
        <w:tc>
          <w:tcPr>
            <w:tcW w:w="1076" w:type="dxa"/>
            <w:vMerge w:val="continue"/>
            <w:vAlign w:val="center"/>
          </w:tcPr>
          <w:p w14:paraId="35286E59">
            <w:pPr>
              <w:spacing w:beforeLines="50"/>
              <w:ind w:right="113"/>
              <w:rPr>
                <w:rFonts w:hint="eastAsia" w:ascii="宋体" w:hAnsi="宋体" w:eastAsia="宋体" w:cs="宋体"/>
                <w:color w:val="auto"/>
                <w:szCs w:val="21"/>
                <w:highlight w:val="none"/>
              </w:rPr>
            </w:pPr>
          </w:p>
        </w:tc>
        <w:tc>
          <w:tcPr>
            <w:tcW w:w="1082" w:type="dxa"/>
            <w:vAlign w:val="center"/>
          </w:tcPr>
          <w:p w14:paraId="01C6DD2C">
            <w:pPr>
              <w:widowControl/>
              <w:snapToGrid w:val="0"/>
              <w:spacing w:line="240" w:lineRule="atLeast"/>
              <w:jc w:val="center"/>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lang w:val="en-US" w:eastAsia="zh-CN"/>
              </w:rPr>
              <w:t>应急供货方案（10分）</w:t>
            </w:r>
          </w:p>
        </w:tc>
        <w:tc>
          <w:tcPr>
            <w:tcW w:w="6288" w:type="dxa"/>
            <w:vAlign w:val="center"/>
          </w:tcPr>
          <w:p w14:paraId="31F9592E">
            <w:pPr>
              <w:widowControl/>
              <w:snapToGrid w:val="0"/>
              <w:spacing w:line="240" w:lineRule="atLeast"/>
              <w:jc w:val="left"/>
              <w:rPr>
                <w:rFonts w:hint="eastAsia" w:ascii="宋体" w:hAnsi="宋体" w:eastAsia="宋体" w:cs="宋体"/>
                <w:color w:val="auto"/>
                <w:highlight w:val="none"/>
              </w:rPr>
            </w:pPr>
            <w:r>
              <w:rPr>
                <w:rFonts w:hint="eastAsia" w:ascii="宋体" w:hAnsi="宋体" w:eastAsia="宋体" w:cs="宋体"/>
                <w:color w:val="auto"/>
                <w:highlight w:val="none"/>
              </w:rPr>
              <w:t>针对</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提供的突发情况、应急保障（含应急响应时间承诺）</w:t>
            </w:r>
          </w:p>
          <w:p w14:paraId="277CFD25">
            <w:pPr>
              <w:widowControl/>
              <w:snapToGrid w:val="0"/>
              <w:spacing w:line="240" w:lineRule="atLeast"/>
              <w:jc w:val="left"/>
              <w:rPr>
                <w:rFonts w:hint="eastAsia" w:ascii="宋体" w:hAnsi="宋体" w:eastAsia="宋体" w:cs="宋体"/>
                <w:color w:val="auto"/>
                <w:highlight w:val="none"/>
              </w:rPr>
            </w:pPr>
            <w:r>
              <w:rPr>
                <w:rFonts w:hint="eastAsia" w:ascii="宋体" w:hAnsi="宋体" w:eastAsia="宋体" w:cs="宋体"/>
                <w:color w:val="auto"/>
                <w:highlight w:val="none"/>
              </w:rPr>
              <w:t>或节假日应急供货方案具体情况进行综合评价，应急供货方案详</w:t>
            </w:r>
          </w:p>
          <w:p w14:paraId="5A46CB0B">
            <w:pPr>
              <w:widowControl/>
              <w:snapToGrid w:val="0"/>
              <w:spacing w:line="240" w:lineRule="atLeast"/>
              <w:jc w:val="left"/>
              <w:rPr>
                <w:rFonts w:hint="eastAsia" w:ascii="宋体" w:hAnsi="宋体" w:eastAsia="宋体" w:cs="宋体"/>
                <w:color w:val="auto"/>
                <w:highlight w:val="none"/>
              </w:rPr>
            </w:pPr>
            <w:r>
              <w:rPr>
                <w:rFonts w:hint="eastAsia" w:ascii="宋体" w:hAnsi="宋体" w:eastAsia="宋体" w:cs="宋体"/>
                <w:color w:val="auto"/>
                <w:highlight w:val="none"/>
              </w:rPr>
              <w:t>细合理可行，能保障医院需求的，得</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分；方案较详细合理，具有一定可行性，得</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分；方案不够详细合理，缺乏可行性，得</w:t>
            </w:r>
            <w:r>
              <w:rPr>
                <w:rFonts w:hint="eastAsia" w:ascii="宋体" w:hAnsi="宋体" w:eastAsia="宋体" w:cs="宋体"/>
                <w:color w:val="auto"/>
                <w:highlight w:val="none"/>
                <w:lang w:val="en-US" w:eastAsia="zh-CN"/>
              </w:rPr>
              <w:t>3分；未提供得0分。</w:t>
            </w:r>
          </w:p>
        </w:tc>
      </w:tr>
      <w:tr w14:paraId="73F7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853" w:type="dxa"/>
            <w:vMerge w:val="continue"/>
            <w:vAlign w:val="center"/>
          </w:tcPr>
          <w:p w14:paraId="338C95FD">
            <w:pPr>
              <w:ind w:right="113"/>
              <w:rPr>
                <w:rFonts w:hint="eastAsia" w:ascii="宋体" w:hAnsi="宋体" w:eastAsia="宋体" w:cs="宋体"/>
                <w:color w:val="auto"/>
                <w:szCs w:val="21"/>
                <w:highlight w:val="none"/>
              </w:rPr>
            </w:pPr>
          </w:p>
        </w:tc>
        <w:tc>
          <w:tcPr>
            <w:tcW w:w="1076" w:type="dxa"/>
            <w:vMerge w:val="continue"/>
            <w:vAlign w:val="center"/>
          </w:tcPr>
          <w:p w14:paraId="7EB08316">
            <w:pPr>
              <w:spacing w:beforeLines="50"/>
              <w:ind w:right="113"/>
              <w:rPr>
                <w:rFonts w:hint="eastAsia" w:ascii="宋体" w:hAnsi="宋体" w:eastAsia="宋体" w:cs="宋体"/>
                <w:color w:val="auto"/>
                <w:szCs w:val="21"/>
                <w:highlight w:val="none"/>
              </w:rPr>
            </w:pPr>
          </w:p>
        </w:tc>
        <w:tc>
          <w:tcPr>
            <w:tcW w:w="1082" w:type="dxa"/>
            <w:vAlign w:val="center"/>
          </w:tcPr>
          <w:p w14:paraId="3F312D60">
            <w:pPr>
              <w:widowControl/>
              <w:snapToGrid w:val="0"/>
              <w:spacing w:line="240" w:lineRule="atLeast"/>
              <w:jc w:val="center"/>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lang w:val="en-US" w:eastAsia="zh-CN"/>
              </w:rPr>
              <w:t>售后服务（10分）</w:t>
            </w:r>
          </w:p>
        </w:tc>
        <w:tc>
          <w:tcPr>
            <w:tcW w:w="6288" w:type="dxa"/>
            <w:vAlign w:val="center"/>
          </w:tcPr>
          <w:p w14:paraId="64C54563">
            <w:pPr>
              <w:widowControl/>
              <w:snapToGrid w:val="0"/>
              <w:spacing w:line="240" w:lineRule="atLeas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售后服务方案应包含售后响应时间、售后流程、产品培训、技术支持、售后措施等内容，方案全面、完</w:t>
            </w:r>
            <w:r>
              <w:rPr>
                <w:rFonts w:hint="eastAsia" w:ascii="宋体" w:hAnsi="宋体" w:eastAsia="宋体" w:cs="宋体"/>
                <w:color w:val="auto"/>
                <w:highlight w:val="none"/>
                <w:lang w:val="en-US" w:eastAsia="zh-CN"/>
              </w:rPr>
              <w:t>善、合理，针</w:t>
            </w:r>
            <w:r>
              <w:rPr>
                <w:rFonts w:hint="eastAsia" w:ascii="宋体" w:hAnsi="宋体" w:eastAsia="宋体" w:cs="宋体"/>
                <w:color w:val="auto"/>
                <w:highlight w:val="none"/>
              </w:rPr>
              <w:t>对招标人及项目的实际需求得</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分；方案</w:t>
            </w:r>
            <w:r>
              <w:rPr>
                <w:rFonts w:hint="eastAsia" w:ascii="宋体" w:hAnsi="宋体" w:eastAsia="宋体" w:cs="宋体"/>
                <w:color w:val="auto"/>
                <w:highlight w:val="none"/>
                <w:lang w:val="en-US" w:eastAsia="zh-CN"/>
              </w:rPr>
              <w:t>较全面、完善、合理，能够较</w:t>
            </w:r>
            <w:r>
              <w:rPr>
                <w:rFonts w:hint="eastAsia" w:ascii="宋体" w:hAnsi="宋体" w:eastAsia="宋体" w:cs="宋体"/>
                <w:color w:val="auto"/>
                <w:highlight w:val="none"/>
              </w:rPr>
              <w:t>合招标人及项目的实际需求得</w:t>
            </w:r>
            <w:r>
              <w:rPr>
                <w:rFonts w:hint="eastAsia" w:ascii="宋体" w:hAnsi="宋体" w:eastAsia="宋体" w:cs="宋体"/>
                <w:color w:val="auto"/>
                <w:highlight w:val="none"/>
                <w:lang w:val="en-US" w:eastAsia="zh-CN"/>
              </w:rPr>
              <w:t>5分；</w:t>
            </w:r>
            <w:r>
              <w:rPr>
                <w:rFonts w:hint="eastAsia" w:ascii="宋体" w:hAnsi="宋体" w:eastAsia="宋体" w:cs="宋体"/>
                <w:color w:val="auto"/>
                <w:highlight w:val="none"/>
              </w:rPr>
              <w:t>方案内容不完整，没有贴合招标人及项目的实际需求得3分；</w:t>
            </w:r>
            <w:r>
              <w:rPr>
                <w:rFonts w:hint="eastAsia" w:ascii="宋体" w:hAnsi="宋体" w:eastAsia="宋体" w:cs="宋体"/>
                <w:color w:val="auto"/>
                <w:highlight w:val="none"/>
                <w:lang w:val="en-US" w:eastAsia="zh-CN"/>
              </w:rPr>
              <w:t>未提供</w:t>
            </w:r>
            <w:r>
              <w:rPr>
                <w:rFonts w:hint="eastAsia" w:ascii="宋体" w:hAnsi="宋体" w:eastAsia="宋体" w:cs="宋体"/>
                <w:color w:val="auto"/>
                <w:highlight w:val="none"/>
              </w:rPr>
              <w:t>得0分。</w:t>
            </w:r>
          </w:p>
        </w:tc>
      </w:tr>
      <w:tr w14:paraId="21732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299" w:type="dxa"/>
            <w:gridSpan w:val="4"/>
            <w:vAlign w:val="center"/>
          </w:tcPr>
          <w:p w14:paraId="153B4CF0">
            <w:pPr>
              <w:widowControl/>
              <w:snapToGrid w:val="0"/>
              <w:spacing w:line="240" w:lineRule="atLeast"/>
              <w:jc w:val="center"/>
              <w:rPr>
                <w:rFonts w:hint="eastAsia" w:ascii="宋体" w:hAnsi="宋体" w:eastAsia="宋体" w:cs="宋体"/>
                <w:color w:val="auto"/>
                <w:highlight w:val="none"/>
                <w:lang w:val="en-US"/>
              </w:rPr>
            </w:pPr>
            <w:r>
              <w:rPr>
                <w:rFonts w:hint="eastAsia" w:ascii="宋体" w:hAnsi="宋体" w:eastAsia="宋体" w:cs="宋体"/>
                <w:b/>
                <w:bCs/>
                <w:i w:val="0"/>
                <w:iCs w:val="0"/>
                <w:color w:val="auto"/>
                <w:kern w:val="0"/>
                <w:sz w:val="22"/>
                <w:szCs w:val="22"/>
                <w:highlight w:val="none"/>
                <w:u w:val="none"/>
                <w:lang w:val="en-US" w:eastAsia="zh-CN" w:bidi="ar"/>
              </w:rPr>
              <w:t>第三包：百货类</w:t>
            </w:r>
          </w:p>
        </w:tc>
      </w:tr>
      <w:tr w14:paraId="457A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53" w:type="dxa"/>
            <w:vMerge w:val="restart"/>
            <w:vAlign w:val="center"/>
          </w:tcPr>
          <w:p w14:paraId="46192D71">
            <w:pPr>
              <w:ind w:right="113"/>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2.2.2（1）</w:t>
            </w:r>
          </w:p>
        </w:tc>
        <w:tc>
          <w:tcPr>
            <w:tcW w:w="1076" w:type="dxa"/>
            <w:vMerge w:val="restart"/>
            <w:vAlign w:val="center"/>
          </w:tcPr>
          <w:p w14:paraId="347EB86A">
            <w:pPr>
              <w:spacing w:beforeLines="50"/>
              <w:ind w:right="113"/>
              <w:rPr>
                <w:rFonts w:hint="eastAsia" w:ascii="宋体" w:hAnsi="宋体" w:eastAsia="宋体" w:cs="宋体"/>
                <w:color w:val="auto"/>
                <w:szCs w:val="21"/>
                <w:highlight w:val="none"/>
              </w:rPr>
            </w:pPr>
            <w:r>
              <w:rPr>
                <w:rFonts w:hint="eastAsia" w:ascii="宋体" w:hAnsi="宋体" w:eastAsia="宋体" w:cs="宋体"/>
                <w:color w:val="auto"/>
                <w:kern w:val="0"/>
                <w:szCs w:val="24"/>
                <w:highlight w:val="none"/>
                <w:lang w:val="en-US" w:eastAsia="zh-CN"/>
              </w:rPr>
              <w:t>商务</w:t>
            </w:r>
            <w:r>
              <w:rPr>
                <w:rFonts w:hint="eastAsia" w:ascii="宋体" w:hAnsi="宋体" w:eastAsia="宋体" w:cs="宋体"/>
                <w:color w:val="auto"/>
                <w:kern w:val="0"/>
                <w:szCs w:val="24"/>
                <w:highlight w:val="none"/>
              </w:rPr>
              <w:t>部分评分标准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50分</w:t>
            </w:r>
            <w:r>
              <w:rPr>
                <w:rFonts w:hint="eastAsia" w:ascii="宋体" w:hAnsi="宋体" w:eastAsia="宋体" w:cs="宋体"/>
                <w:color w:val="auto"/>
                <w:highlight w:val="none"/>
                <w:lang w:eastAsia="zh-CN"/>
              </w:rPr>
              <w:t>）</w:t>
            </w:r>
          </w:p>
        </w:tc>
        <w:tc>
          <w:tcPr>
            <w:tcW w:w="1082" w:type="dxa"/>
            <w:vAlign w:val="center"/>
          </w:tcPr>
          <w:p w14:paraId="6B239063">
            <w:pPr>
              <w:ind w:right="113" w:rightChars="0"/>
              <w:jc w:val="center"/>
              <w:rPr>
                <w:rFonts w:hint="eastAsia" w:ascii="宋体" w:hAnsi="宋体" w:eastAsia="宋体" w:cs="宋体"/>
                <w:color w:val="auto"/>
                <w:kern w:val="0"/>
                <w:szCs w:val="24"/>
                <w:highlight w:val="none"/>
              </w:rPr>
            </w:pPr>
            <w:r>
              <w:rPr>
                <w:rFonts w:hint="eastAsia" w:ascii="宋体" w:hAnsi="宋体" w:eastAsia="宋体" w:cs="宋体"/>
                <w:color w:val="auto"/>
                <w:highlight w:val="none"/>
              </w:rPr>
              <w:t>业绩（</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分）</w:t>
            </w:r>
          </w:p>
        </w:tc>
        <w:tc>
          <w:tcPr>
            <w:tcW w:w="6288" w:type="dxa"/>
            <w:vAlign w:val="center"/>
          </w:tcPr>
          <w:p w14:paraId="59E3644A">
            <w:pPr>
              <w:ind w:right="113" w:rightChars="0"/>
              <w:rPr>
                <w:rFonts w:hint="eastAsia" w:ascii="宋体" w:hAnsi="宋体" w:eastAsia="宋体" w:cs="宋体"/>
                <w:color w:val="auto"/>
                <w:highlight w:val="none"/>
              </w:rPr>
            </w:pPr>
            <w:r>
              <w:rPr>
                <w:rFonts w:hint="eastAsia" w:ascii="宋体" w:hAnsi="宋体" w:eastAsia="宋体" w:cs="宋体"/>
                <w:color w:val="auto"/>
                <w:highlight w:val="none"/>
              </w:rPr>
              <w:t>供应商提供近三年（投标截止日前推36个月）以来类似业绩，每个业绩得</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分，最高得分</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分，以供应商提供的合同复印件或中标通知书等相关证明材料为评分依据。</w:t>
            </w:r>
          </w:p>
        </w:tc>
      </w:tr>
      <w:tr w14:paraId="47742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853" w:type="dxa"/>
            <w:vMerge w:val="continue"/>
            <w:vAlign w:val="center"/>
          </w:tcPr>
          <w:p w14:paraId="598A76AC">
            <w:pPr>
              <w:ind w:right="113"/>
              <w:rPr>
                <w:rFonts w:hint="eastAsia" w:ascii="宋体" w:hAnsi="宋体" w:eastAsia="宋体" w:cs="宋体"/>
                <w:color w:val="auto"/>
                <w:szCs w:val="21"/>
                <w:highlight w:val="none"/>
              </w:rPr>
            </w:pPr>
          </w:p>
        </w:tc>
        <w:tc>
          <w:tcPr>
            <w:tcW w:w="1076" w:type="dxa"/>
            <w:vMerge w:val="continue"/>
            <w:vAlign w:val="center"/>
          </w:tcPr>
          <w:p w14:paraId="564345A1">
            <w:pPr>
              <w:spacing w:beforeLines="50"/>
              <w:ind w:right="113"/>
              <w:rPr>
                <w:rFonts w:hint="eastAsia" w:ascii="宋体" w:hAnsi="宋体" w:eastAsia="宋体" w:cs="宋体"/>
                <w:color w:val="auto"/>
                <w:szCs w:val="21"/>
                <w:highlight w:val="none"/>
              </w:rPr>
            </w:pPr>
          </w:p>
        </w:tc>
        <w:tc>
          <w:tcPr>
            <w:tcW w:w="1082" w:type="dxa"/>
            <w:vAlign w:val="center"/>
          </w:tcPr>
          <w:p w14:paraId="56493CD7">
            <w:pPr>
              <w:ind w:right="113" w:rightChars="0"/>
              <w:jc w:val="center"/>
              <w:rPr>
                <w:rFonts w:hint="eastAsia" w:ascii="宋体" w:hAnsi="宋体" w:eastAsia="宋体" w:cs="宋体"/>
                <w:color w:val="auto"/>
                <w:kern w:val="0"/>
                <w:szCs w:val="24"/>
                <w:highlight w:val="none"/>
              </w:rPr>
            </w:pPr>
            <w:r>
              <w:rPr>
                <w:rFonts w:hint="eastAsia" w:ascii="宋体" w:hAnsi="宋体" w:eastAsia="宋体" w:cs="宋体"/>
                <w:color w:val="auto"/>
                <w:highlight w:val="none"/>
              </w:rPr>
              <w:t>项目</w:t>
            </w:r>
            <w:r>
              <w:rPr>
                <w:rFonts w:hint="eastAsia" w:ascii="宋体" w:hAnsi="宋体" w:eastAsia="宋体" w:cs="宋体"/>
                <w:color w:val="auto"/>
                <w:highlight w:val="none"/>
                <w:lang w:eastAsia="zh-CN"/>
              </w:rPr>
              <w:t>负责</w:t>
            </w:r>
            <w:r>
              <w:rPr>
                <w:rFonts w:hint="eastAsia" w:ascii="宋体" w:hAnsi="宋体" w:eastAsia="宋体" w:cs="宋体"/>
                <w:color w:val="auto"/>
                <w:highlight w:val="none"/>
              </w:rPr>
              <w:t>人</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10分</w:t>
            </w:r>
            <w:r>
              <w:rPr>
                <w:rFonts w:hint="eastAsia" w:ascii="宋体" w:hAnsi="宋体" w:eastAsia="宋体" w:cs="宋体"/>
                <w:color w:val="auto"/>
                <w:highlight w:val="none"/>
                <w:lang w:eastAsia="zh-CN"/>
              </w:rPr>
              <w:t>）</w:t>
            </w:r>
          </w:p>
        </w:tc>
        <w:tc>
          <w:tcPr>
            <w:tcW w:w="6288" w:type="dxa"/>
            <w:vAlign w:val="center"/>
          </w:tcPr>
          <w:p w14:paraId="08A1452C">
            <w:pPr>
              <w:ind w:right="113" w:right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提供本项目</w:t>
            </w:r>
            <w:r>
              <w:rPr>
                <w:rFonts w:hint="eastAsia" w:ascii="宋体" w:hAnsi="宋体" w:eastAsia="宋体" w:cs="宋体"/>
                <w:color w:val="auto"/>
                <w:highlight w:val="none"/>
                <w:lang w:eastAsia="zh-CN"/>
              </w:rPr>
              <w:t>负责</w:t>
            </w:r>
            <w:r>
              <w:rPr>
                <w:rFonts w:hint="eastAsia" w:ascii="宋体" w:hAnsi="宋体" w:eastAsia="宋体" w:cs="宋体"/>
                <w:color w:val="auto"/>
                <w:highlight w:val="none"/>
              </w:rPr>
              <w:t>人员</w:t>
            </w:r>
            <w:r>
              <w:rPr>
                <w:rFonts w:hint="eastAsia" w:ascii="宋体" w:hAnsi="宋体" w:eastAsia="宋体" w:cs="宋体"/>
                <w:color w:val="auto"/>
                <w:highlight w:val="none"/>
                <w:lang w:eastAsia="zh-CN"/>
              </w:rPr>
              <w:t>相关信息，并</w:t>
            </w:r>
            <w:r>
              <w:rPr>
                <w:rFonts w:hint="eastAsia" w:ascii="宋体" w:hAnsi="宋体" w:eastAsia="宋体" w:cs="宋体"/>
                <w:color w:val="auto"/>
                <w:highlight w:val="none"/>
                <w:lang w:val="en-US" w:eastAsia="zh-CN"/>
              </w:rPr>
              <w:t>出具本项目负责人员委托书，</w:t>
            </w:r>
            <w:r>
              <w:rPr>
                <w:rFonts w:hint="eastAsia" w:ascii="宋体" w:hAnsi="宋体" w:eastAsia="宋体" w:cs="宋体"/>
                <w:color w:val="auto"/>
                <w:highlight w:val="none"/>
                <w:lang w:eastAsia="zh-CN"/>
              </w:rPr>
              <w:t>同时</w:t>
            </w:r>
            <w:r>
              <w:rPr>
                <w:rFonts w:hint="eastAsia" w:ascii="宋体" w:hAnsi="宋体" w:eastAsia="宋体" w:cs="宋体"/>
                <w:color w:val="auto"/>
                <w:highlight w:val="none"/>
              </w:rPr>
              <w:t>承诺中标后</w:t>
            </w:r>
            <w:r>
              <w:rPr>
                <w:rFonts w:hint="eastAsia" w:ascii="宋体" w:hAnsi="宋体" w:eastAsia="宋体" w:cs="宋体"/>
                <w:color w:val="auto"/>
                <w:highlight w:val="none"/>
                <w:lang w:val="en-US" w:eastAsia="zh-CN"/>
              </w:rPr>
              <w:t>拟派负责人员与我单位对接相关事宜的得10</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。需附负责人员</w:t>
            </w:r>
            <w:r>
              <w:rPr>
                <w:rFonts w:hint="eastAsia" w:ascii="宋体" w:hAnsi="宋体" w:eastAsia="宋体" w:cs="宋体"/>
                <w:color w:val="auto"/>
                <w:highlight w:val="none"/>
                <w:lang w:val="en-US" w:eastAsia="zh-CN"/>
              </w:rPr>
              <w:t>身份证复印件、联系方式、委托书、承诺书，附件不全的酌情扣分。</w:t>
            </w:r>
          </w:p>
        </w:tc>
      </w:tr>
      <w:tr w14:paraId="1D1F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53" w:type="dxa"/>
            <w:vMerge w:val="continue"/>
            <w:vAlign w:val="center"/>
          </w:tcPr>
          <w:p w14:paraId="6E09D409">
            <w:pPr>
              <w:ind w:right="113"/>
              <w:rPr>
                <w:rFonts w:hint="eastAsia" w:ascii="宋体" w:hAnsi="宋体" w:eastAsia="宋体" w:cs="宋体"/>
                <w:color w:val="auto"/>
                <w:szCs w:val="21"/>
                <w:highlight w:val="none"/>
              </w:rPr>
            </w:pPr>
          </w:p>
        </w:tc>
        <w:tc>
          <w:tcPr>
            <w:tcW w:w="1076" w:type="dxa"/>
            <w:vMerge w:val="continue"/>
            <w:vAlign w:val="center"/>
          </w:tcPr>
          <w:p w14:paraId="203E68F1">
            <w:pPr>
              <w:spacing w:beforeLines="50"/>
              <w:ind w:right="113"/>
              <w:rPr>
                <w:rFonts w:hint="eastAsia" w:ascii="宋体" w:hAnsi="宋体" w:eastAsia="宋体" w:cs="宋体"/>
                <w:color w:val="auto"/>
                <w:szCs w:val="21"/>
                <w:highlight w:val="none"/>
              </w:rPr>
            </w:pPr>
          </w:p>
        </w:tc>
        <w:tc>
          <w:tcPr>
            <w:tcW w:w="1082" w:type="dxa"/>
            <w:vAlign w:val="center"/>
          </w:tcPr>
          <w:p w14:paraId="1A352A16">
            <w:pPr>
              <w:ind w:right="113" w:rightChars="0"/>
              <w:rPr>
                <w:rFonts w:hint="eastAsia" w:ascii="宋体" w:hAnsi="宋体" w:eastAsia="宋体" w:cs="宋体"/>
                <w:color w:val="auto"/>
                <w:kern w:val="0"/>
                <w:szCs w:val="24"/>
                <w:highlight w:val="none"/>
              </w:rPr>
            </w:pPr>
            <w:r>
              <w:rPr>
                <w:rFonts w:hint="eastAsia" w:ascii="宋体" w:hAnsi="宋体" w:eastAsia="宋体" w:cs="宋体"/>
                <w:color w:val="auto"/>
                <w:highlight w:val="none"/>
                <w:lang w:val="en-US" w:eastAsia="zh-CN"/>
              </w:rPr>
              <w:t>场地(10分）</w:t>
            </w:r>
          </w:p>
        </w:tc>
        <w:tc>
          <w:tcPr>
            <w:tcW w:w="6288" w:type="dxa"/>
            <w:vAlign w:val="center"/>
          </w:tcPr>
          <w:p w14:paraId="2147D788">
            <w:pPr>
              <w:ind w:right="113" w:right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供应商在具有固定场所，且场所为自有（提供房产证或不动产权证）或租赁合同复印件加盖公章，得10分。</w:t>
            </w:r>
          </w:p>
        </w:tc>
      </w:tr>
      <w:tr w14:paraId="3506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853" w:type="dxa"/>
            <w:vMerge w:val="restart"/>
            <w:vAlign w:val="center"/>
          </w:tcPr>
          <w:p w14:paraId="16F47571">
            <w:pPr>
              <w:ind w:right="113"/>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2.2.2（2）</w:t>
            </w:r>
          </w:p>
        </w:tc>
        <w:tc>
          <w:tcPr>
            <w:tcW w:w="1076" w:type="dxa"/>
            <w:vMerge w:val="restart"/>
            <w:vAlign w:val="center"/>
          </w:tcPr>
          <w:p w14:paraId="69E344BD">
            <w:pPr>
              <w:spacing w:beforeLines="50"/>
              <w:ind w:right="113"/>
              <w:rPr>
                <w:rFonts w:hint="eastAsia" w:ascii="宋体" w:hAnsi="宋体" w:eastAsia="宋体" w:cs="宋体"/>
                <w:color w:val="auto"/>
                <w:szCs w:val="21"/>
                <w:highlight w:val="none"/>
              </w:rPr>
            </w:pPr>
            <w:r>
              <w:rPr>
                <w:rFonts w:hint="eastAsia" w:ascii="宋体" w:hAnsi="宋体" w:eastAsia="宋体" w:cs="宋体"/>
                <w:color w:val="auto"/>
                <w:kern w:val="0"/>
                <w:szCs w:val="24"/>
                <w:highlight w:val="none"/>
              </w:rPr>
              <w:t>技术部分评分标准</w:t>
            </w:r>
            <w:r>
              <w:rPr>
                <w:rFonts w:hint="eastAsia" w:ascii="宋体" w:hAnsi="宋体" w:eastAsia="宋体" w:cs="宋体"/>
                <w:color w:val="auto"/>
                <w:kern w:val="0"/>
                <w:szCs w:val="24"/>
                <w:highlight w:val="none"/>
                <w:lang w:eastAsia="zh-CN"/>
              </w:rPr>
              <w:t>（</w:t>
            </w:r>
            <w:r>
              <w:rPr>
                <w:rFonts w:hint="eastAsia" w:ascii="宋体" w:hAnsi="宋体" w:eastAsia="宋体" w:cs="宋体"/>
                <w:color w:val="auto"/>
                <w:kern w:val="0"/>
                <w:szCs w:val="24"/>
                <w:highlight w:val="none"/>
                <w:lang w:val="en-US" w:eastAsia="zh-CN"/>
              </w:rPr>
              <w:t>40分</w:t>
            </w:r>
            <w:r>
              <w:rPr>
                <w:rFonts w:hint="eastAsia" w:ascii="宋体" w:hAnsi="宋体" w:eastAsia="宋体" w:cs="宋体"/>
                <w:color w:val="auto"/>
                <w:kern w:val="0"/>
                <w:szCs w:val="24"/>
                <w:highlight w:val="none"/>
                <w:lang w:eastAsia="zh-CN"/>
              </w:rPr>
              <w:t>）</w:t>
            </w:r>
          </w:p>
        </w:tc>
        <w:tc>
          <w:tcPr>
            <w:tcW w:w="1082" w:type="dxa"/>
            <w:vAlign w:val="center"/>
          </w:tcPr>
          <w:p w14:paraId="5E1B18C4">
            <w:pPr>
              <w:widowControl/>
              <w:snapToGrid w:val="0"/>
              <w:spacing w:line="240" w:lineRule="atLeast"/>
              <w:jc w:val="center"/>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lang w:val="en-US" w:eastAsia="zh-CN"/>
              </w:rPr>
              <w:t>质量保障措施（15分）</w:t>
            </w:r>
          </w:p>
        </w:tc>
        <w:tc>
          <w:tcPr>
            <w:tcW w:w="6288" w:type="dxa"/>
            <w:vAlign w:val="center"/>
          </w:tcPr>
          <w:p w14:paraId="790E1D0C">
            <w:pPr>
              <w:widowControl/>
              <w:snapToGrid w:val="0"/>
              <w:spacing w:line="240" w:lineRule="atLeas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供应商提供明确的质量保障措施以及承诺出现质量问题相应的处罚措施详细合理、内容完整、可行的得15分；质量承诺及出现质量问题相应的处罚措施较详细合理、内容较完整、可行的得10分；质量承诺及出现质量问题相应的处罚措施</w:t>
            </w:r>
            <w:r>
              <w:rPr>
                <w:rFonts w:hint="eastAsia" w:ascii="宋体" w:hAnsi="宋体" w:eastAsia="宋体" w:cs="宋体"/>
                <w:color w:val="auto"/>
                <w:highlight w:val="none"/>
              </w:rPr>
              <w:t>不够详细合理，缺乏可行性，得</w:t>
            </w:r>
            <w:r>
              <w:rPr>
                <w:rFonts w:hint="eastAsia" w:ascii="宋体" w:hAnsi="宋体" w:eastAsia="宋体" w:cs="宋体"/>
                <w:color w:val="auto"/>
                <w:highlight w:val="none"/>
                <w:lang w:val="en-US" w:eastAsia="zh-CN"/>
              </w:rPr>
              <w:t>5分；未提供得0分。</w:t>
            </w:r>
          </w:p>
        </w:tc>
      </w:tr>
      <w:tr w14:paraId="21A9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853" w:type="dxa"/>
            <w:vMerge w:val="continue"/>
            <w:vAlign w:val="center"/>
          </w:tcPr>
          <w:p w14:paraId="194A956A">
            <w:pPr>
              <w:ind w:right="113"/>
              <w:rPr>
                <w:rFonts w:hint="eastAsia" w:ascii="宋体" w:hAnsi="宋体" w:eastAsia="宋体" w:cs="宋体"/>
                <w:color w:val="auto"/>
                <w:szCs w:val="21"/>
                <w:highlight w:val="none"/>
              </w:rPr>
            </w:pPr>
          </w:p>
        </w:tc>
        <w:tc>
          <w:tcPr>
            <w:tcW w:w="1076" w:type="dxa"/>
            <w:vMerge w:val="continue"/>
            <w:vAlign w:val="center"/>
          </w:tcPr>
          <w:p w14:paraId="409DE625">
            <w:pPr>
              <w:spacing w:beforeLines="50"/>
              <w:ind w:right="113"/>
              <w:rPr>
                <w:rFonts w:hint="eastAsia" w:ascii="宋体" w:hAnsi="宋体" w:eastAsia="宋体" w:cs="宋体"/>
                <w:color w:val="auto"/>
                <w:szCs w:val="21"/>
                <w:highlight w:val="none"/>
              </w:rPr>
            </w:pPr>
          </w:p>
        </w:tc>
        <w:tc>
          <w:tcPr>
            <w:tcW w:w="1082" w:type="dxa"/>
            <w:vAlign w:val="center"/>
          </w:tcPr>
          <w:p w14:paraId="70DB09AF">
            <w:pPr>
              <w:widowControl/>
              <w:snapToGrid w:val="0"/>
              <w:spacing w:line="240" w:lineRule="atLeast"/>
              <w:jc w:val="center"/>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lang w:val="en-US" w:eastAsia="zh-CN"/>
              </w:rPr>
              <w:t>应急供货方案（15分）</w:t>
            </w:r>
          </w:p>
        </w:tc>
        <w:tc>
          <w:tcPr>
            <w:tcW w:w="6288" w:type="dxa"/>
            <w:vAlign w:val="center"/>
          </w:tcPr>
          <w:p w14:paraId="4DAB30FB">
            <w:pPr>
              <w:widowControl/>
              <w:snapToGrid w:val="0"/>
              <w:spacing w:line="240" w:lineRule="atLeast"/>
              <w:jc w:val="left"/>
              <w:rPr>
                <w:rFonts w:hint="eastAsia" w:ascii="宋体" w:hAnsi="宋体" w:eastAsia="宋体" w:cs="宋体"/>
                <w:color w:val="auto"/>
                <w:highlight w:val="none"/>
              </w:rPr>
            </w:pPr>
            <w:r>
              <w:rPr>
                <w:rFonts w:hint="eastAsia" w:ascii="宋体" w:hAnsi="宋体" w:eastAsia="宋体" w:cs="宋体"/>
                <w:color w:val="auto"/>
                <w:highlight w:val="none"/>
              </w:rPr>
              <w:t>针对</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提供的突发情况、应急保障（含应急响应时间承诺）</w:t>
            </w:r>
          </w:p>
          <w:p w14:paraId="3C38DD25">
            <w:pPr>
              <w:widowControl/>
              <w:snapToGrid w:val="0"/>
              <w:spacing w:line="240" w:lineRule="atLeast"/>
              <w:jc w:val="left"/>
              <w:rPr>
                <w:rFonts w:hint="eastAsia" w:ascii="宋体" w:hAnsi="宋体" w:eastAsia="宋体" w:cs="宋体"/>
                <w:color w:val="auto"/>
                <w:highlight w:val="none"/>
              </w:rPr>
            </w:pPr>
            <w:r>
              <w:rPr>
                <w:rFonts w:hint="eastAsia" w:ascii="宋体" w:hAnsi="宋体" w:eastAsia="宋体" w:cs="宋体"/>
                <w:color w:val="auto"/>
                <w:highlight w:val="none"/>
              </w:rPr>
              <w:t>或节假日应急供货方案具体情况进行综合评价，应急供货方案详</w:t>
            </w:r>
          </w:p>
          <w:p w14:paraId="2C5E5438">
            <w:pPr>
              <w:widowControl/>
              <w:snapToGrid w:val="0"/>
              <w:spacing w:line="240" w:lineRule="atLeast"/>
              <w:jc w:val="left"/>
              <w:rPr>
                <w:rFonts w:hint="eastAsia" w:ascii="宋体" w:hAnsi="宋体" w:eastAsia="宋体" w:cs="宋体"/>
                <w:color w:val="auto"/>
                <w:highlight w:val="none"/>
              </w:rPr>
            </w:pPr>
            <w:r>
              <w:rPr>
                <w:rFonts w:hint="eastAsia" w:ascii="宋体" w:hAnsi="宋体" w:eastAsia="宋体" w:cs="宋体"/>
                <w:color w:val="auto"/>
                <w:highlight w:val="none"/>
              </w:rPr>
              <w:t>细合理可行，能保障医院需求的，得</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分；方案较详细合理，具有一定可行性，得</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分；方案不够详细合理，缺乏可行性，得</w:t>
            </w:r>
            <w:r>
              <w:rPr>
                <w:rFonts w:hint="eastAsia" w:ascii="宋体" w:hAnsi="宋体" w:eastAsia="宋体" w:cs="宋体"/>
                <w:color w:val="auto"/>
                <w:highlight w:val="none"/>
                <w:lang w:val="en-US" w:eastAsia="zh-CN"/>
              </w:rPr>
              <w:t>5分；未提供得0分。</w:t>
            </w:r>
          </w:p>
        </w:tc>
      </w:tr>
      <w:tr w14:paraId="5BCD6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853" w:type="dxa"/>
            <w:vMerge w:val="continue"/>
            <w:vAlign w:val="center"/>
          </w:tcPr>
          <w:p w14:paraId="1D79A346">
            <w:pPr>
              <w:ind w:right="113"/>
              <w:rPr>
                <w:rFonts w:hint="eastAsia" w:ascii="宋体" w:hAnsi="宋体" w:eastAsia="宋体" w:cs="宋体"/>
                <w:color w:val="auto"/>
                <w:szCs w:val="21"/>
                <w:highlight w:val="none"/>
              </w:rPr>
            </w:pPr>
          </w:p>
        </w:tc>
        <w:tc>
          <w:tcPr>
            <w:tcW w:w="1076" w:type="dxa"/>
            <w:vMerge w:val="continue"/>
            <w:vAlign w:val="center"/>
          </w:tcPr>
          <w:p w14:paraId="0172ABFF">
            <w:pPr>
              <w:spacing w:beforeLines="50"/>
              <w:ind w:right="113"/>
              <w:rPr>
                <w:rFonts w:hint="eastAsia" w:ascii="宋体" w:hAnsi="宋体" w:eastAsia="宋体" w:cs="宋体"/>
                <w:color w:val="auto"/>
                <w:szCs w:val="21"/>
                <w:highlight w:val="none"/>
              </w:rPr>
            </w:pPr>
          </w:p>
        </w:tc>
        <w:tc>
          <w:tcPr>
            <w:tcW w:w="1082" w:type="dxa"/>
            <w:vAlign w:val="center"/>
          </w:tcPr>
          <w:p w14:paraId="2A1051C5">
            <w:pPr>
              <w:widowControl/>
              <w:snapToGrid w:val="0"/>
              <w:spacing w:line="240" w:lineRule="atLeast"/>
              <w:jc w:val="center"/>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lang w:val="en-US" w:eastAsia="zh-CN"/>
              </w:rPr>
              <w:t>售后服务（15分）</w:t>
            </w:r>
          </w:p>
        </w:tc>
        <w:tc>
          <w:tcPr>
            <w:tcW w:w="6288" w:type="dxa"/>
            <w:vAlign w:val="center"/>
          </w:tcPr>
          <w:p w14:paraId="5B0740CB">
            <w:pPr>
              <w:widowControl/>
              <w:snapToGrid w:val="0"/>
              <w:spacing w:line="240" w:lineRule="atLeas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售后服务方案应包含售后响应时间、售后流程、产品培训、技术支持、售后措施等内容，方案全面、完</w:t>
            </w:r>
            <w:r>
              <w:rPr>
                <w:rFonts w:hint="eastAsia" w:ascii="宋体" w:hAnsi="宋体" w:eastAsia="宋体" w:cs="宋体"/>
                <w:color w:val="auto"/>
                <w:highlight w:val="none"/>
                <w:lang w:val="en-US" w:eastAsia="zh-CN"/>
              </w:rPr>
              <w:t>善、合理，针</w:t>
            </w:r>
            <w:r>
              <w:rPr>
                <w:rFonts w:hint="eastAsia" w:ascii="宋体" w:hAnsi="宋体" w:eastAsia="宋体" w:cs="宋体"/>
                <w:color w:val="auto"/>
                <w:highlight w:val="none"/>
              </w:rPr>
              <w:t>对招标人及项目的实际需求得</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分；方案</w:t>
            </w:r>
            <w:r>
              <w:rPr>
                <w:rFonts w:hint="eastAsia" w:ascii="宋体" w:hAnsi="宋体" w:eastAsia="宋体" w:cs="宋体"/>
                <w:color w:val="auto"/>
                <w:highlight w:val="none"/>
                <w:lang w:val="en-US" w:eastAsia="zh-CN"/>
              </w:rPr>
              <w:t>较全面、完善、合理，能够较</w:t>
            </w:r>
            <w:r>
              <w:rPr>
                <w:rFonts w:hint="eastAsia" w:ascii="宋体" w:hAnsi="宋体" w:eastAsia="宋体" w:cs="宋体"/>
                <w:color w:val="auto"/>
                <w:highlight w:val="none"/>
              </w:rPr>
              <w:t>合招标人及项目的实际需求得</w:t>
            </w:r>
            <w:r>
              <w:rPr>
                <w:rFonts w:hint="eastAsia" w:ascii="宋体" w:hAnsi="宋体" w:eastAsia="宋体" w:cs="宋体"/>
                <w:color w:val="auto"/>
                <w:highlight w:val="none"/>
                <w:lang w:val="en-US" w:eastAsia="zh-CN"/>
              </w:rPr>
              <w:t>10分；</w:t>
            </w:r>
            <w:r>
              <w:rPr>
                <w:rFonts w:hint="eastAsia" w:ascii="宋体" w:hAnsi="宋体" w:eastAsia="宋体" w:cs="宋体"/>
                <w:color w:val="auto"/>
                <w:highlight w:val="none"/>
              </w:rPr>
              <w:t>方案内容不完整，没有贴合招标人及项目的实际需求得</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w:t>
            </w:r>
            <w:r>
              <w:rPr>
                <w:rFonts w:hint="eastAsia" w:ascii="宋体" w:hAnsi="宋体" w:eastAsia="宋体" w:cs="宋体"/>
                <w:color w:val="auto"/>
                <w:highlight w:val="none"/>
                <w:lang w:val="en-US" w:eastAsia="zh-CN"/>
              </w:rPr>
              <w:t>未提供</w:t>
            </w:r>
            <w:r>
              <w:rPr>
                <w:rFonts w:hint="eastAsia" w:ascii="宋体" w:hAnsi="宋体" w:eastAsia="宋体" w:cs="宋体"/>
                <w:color w:val="auto"/>
                <w:highlight w:val="none"/>
              </w:rPr>
              <w:t>得0分。</w:t>
            </w:r>
          </w:p>
        </w:tc>
      </w:tr>
      <w:tr w14:paraId="6BBC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53" w:type="dxa"/>
            <w:vMerge w:val="continue"/>
            <w:vAlign w:val="center"/>
          </w:tcPr>
          <w:p w14:paraId="6676A12E">
            <w:pPr>
              <w:ind w:right="113"/>
              <w:rPr>
                <w:rFonts w:hint="eastAsia" w:ascii="宋体" w:hAnsi="宋体" w:eastAsia="宋体" w:cs="宋体"/>
                <w:color w:val="auto"/>
                <w:szCs w:val="21"/>
                <w:highlight w:val="none"/>
              </w:rPr>
            </w:pPr>
          </w:p>
        </w:tc>
        <w:tc>
          <w:tcPr>
            <w:tcW w:w="1076" w:type="dxa"/>
            <w:vMerge w:val="continue"/>
            <w:vAlign w:val="center"/>
          </w:tcPr>
          <w:p w14:paraId="534D6D49">
            <w:pPr>
              <w:spacing w:beforeLines="50"/>
              <w:ind w:right="113"/>
              <w:rPr>
                <w:rFonts w:hint="eastAsia" w:ascii="宋体" w:hAnsi="宋体" w:eastAsia="宋体" w:cs="宋体"/>
                <w:color w:val="auto"/>
                <w:szCs w:val="21"/>
                <w:highlight w:val="none"/>
              </w:rPr>
            </w:pPr>
          </w:p>
        </w:tc>
        <w:tc>
          <w:tcPr>
            <w:tcW w:w="1082" w:type="dxa"/>
            <w:vAlign w:val="center"/>
          </w:tcPr>
          <w:p w14:paraId="2F4469B5">
            <w:pPr>
              <w:ind w:right="113" w:rightChars="0"/>
              <w:jc w:val="center"/>
              <w:rPr>
                <w:rFonts w:hint="eastAsia" w:ascii="宋体" w:hAnsi="宋体" w:eastAsia="宋体" w:cs="宋体"/>
                <w:color w:val="auto"/>
                <w:kern w:val="0"/>
                <w:szCs w:val="24"/>
                <w:highlight w:val="none"/>
              </w:rPr>
            </w:pPr>
            <w:r>
              <w:rPr>
                <w:rFonts w:hint="eastAsia" w:ascii="宋体" w:hAnsi="宋体" w:eastAsia="宋体" w:cs="宋体"/>
                <w:color w:val="auto"/>
                <w:highlight w:val="none"/>
                <w:lang w:val="en-US" w:eastAsia="zh-CN"/>
              </w:rPr>
              <w:t>服务承诺（5分）</w:t>
            </w:r>
          </w:p>
        </w:tc>
        <w:tc>
          <w:tcPr>
            <w:tcW w:w="6288" w:type="dxa"/>
            <w:vAlign w:val="center"/>
          </w:tcPr>
          <w:p w14:paraId="50046805">
            <w:pPr>
              <w:widowControl/>
              <w:snapToGrid w:val="0"/>
              <w:spacing w:line="240" w:lineRule="atLeas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供应商承诺在接到招标人电话后立即响应，并承诺≤2小时到达现场，3小时内解决问题的得 5分（提供承诺函）。</w:t>
            </w:r>
          </w:p>
        </w:tc>
      </w:tr>
      <w:tr w14:paraId="5445C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299" w:type="dxa"/>
            <w:gridSpan w:val="4"/>
            <w:vAlign w:val="center"/>
          </w:tcPr>
          <w:p w14:paraId="21B97063">
            <w:pPr>
              <w:widowControl/>
              <w:snapToGrid w:val="0"/>
              <w:spacing w:line="240" w:lineRule="atLeast"/>
              <w:jc w:val="center"/>
              <w:rPr>
                <w:rFonts w:hint="eastAsia" w:ascii="宋体" w:hAnsi="宋体" w:eastAsia="宋体" w:cs="宋体"/>
                <w:color w:val="auto"/>
                <w:sz w:val="21"/>
                <w:highlight w:val="no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第四包：茶叶类</w:t>
            </w:r>
          </w:p>
        </w:tc>
      </w:tr>
      <w:tr w14:paraId="0A9D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53" w:type="dxa"/>
            <w:vMerge w:val="restart"/>
            <w:vAlign w:val="center"/>
          </w:tcPr>
          <w:p w14:paraId="1F223137">
            <w:pPr>
              <w:ind w:right="113"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2.2.2（1）</w:t>
            </w:r>
          </w:p>
        </w:tc>
        <w:tc>
          <w:tcPr>
            <w:tcW w:w="1076" w:type="dxa"/>
            <w:vMerge w:val="restart"/>
            <w:vAlign w:val="center"/>
          </w:tcPr>
          <w:p w14:paraId="34E1FD39">
            <w:pPr>
              <w:spacing w:beforeLines="50"/>
              <w:ind w:right="113" w:rightChars="0"/>
              <w:rPr>
                <w:rFonts w:hint="eastAsia" w:ascii="宋体" w:hAnsi="宋体" w:eastAsia="宋体" w:cs="宋体"/>
                <w:color w:val="auto"/>
                <w:szCs w:val="21"/>
                <w:highlight w:val="none"/>
              </w:rPr>
            </w:pPr>
            <w:r>
              <w:rPr>
                <w:rFonts w:hint="eastAsia" w:ascii="宋体" w:hAnsi="宋体" w:eastAsia="宋体" w:cs="宋体"/>
                <w:color w:val="auto"/>
                <w:kern w:val="0"/>
                <w:szCs w:val="24"/>
                <w:highlight w:val="none"/>
                <w:lang w:val="en-US" w:eastAsia="zh-CN"/>
              </w:rPr>
              <w:t>商务</w:t>
            </w:r>
            <w:r>
              <w:rPr>
                <w:rFonts w:hint="eastAsia" w:ascii="宋体" w:hAnsi="宋体" w:eastAsia="宋体" w:cs="宋体"/>
                <w:color w:val="auto"/>
                <w:kern w:val="0"/>
                <w:szCs w:val="24"/>
                <w:highlight w:val="none"/>
              </w:rPr>
              <w:t>部分评分标准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50分</w:t>
            </w:r>
            <w:r>
              <w:rPr>
                <w:rFonts w:hint="eastAsia" w:ascii="宋体" w:hAnsi="宋体" w:eastAsia="宋体" w:cs="宋体"/>
                <w:color w:val="auto"/>
                <w:highlight w:val="none"/>
                <w:lang w:eastAsia="zh-CN"/>
              </w:rPr>
              <w:t>）</w:t>
            </w:r>
          </w:p>
        </w:tc>
        <w:tc>
          <w:tcPr>
            <w:tcW w:w="1082" w:type="dxa"/>
            <w:vAlign w:val="center"/>
          </w:tcPr>
          <w:p w14:paraId="5F5CDB49">
            <w:pPr>
              <w:ind w:right="113" w:rightChars="0"/>
              <w:jc w:val="center"/>
              <w:rPr>
                <w:rFonts w:hint="eastAsia" w:ascii="宋体" w:hAnsi="宋体" w:eastAsia="宋体" w:cs="宋体"/>
                <w:color w:val="auto"/>
                <w:kern w:val="0"/>
                <w:szCs w:val="24"/>
                <w:highlight w:val="none"/>
              </w:rPr>
            </w:pPr>
            <w:r>
              <w:rPr>
                <w:rFonts w:hint="eastAsia" w:ascii="宋体" w:hAnsi="宋体" w:eastAsia="宋体" w:cs="宋体"/>
                <w:color w:val="auto"/>
                <w:highlight w:val="none"/>
              </w:rPr>
              <w:t>业绩（</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分）</w:t>
            </w:r>
          </w:p>
        </w:tc>
        <w:tc>
          <w:tcPr>
            <w:tcW w:w="6288" w:type="dxa"/>
            <w:vAlign w:val="center"/>
          </w:tcPr>
          <w:p w14:paraId="2BAA5C8B">
            <w:pPr>
              <w:ind w:right="113" w:rightChars="0"/>
              <w:rPr>
                <w:rFonts w:hint="eastAsia" w:ascii="宋体" w:hAnsi="宋体" w:eastAsia="宋体" w:cs="宋体"/>
                <w:color w:val="auto"/>
                <w:highlight w:val="none"/>
              </w:rPr>
            </w:pPr>
            <w:r>
              <w:rPr>
                <w:rFonts w:hint="eastAsia" w:ascii="宋体" w:hAnsi="宋体" w:eastAsia="宋体" w:cs="宋体"/>
                <w:color w:val="auto"/>
                <w:highlight w:val="none"/>
              </w:rPr>
              <w:t>供应商提供近三年（投标截止日前推36个月）以来类似业绩，每个业绩得</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分，最高得分</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分，以供应商提供的合同复印件或中标通知书等相关证明材料为评分依据。</w:t>
            </w:r>
          </w:p>
        </w:tc>
      </w:tr>
      <w:tr w14:paraId="54DC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53" w:type="dxa"/>
            <w:vMerge w:val="continue"/>
            <w:vAlign w:val="center"/>
          </w:tcPr>
          <w:p w14:paraId="40030A5A">
            <w:pPr>
              <w:ind w:right="113"/>
              <w:rPr>
                <w:rFonts w:hint="eastAsia" w:ascii="宋体" w:hAnsi="宋体" w:eastAsia="宋体" w:cs="宋体"/>
                <w:color w:val="auto"/>
                <w:szCs w:val="21"/>
                <w:highlight w:val="none"/>
              </w:rPr>
            </w:pPr>
          </w:p>
        </w:tc>
        <w:tc>
          <w:tcPr>
            <w:tcW w:w="1076" w:type="dxa"/>
            <w:vMerge w:val="continue"/>
            <w:vAlign w:val="center"/>
          </w:tcPr>
          <w:p w14:paraId="47C03EDE">
            <w:pPr>
              <w:spacing w:beforeLines="50"/>
              <w:ind w:right="113"/>
              <w:rPr>
                <w:rFonts w:hint="eastAsia" w:ascii="宋体" w:hAnsi="宋体" w:eastAsia="宋体" w:cs="宋体"/>
                <w:color w:val="auto"/>
                <w:szCs w:val="21"/>
                <w:highlight w:val="none"/>
              </w:rPr>
            </w:pPr>
          </w:p>
        </w:tc>
        <w:tc>
          <w:tcPr>
            <w:tcW w:w="1082" w:type="dxa"/>
            <w:vAlign w:val="center"/>
          </w:tcPr>
          <w:p w14:paraId="38804C94">
            <w:pPr>
              <w:ind w:right="113" w:rightChars="0"/>
              <w:jc w:val="center"/>
              <w:rPr>
                <w:rFonts w:hint="eastAsia" w:ascii="宋体" w:hAnsi="宋体" w:eastAsia="宋体" w:cs="宋体"/>
                <w:color w:val="auto"/>
                <w:kern w:val="0"/>
                <w:szCs w:val="24"/>
                <w:highlight w:val="none"/>
              </w:rPr>
            </w:pPr>
            <w:r>
              <w:rPr>
                <w:rFonts w:hint="eastAsia" w:ascii="宋体" w:hAnsi="宋体" w:eastAsia="宋体" w:cs="宋体"/>
                <w:color w:val="auto"/>
                <w:highlight w:val="none"/>
              </w:rPr>
              <w:t>项目</w:t>
            </w:r>
            <w:r>
              <w:rPr>
                <w:rFonts w:hint="eastAsia" w:ascii="宋体" w:hAnsi="宋体" w:eastAsia="宋体" w:cs="宋体"/>
                <w:color w:val="auto"/>
                <w:highlight w:val="none"/>
                <w:lang w:eastAsia="zh-CN"/>
              </w:rPr>
              <w:t>负责</w:t>
            </w:r>
            <w:r>
              <w:rPr>
                <w:rFonts w:hint="eastAsia" w:ascii="宋体" w:hAnsi="宋体" w:eastAsia="宋体" w:cs="宋体"/>
                <w:color w:val="auto"/>
                <w:highlight w:val="none"/>
              </w:rPr>
              <w:t>人</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10分</w:t>
            </w:r>
            <w:r>
              <w:rPr>
                <w:rFonts w:hint="eastAsia" w:ascii="宋体" w:hAnsi="宋体" w:eastAsia="宋体" w:cs="宋体"/>
                <w:color w:val="auto"/>
                <w:highlight w:val="none"/>
                <w:lang w:eastAsia="zh-CN"/>
              </w:rPr>
              <w:t>）</w:t>
            </w:r>
          </w:p>
        </w:tc>
        <w:tc>
          <w:tcPr>
            <w:tcW w:w="6288" w:type="dxa"/>
            <w:vAlign w:val="center"/>
          </w:tcPr>
          <w:p w14:paraId="59F3359C">
            <w:pPr>
              <w:ind w:right="113" w:right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提供本项目</w:t>
            </w:r>
            <w:r>
              <w:rPr>
                <w:rFonts w:hint="eastAsia" w:ascii="宋体" w:hAnsi="宋体" w:eastAsia="宋体" w:cs="宋体"/>
                <w:color w:val="auto"/>
                <w:highlight w:val="none"/>
                <w:lang w:eastAsia="zh-CN"/>
              </w:rPr>
              <w:t>负责</w:t>
            </w:r>
            <w:r>
              <w:rPr>
                <w:rFonts w:hint="eastAsia" w:ascii="宋体" w:hAnsi="宋体" w:eastAsia="宋体" w:cs="宋体"/>
                <w:color w:val="auto"/>
                <w:highlight w:val="none"/>
              </w:rPr>
              <w:t>人员</w:t>
            </w:r>
            <w:r>
              <w:rPr>
                <w:rFonts w:hint="eastAsia" w:ascii="宋体" w:hAnsi="宋体" w:eastAsia="宋体" w:cs="宋体"/>
                <w:color w:val="auto"/>
                <w:highlight w:val="none"/>
                <w:lang w:eastAsia="zh-CN"/>
              </w:rPr>
              <w:t>相关信息，并</w:t>
            </w:r>
            <w:r>
              <w:rPr>
                <w:rFonts w:hint="eastAsia" w:ascii="宋体" w:hAnsi="宋体" w:eastAsia="宋体" w:cs="宋体"/>
                <w:color w:val="auto"/>
                <w:highlight w:val="none"/>
                <w:lang w:val="en-US" w:eastAsia="zh-CN"/>
              </w:rPr>
              <w:t>出具本项目负责人员委托书，</w:t>
            </w:r>
            <w:r>
              <w:rPr>
                <w:rFonts w:hint="eastAsia" w:ascii="宋体" w:hAnsi="宋体" w:eastAsia="宋体" w:cs="宋体"/>
                <w:color w:val="auto"/>
                <w:highlight w:val="none"/>
                <w:lang w:eastAsia="zh-CN"/>
              </w:rPr>
              <w:t>同时</w:t>
            </w:r>
            <w:r>
              <w:rPr>
                <w:rFonts w:hint="eastAsia" w:ascii="宋体" w:hAnsi="宋体" w:eastAsia="宋体" w:cs="宋体"/>
                <w:color w:val="auto"/>
                <w:highlight w:val="none"/>
              </w:rPr>
              <w:t>承诺中标后</w:t>
            </w:r>
            <w:r>
              <w:rPr>
                <w:rFonts w:hint="eastAsia" w:ascii="宋体" w:hAnsi="宋体" w:eastAsia="宋体" w:cs="宋体"/>
                <w:color w:val="auto"/>
                <w:highlight w:val="none"/>
                <w:lang w:val="en-US" w:eastAsia="zh-CN"/>
              </w:rPr>
              <w:t>拟派负责人员与我单位对接相关事宜的得10</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。需附负责人员</w:t>
            </w:r>
            <w:r>
              <w:rPr>
                <w:rFonts w:hint="eastAsia" w:ascii="宋体" w:hAnsi="宋体" w:eastAsia="宋体" w:cs="宋体"/>
                <w:color w:val="auto"/>
                <w:highlight w:val="none"/>
                <w:lang w:val="en-US" w:eastAsia="zh-CN"/>
              </w:rPr>
              <w:t>身份证复印件、联系方式、委托书、承诺书，附件不全的酌情扣分。</w:t>
            </w:r>
          </w:p>
        </w:tc>
      </w:tr>
      <w:tr w14:paraId="0E73D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53" w:type="dxa"/>
            <w:vMerge w:val="continue"/>
            <w:vAlign w:val="center"/>
          </w:tcPr>
          <w:p w14:paraId="4CC080BC">
            <w:pPr>
              <w:ind w:right="113"/>
              <w:rPr>
                <w:rFonts w:hint="eastAsia" w:ascii="宋体" w:hAnsi="宋体" w:eastAsia="宋体" w:cs="宋体"/>
                <w:color w:val="auto"/>
                <w:szCs w:val="21"/>
                <w:highlight w:val="none"/>
              </w:rPr>
            </w:pPr>
          </w:p>
        </w:tc>
        <w:tc>
          <w:tcPr>
            <w:tcW w:w="1076" w:type="dxa"/>
            <w:vMerge w:val="continue"/>
            <w:vAlign w:val="center"/>
          </w:tcPr>
          <w:p w14:paraId="4A8D3CF3">
            <w:pPr>
              <w:spacing w:beforeLines="50"/>
              <w:ind w:right="113"/>
              <w:rPr>
                <w:rFonts w:hint="eastAsia" w:ascii="宋体" w:hAnsi="宋体" w:eastAsia="宋体" w:cs="宋体"/>
                <w:color w:val="auto"/>
                <w:szCs w:val="21"/>
                <w:highlight w:val="none"/>
              </w:rPr>
            </w:pPr>
          </w:p>
        </w:tc>
        <w:tc>
          <w:tcPr>
            <w:tcW w:w="1082" w:type="dxa"/>
            <w:vAlign w:val="center"/>
          </w:tcPr>
          <w:p w14:paraId="56B17D98">
            <w:pPr>
              <w:ind w:right="113" w:rightChars="0"/>
              <w:rPr>
                <w:rFonts w:hint="eastAsia" w:ascii="宋体" w:hAnsi="宋体" w:eastAsia="宋体" w:cs="宋体"/>
                <w:color w:val="auto"/>
                <w:kern w:val="0"/>
                <w:szCs w:val="24"/>
                <w:highlight w:val="none"/>
              </w:rPr>
            </w:pPr>
            <w:r>
              <w:rPr>
                <w:rFonts w:hint="eastAsia" w:ascii="宋体" w:hAnsi="宋体" w:eastAsia="宋体" w:cs="宋体"/>
                <w:color w:val="auto"/>
                <w:highlight w:val="none"/>
                <w:lang w:val="en-US" w:eastAsia="zh-CN"/>
              </w:rPr>
              <w:t>场地(10分）</w:t>
            </w:r>
          </w:p>
        </w:tc>
        <w:tc>
          <w:tcPr>
            <w:tcW w:w="6288" w:type="dxa"/>
            <w:vAlign w:val="center"/>
          </w:tcPr>
          <w:p w14:paraId="660778C5">
            <w:pPr>
              <w:ind w:right="113" w:right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供应商在具有固定场所，且场所为自有（提供房产证或不动产权证）或租赁合同复印件加盖公章，得10分。</w:t>
            </w:r>
          </w:p>
        </w:tc>
      </w:tr>
      <w:tr w14:paraId="11101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853" w:type="dxa"/>
            <w:vMerge w:val="restart"/>
            <w:vAlign w:val="center"/>
          </w:tcPr>
          <w:p w14:paraId="00BA9648">
            <w:pPr>
              <w:ind w:right="113"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2.2.2（2）</w:t>
            </w:r>
          </w:p>
        </w:tc>
        <w:tc>
          <w:tcPr>
            <w:tcW w:w="1076" w:type="dxa"/>
            <w:vMerge w:val="restart"/>
            <w:vAlign w:val="center"/>
          </w:tcPr>
          <w:p w14:paraId="77D40269">
            <w:pPr>
              <w:spacing w:beforeLines="50"/>
              <w:ind w:right="113" w:rightChars="0"/>
              <w:rPr>
                <w:rFonts w:hint="eastAsia" w:ascii="宋体" w:hAnsi="宋体" w:eastAsia="宋体" w:cs="宋体"/>
                <w:color w:val="auto"/>
                <w:szCs w:val="21"/>
                <w:highlight w:val="none"/>
              </w:rPr>
            </w:pPr>
            <w:r>
              <w:rPr>
                <w:rFonts w:hint="eastAsia" w:ascii="宋体" w:hAnsi="宋体" w:eastAsia="宋体" w:cs="宋体"/>
                <w:color w:val="auto"/>
                <w:kern w:val="0"/>
                <w:szCs w:val="24"/>
                <w:highlight w:val="none"/>
              </w:rPr>
              <w:t>技术部分评分标准</w:t>
            </w:r>
            <w:r>
              <w:rPr>
                <w:rFonts w:hint="eastAsia" w:ascii="宋体" w:hAnsi="宋体" w:eastAsia="宋体" w:cs="宋体"/>
                <w:color w:val="auto"/>
                <w:kern w:val="0"/>
                <w:szCs w:val="24"/>
                <w:highlight w:val="none"/>
                <w:lang w:eastAsia="zh-CN"/>
              </w:rPr>
              <w:t>（</w:t>
            </w:r>
            <w:r>
              <w:rPr>
                <w:rFonts w:hint="eastAsia" w:ascii="宋体" w:hAnsi="宋体" w:eastAsia="宋体" w:cs="宋体"/>
                <w:color w:val="auto"/>
                <w:kern w:val="0"/>
                <w:szCs w:val="24"/>
                <w:highlight w:val="none"/>
                <w:lang w:val="en-US" w:eastAsia="zh-CN"/>
              </w:rPr>
              <w:t>40分</w:t>
            </w:r>
            <w:r>
              <w:rPr>
                <w:rFonts w:hint="eastAsia" w:ascii="宋体" w:hAnsi="宋体" w:eastAsia="宋体" w:cs="宋体"/>
                <w:color w:val="auto"/>
                <w:kern w:val="0"/>
                <w:szCs w:val="24"/>
                <w:highlight w:val="none"/>
                <w:lang w:eastAsia="zh-CN"/>
              </w:rPr>
              <w:t>）</w:t>
            </w:r>
          </w:p>
        </w:tc>
        <w:tc>
          <w:tcPr>
            <w:tcW w:w="1082" w:type="dxa"/>
            <w:vAlign w:val="center"/>
          </w:tcPr>
          <w:p w14:paraId="458389A5">
            <w:pPr>
              <w:widowControl/>
              <w:snapToGrid w:val="0"/>
              <w:spacing w:line="240" w:lineRule="atLeast"/>
              <w:jc w:val="center"/>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lang w:val="en-US" w:eastAsia="zh-CN"/>
              </w:rPr>
              <w:t>质量保障措施（15分）</w:t>
            </w:r>
          </w:p>
        </w:tc>
        <w:tc>
          <w:tcPr>
            <w:tcW w:w="6288" w:type="dxa"/>
            <w:vAlign w:val="center"/>
          </w:tcPr>
          <w:p w14:paraId="7658543C">
            <w:pPr>
              <w:widowControl/>
              <w:snapToGrid w:val="0"/>
              <w:spacing w:line="240" w:lineRule="atLeas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供应商提供明确的质量保障措施以及承诺出现质量问题相应的处罚措施详细合理、内容完整、可行的得15分；质量承诺及出现质量问题相应的处罚措施较详细合理、内容较完整、可行的得10分；质量承诺及出现质量问题相应的处罚措施</w:t>
            </w:r>
            <w:r>
              <w:rPr>
                <w:rFonts w:hint="eastAsia" w:ascii="宋体" w:hAnsi="宋体" w:eastAsia="宋体" w:cs="宋体"/>
                <w:color w:val="auto"/>
                <w:highlight w:val="none"/>
              </w:rPr>
              <w:t>不够详细合理，缺乏可行性，得</w:t>
            </w:r>
            <w:r>
              <w:rPr>
                <w:rFonts w:hint="eastAsia" w:ascii="宋体" w:hAnsi="宋体" w:eastAsia="宋体" w:cs="宋体"/>
                <w:color w:val="auto"/>
                <w:highlight w:val="none"/>
                <w:lang w:val="en-US" w:eastAsia="zh-CN"/>
              </w:rPr>
              <w:t>5分；未提供得0分。</w:t>
            </w:r>
          </w:p>
        </w:tc>
      </w:tr>
      <w:tr w14:paraId="12A7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853" w:type="dxa"/>
            <w:vMerge w:val="continue"/>
            <w:vAlign w:val="center"/>
          </w:tcPr>
          <w:p w14:paraId="12E76621">
            <w:pPr>
              <w:ind w:right="113"/>
              <w:rPr>
                <w:rFonts w:hint="eastAsia" w:ascii="宋体" w:hAnsi="宋体" w:eastAsia="宋体" w:cs="宋体"/>
                <w:color w:val="auto"/>
                <w:szCs w:val="21"/>
                <w:highlight w:val="none"/>
              </w:rPr>
            </w:pPr>
          </w:p>
        </w:tc>
        <w:tc>
          <w:tcPr>
            <w:tcW w:w="1076" w:type="dxa"/>
            <w:vMerge w:val="continue"/>
            <w:vAlign w:val="center"/>
          </w:tcPr>
          <w:p w14:paraId="65AE7BA3">
            <w:pPr>
              <w:spacing w:beforeLines="50"/>
              <w:ind w:right="113"/>
              <w:rPr>
                <w:rFonts w:hint="eastAsia" w:ascii="宋体" w:hAnsi="宋体" w:eastAsia="宋体" w:cs="宋体"/>
                <w:color w:val="auto"/>
                <w:szCs w:val="21"/>
                <w:highlight w:val="none"/>
              </w:rPr>
            </w:pPr>
          </w:p>
        </w:tc>
        <w:tc>
          <w:tcPr>
            <w:tcW w:w="1082" w:type="dxa"/>
            <w:vAlign w:val="center"/>
          </w:tcPr>
          <w:p w14:paraId="6121F835">
            <w:pPr>
              <w:widowControl/>
              <w:snapToGrid w:val="0"/>
              <w:spacing w:line="240" w:lineRule="atLeast"/>
              <w:jc w:val="center"/>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lang w:val="en-US" w:eastAsia="zh-CN"/>
              </w:rPr>
              <w:t>应急供货方案（15分）</w:t>
            </w:r>
          </w:p>
        </w:tc>
        <w:tc>
          <w:tcPr>
            <w:tcW w:w="6288" w:type="dxa"/>
            <w:vAlign w:val="center"/>
          </w:tcPr>
          <w:p w14:paraId="066894DB">
            <w:pPr>
              <w:widowControl/>
              <w:snapToGrid w:val="0"/>
              <w:spacing w:line="240" w:lineRule="atLeast"/>
              <w:jc w:val="left"/>
              <w:rPr>
                <w:rFonts w:hint="eastAsia" w:ascii="宋体" w:hAnsi="宋体" w:eastAsia="宋体" w:cs="宋体"/>
                <w:color w:val="auto"/>
                <w:highlight w:val="none"/>
              </w:rPr>
            </w:pPr>
            <w:r>
              <w:rPr>
                <w:rFonts w:hint="eastAsia" w:ascii="宋体" w:hAnsi="宋体" w:eastAsia="宋体" w:cs="宋体"/>
                <w:color w:val="auto"/>
                <w:highlight w:val="none"/>
              </w:rPr>
              <w:t>针对</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提供的突发情况、应急保障（含应急响应时间承诺）</w:t>
            </w:r>
          </w:p>
          <w:p w14:paraId="5F44F81F">
            <w:pPr>
              <w:widowControl/>
              <w:snapToGrid w:val="0"/>
              <w:spacing w:line="240" w:lineRule="atLeast"/>
              <w:jc w:val="left"/>
              <w:rPr>
                <w:rFonts w:hint="eastAsia" w:ascii="宋体" w:hAnsi="宋体" w:eastAsia="宋体" w:cs="宋体"/>
                <w:color w:val="auto"/>
                <w:highlight w:val="none"/>
              </w:rPr>
            </w:pPr>
            <w:r>
              <w:rPr>
                <w:rFonts w:hint="eastAsia" w:ascii="宋体" w:hAnsi="宋体" w:eastAsia="宋体" w:cs="宋体"/>
                <w:color w:val="auto"/>
                <w:highlight w:val="none"/>
              </w:rPr>
              <w:t>或节假日应急供货方案具体情况进行综合评价，应急供货方案详</w:t>
            </w:r>
          </w:p>
          <w:p w14:paraId="441F9F99">
            <w:pPr>
              <w:widowControl/>
              <w:snapToGrid w:val="0"/>
              <w:spacing w:line="240" w:lineRule="atLeast"/>
              <w:jc w:val="left"/>
              <w:rPr>
                <w:rFonts w:hint="eastAsia" w:ascii="宋体" w:hAnsi="宋体" w:eastAsia="宋体" w:cs="宋体"/>
                <w:color w:val="auto"/>
                <w:highlight w:val="none"/>
              </w:rPr>
            </w:pPr>
            <w:r>
              <w:rPr>
                <w:rFonts w:hint="eastAsia" w:ascii="宋体" w:hAnsi="宋体" w:eastAsia="宋体" w:cs="宋体"/>
                <w:color w:val="auto"/>
                <w:highlight w:val="none"/>
              </w:rPr>
              <w:t>细合理可行，能保障医院需求的，得</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分；方案较详细合理，具有一定可行性，得</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分；方案不够详细合理，缺乏可行性，得</w:t>
            </w:r>
            <w:r>
              <w:rPr>
                <w:rFonts w:hint="eastAsia" w:ascii="宋体" w:hAnsi="宋体" w:eastAsia="宋体" w:cs="宋体"/>
                <w:color w:val="auto"/>
                <w:highlight w:val="none"/>
                <w:lang w:val="en-US" w:eastAsia="zh-CN"/>
              </w:rPr>
              <w:t>5分；未提供得0分。</w:t>
            </w:r>
          </w:p>
        </w:tc>
      </w:tr>
      <w:tr w14:paraId="27D18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853" w:type="dxa"/>
            <w:vMerge w:val="continue"/>
            <w:vAlign w:val="center"/>
          </w:tcPr>
          <w:p w14:paraId="6E257DFE">
            <w:pPr>
              <w:ind w:right="113"/>
              <w:rPr>
                <w:rFonts w:hint="eastAsia" w:ascii="宋体" w:hAnsi="宋体" w:eastAsia="宋体" w:cs="宋体"/>
                <w:color w:val="auto"/>
                <w:szCs w:val="21"/>
                <w:highlight w:val="none"/>
              </w:rPr>
            </w:pPr>
          </w:p>
        </w:tc>
        <w:tc>
          <w:tcPr>
            <w:tcW w:w="1076" w:type="dxa"/>
            <w:vMerge w:val="continue"/>
            <w:vAlign w:val="center"/>
          </w:tcPr>
          <w:p w14:paraId="4BC531CA">
            <w:pPr>
              <w:spacing w:beforeLines="50"/>
              <w:ind w:right="113"/>
              <w:rPr>
                <w:rFonts w:hint="eastAsia" w:ascii="宋体" w:hAnsi="宋体" w:eastAsia="宋体" w:cs="宋体"/>
                <w:color w:val="auto"/>
                <w:szCs w:val="21"/>
                <w:highlight w:val="none"/>
              </w:rPr>
            </w:pPr>
          </w:p>
        </w:tc>
        <w:tc>
          <w:tcPr>
            <w:tcW w:w="1082" w:type="dxa"/>
            <w:vAlign w:val="center"/>
          </w:tcPr>
          <w:p w14:paraId="255F4A7A">
            <w:pPr>
              <w:widowControl/>
              <w:snapToGrid w:val="0"/>
              <w:spacing w:line="240" w:lineRule="atLeast"/>
              <w:jc w:val="center"/>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lang w:val="en-US" w:eastAsia="zh-CN"/>
              </w:rPr>
              <w:t>售后服务（15分）</w:t>
            </w:r>
          </w:p>
        </w:tc>
        <w:tc>
          <w:tcPr>
            <w:tcW w:w="6288" w:type="dxa"/>
            <w:vAlign w:val="center"/>
          </w:tcPr>
          <w:p w14:paraId="18460BD0">
            <w:pPr>
              <w:widowControl/>
              <w:snapToGrid w:val="0"/>
              <w:spacing w:line="240" w:lineRule="atLeas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售后服务方案应包含售后响应时间、售后流程、产品培训、技术支持、售后措施等内容，方案全面、完</w:t>
            </w:r>
            <w:r>
              <w:rPr>
                <w:rFonts w:hint="eastAsia" w:ascii="宋体" w:hAnsi="宋体" w:eastAsia="宋体" w:cs="宋体"/>
                <w:color w:val="auto"/>
                <w:highlight w:val="none"/>
                <w:lang w:val="en-US" w:eastAsia="zh-CN"/>
              </w:rPr>
              <w:t>善、合理，针</w:t>
            </w:r>
            <w:r>
              <w:rPr>
                <w:rFonts w:hint="eastAsia" w:ascii="宋体" w:hAnsi="宋体" w:eastAsia="宋体" w:cs="宋体"/>
                <w:color w:val="auto"/>
                <w:highlight w:val="none"/>
              </w:rPr>
              <w:t>对招标人及项目的实际需求得</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分；方案</w:t>
            </w:r>
            <w:r>
              <w:rPr>
                <w:rFonts w:hint="eastAsia" w:ascii="宋体" w:hAnsi="宋体" w:eastAsia="宋体" w:cs="宋体"/>
                <w:color w:val="auto"/>
                <w:highlight w:val="none"/>
                <w:lang w:val="en-US" w:eastAsia="zh-CN"/>
              </w:rPr>
              <w:t>较全面、完善、合理，能够较</w:t>
            </w:r>
            <w:r>
              <w:rPr>
                <w:rFonts w:hint="eastAsia" w:ascii="宋体" w:hAnsi="宋体" w:eastAsia="宋体" w:cs="宋体"/>
                <w:color w:val="auto"/>
                <w:highlight w:val="none"/>
              </w:rPr>
              <w:t>合招标人及项目的实际需求得</w:t>
            </w:r>
            <w:r>
              <w:rPr>
                <w:rFonts w:hint="eastAsia" w:ascii="宋体" w:hAnsi="宋体" w:eastAsia="宋体" w:cs="宋体"/>
                <w:color w:val="auto"/>
                <w:highlight w:val="none"/>
                <w:lang w:val="en-US" w:eastAsia="zh-CN"/>
              </w:rPr>
              <w:t>10分；</w:t>
            </w:r>
            <w:r>
              <w:rPr>
                <w:rFonts w:hint="eastAsia" w:ascii="宋体" w:hAnsi="宋体" w:eastAsia="宋体" w:cs="宋体"/>
                <w:color w:val="auto"/>
                <w:highlight w:val="none"/>
              </w:rPr>
              <w:t>方案内容不完整，没有贴合招标人及项目的实际需求得</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w:t>
            </w:r>
            <w:r>
              <w:rPr>
                <w:rFonts w:hint="eastAsia" w:ascii="宋体" w:hAnsi="宋体" w:eastAsia="宋体" w:cs="宋体"/>
                <w:color w:val="auto"/>
                <w:highlight w:val="none"/>
                <w:lang w:val="en-US" w:eastAsia="zh-CN"/>
              </w:rPr>
              <w:t>未提供</w:t>
            </w:r>
            <w:r>
              <w:rPr>
                <w:rFonts w:hint="eastAsia" w:ascii="宋体" w:hAnsi="宋体" w:eastAsia="宋体" w:cs="宋体"/>
                <w:color w:val="auto"/>
                <w:highlight w:val="none"/>
              </w:rPr>
              <w:t>得0分。</w:t>
            </w:r>
          </w:p>
        </w:tc>
      </w:tr>
      <w:tr w14:paraId="54D0F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53" w:type="dxa"/>
            <w:vMerge w:val="continue"/>
            <w:vAlign w:val="center"/>
          </w:tcPr>
          <w:p w14:paraId="76695DE9">
            <w:pPr>
              <w:ind w:right="113"/>
              <w:rPr>
                <w:rFonts w:hint="eastAsia" w:ascii="宋体" w:hAnsi="宋体" w:eastAsia="宋体" w:cs="宋体"/>
                <w:color w:val="auto"/>
                <w:szCs w:val="21"/>
                <w:highlight w:val="none"/>
              </w:rPr>
            </w:pPr>
          </w:p>
        </w:tc>
        <w:tc>
          <w:tcPr>
            <w:tcW w:w="1076" w:type="dxa"/>
            <w:vMerge w:val="continue"/>
            <w:vAlign w:val="center"/>
          </w:tcPr>
          <w:p w14:paraId="25944E76">
            <w:pPr>
              <w:spacing w:beforeLines="50"/>
              <w:ind w:right="113"/>
              <w:rPr>
                <w:rFonts w:hint="eastAsia" w:ascii="宋体" w:hAnsi="宋体" w:eastAsia="宋体" w:cs="宋体"/>
                <w:color w:val="auto"/>
                <w:szCs w:val="21"/>
                <w:highlight w:val="none"/>
              </w:rPr>
            </w:pPr>
          </w:p>
        </w:tc>
        <w:tc>
          <w:tcPr>
            <w:tcW w:w="1082" w:type="dxa"/>
            <w:vAlign w:val="center"/>
          </w:tcPr>
          <w:p w14:paraId="05D10806">
            <w:pPr>
              <w:ind w:right="113" w:rightChars="0"/>
              <w:jc w:val="center"/>
              <w:rPr>
                <w:rFonts w:hint="eastAsia" w:ascii="宋体" w:hAnsi="宋体" w:eastAsia="宋体" w:cs="宋体"/>
                <w:color w:val="auto"/>
                <w:kern w:val="0"/>
                <w:szCs w:val="24"/>
                <w:highlight w:val="none"/>
              </w:rPr>
            </w:pPr>
            <w:r>
              <w:rPr>
                <w:rFonts w:hint="eastAsia" w:ascii="宋体" w:hAnsi="宋体" w:eastAsia="宋体" w:cs="宋体"/>
                <w:color w:val="auto"/>
                <w:highlight w:val="none"/>
                <w:lang w:val="en-US" w:eastAsia="zh-CN"/>
              </w:rPr>
              <w:t>服务承诺（5分）</w:t>
            </w:r>
          </w:p>
        </w:tc>
        <w:tc>
          <w:tcPr>
            <w:tcW w:w="6288" w:type="dxa"/>
            <w:vAlign w:val="center"/>
          </w:tcPr>
          <w:p w14:paraId="0BCF3682">
            <w:pPr>
              <w:widowControl/>
              <w:snapToGrid w:val="0"/>
              <w:spacing w:line="240" w:lineRule="atLeas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供应商承诺在接到招标人电话后立即响应，并承诺≤2小时到达现场，3小时内解决问题的得 5分（提供承诺函）。</w:t>
            </w:r>
          </w:p>
        </w:tc>
      </w:tr>
      <w:tr w14:paraId="7C54C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299" w:type="dxa"/>
            <w:gridSpan w:val="4"/>
            <w:vAlign w:val="center"/>
          </w:tcPr>
          <w:p w14:paraId="3AB61E28">
            <w:pPr>
              <w:widowControl/>
              <w:snapToGrid w:val="0"/>
              <w:spacing w:line="240" w:lineRule="atLeast"/>
              <w:jc w:val="center"/>
              <w:rPr>
                <w:rFonts w:hint="eastAsia" w:ascii="宋体" w:hAnsi="宋体" w:eastAsia="宋体" w:cs="宋体"/>
                <w:color w:val="auto"/>
                <w:highlight w:val="no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第五包：办公用品</w:t>
            </w:r>
          </w:p>
        </w:tc>
      </w:tr>
      <w:tr w14:paraId="2450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53" w:type="dxa"/>
            <w:vMerge w:val="restart"/>
            <w:vAlign w:val="center"/>
          </w:tcPr>
          <w:p w14:paraId="0C0D540E">
            <w:pPr>
              <w:ind w:right="113"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2.2.2（1）</w:t>
            </w:r>
          </w:p>
        </w:tc>
        <w:tc>
          <w:tcPr>
            <w:tcW w:w="1076" w:type="dxa"/>
            <w:vMerge w:val="restart"/>
            <w:vAlign w:val="center"/>
          </w:tcPr>
          <w:p w14:paraId="1492DD89">
            <w:pPr>
              <w:spacing w:beforeLines="50"/>
              <w:ind w:right="113" w:rightChars="0"/>
              <w:rPr>
                <w:rFonts w:hint="eastAsia" w:ascii="宋体" w:hAnsi="宋体" w:eastAsia="宋体" w:cs="宋体"/>
                <w:color w:val="auto"/>
                <w:szCs w:val="21"/>
                <w:highlight w:val="none"/>
              </w:rPr>
            </w:pPr>
            <w:r>
              <w:rPr>
                <w:rFonts w:hint="eastAsia" w:ascii="宋体" w:hAnsi="宋体" w:eastAsia="宋体" w:cs="宋体"/>
                <w:color w:val="auto"/>
                <w:kern w:val="0"/>
                <w:szCs w:val="24"/>
                <w:highlight w:val="none"/>
                <w:lang w:val="en-US" w:eastAsia="zh-CN"/>
              </w:rPr>
              <w:t>商务</w:t>
            </w:r>
            <w:r>
              <w:rPr>
                <w:rFonts w:hint="eastAsia" w:ascii="宋体" w:hAnsi="宋体" w:eastAsia="宋体" w:cs="宋体"/>
                <w:color w:val="auto"/>
                <w:kern w:val="0"/>
                <w:szCs w:val="24"/>
                <w:highlight w:val="none"/>
              </w:rPr>
              <w:t>部分评分标准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50分</w:t>
            </w:r>
            <w:r>
              <w:rPr>
                <w:rFonts w:hint="eastAsia" w:ascii="宋体" w:hAnsi="宋体" w:eastAsia="宋体" w:cs="宋体"/>
                <w:color w:val="auto"/>
                <w:highlight w:val="none"/>
                <w:lang w:eastAsia="zh-CN"/>
              </w:rPr>
              <w:t>）</w:t>
            </w:r>
          </w:p>
        </w:tc>
        <w:tc>
          <w:tcPr>
            <w:tcW w:w="1082" w:type="dxa"/>
            <w:vAlign w:val="center"/>
          </w:tcPr>
          <w:p w14:paraId="4A3FF148">
            <w:pPr>
              <w:ind w:right="113" w:rightChars="0"/>
              <w:jc w:val="center"/>
              <w:rPr>
                <w:rFonts w:hint="eastAsia" w:ascii="宋体" w:hAnsi="宋体" w:eastAsia="宋体" w:cs="宋体"/>
                <w:color w:val="auto"/>
                <w:kern w:val="0"/>
                <w:szCs w:val="24"/>
                <w:highlight w:val="none"/>
              </w:rPr>
            </w:pPr>
            <w:r>
              <w:rPr>
                <w:rFonts w:hint="eastAsia" w:ascii="宋体" w:hAnsi="宋体" w:eastAsia="宋体" w:cs="宋体"/>
                <w:color w:val="auto"/>
                <w:highlight w:val="none"/>
              </w:rPr>
              <w:t>业绩（</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分）</w:t>
            </w:r>
          </w:p>
        </w:tc>
        <w:tc>
          <w:tcPr>
            <w:tcW w:w="6288" w:type="dxa"/>
            <w:vAlign w:val="center"/>
          </w:tcPr>
          <w:p w14:paraId="0F43C0F9">
            <w:pPr>
              <w:ind w:right="113" w:rightChars="0"/>
              <w:rPr>
                <w:rFonts w:hint="eastAsia" w:ascii="宋体" w:hAnsi="宋体" w:eastAsia="宋体" w:cs="宋体"/>
                <w:color w:val="auto"/>
                <w:highlight w:val="none"/>
              </w:rPr>
            </w:pPr>
            <w:r>
              <w:rPr>
                <w:rFonts w:hint="eastAsia" w:ascii="宋体" w:hAnsi="宋体" w:eastAsia="宋体" w:cs="宋体"/>
                <w:color w:val="auto"/>
                <w:highlight w:val="none"/>
              </w:rPr>
              <w:t>供应商提供近三年（投标截止日前推36个月）以来类似业绩，每个业绩得</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分，最高得分</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分，以供应商提供的合同复印件或中标通知书等相关证明材料为评分依据。</w:t>
            </w:r>
          </w:p>
        </w:tc>
      </w:tr>
      <w:tr w14:paraId="4FA0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53" w:type="dxa"/>
            <w:vMerge w:val="continue"/>
            <w:vAlign w:val="center"/>
          </w:tcPr>
          <w:p w14:paraId="33E5F802">
            <w:pPr>
              <w:ind w:right="113"/>
              <w:rPr>
                <w:rFonts w:hint="eastAsia" w:ascii="宋体" w:hAnsi="宋体" w:eastAsia="宋体" w:cs="宋体"/>
                <w:color w:val="auto"/>
                <w:szCs w:val="21"/>
                <w:highlight w:val="none"/>
              </w:rPr>
            </w:pPr>
          </w:p>
        </w:tc>
        <w:tc>
          <w:tcPr>
            <w:tcW w:w="1076" w:type="dxa"/>
            <w:vMerge w:val="continue"/>
            <w:vAlign w:val="center"/>
          </w:tcPr>
          <w:p w14:paraId="15FF0603">
            <w:pPr>
              <w:spacing w:beforeLines="50"/>
              <w:ind w:right="113"/>
              <w:rPr>
                <w:rFonts w:hint="eastAsia" w:ascii="宋体" w:hAnsi="宋体" w:eastAsia="宋体" w:cs="宋体"/>
                <w:color w:val="auto"/>
                <w:szCs w:val="21"/>
                <w:highlight w:val="none"/>
              </w:rPr>
            </w:pPr>
          </w:p>
        </w:tc>
        <w:tc>
          <w:tcPr>
            <w:tcW w:w="1082" w:type="dxa"/>
            <w:vAlign w:val="center"/>
          </w:tcPr>
          <w:p w14:paraId="43ADDE92">
            <w:pPr>
              <w:ind w:right="113" w:righ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场地(10分）</w:t>
            </w:r>
          </w:p>
        </w:tc>
        <w:tc>
          <w:tcPr>
            <w:tcW w:w="6288" w:type="dxa"/>
            <w:vAlign w:val="center"/>
          </w:tcPr>
          <w:p w14:paraId="3C896569">
            <w:pPr>
              <w:ind w:right="113" w:righ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供应商在具有固定场所，且场所为自有（提供房产证或不动产权证）或租赁合同复印件加盖公章，得10分。</w:t>
            </w:r>
          </w:p>
        </w:tc>
      </w:tr>
      <w:tr w14:paraId="3D8AF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853" w:type="dxa"/>
            <w:vMerge w:val="continue"/>
            <w:vAlign w:val="center"/>
          </w:tcPr>
          <w:p w14:paraId="4D8C7A1E">
            <w:pPr>
              <w:ind w:right="113"/>
              <w:rPr>
                <w:rFonts w:hint="eastAsia" w:ascii="宋体" w:hAnsi="宋体" w:eastAsia="宋体" w:cs="宋体"/>
                <w:color w:val="auto"/>
                <w:szCs w:val="21"/>
                <w:highlight w:val="none"/>
              </w:rPr>
            </w:pPr>
          </w:p>
        </w:tc>
        <w:tc>
          <w:tcPr>
            <w:tcW w:w="1076" w:type="dxa"/>
            <w:vMerge w:val="continue"/>
            <w:vAlign w:val="center"/>
          </w:tcPr>
          <w:p w14:paraId="0B7F5B44">
            <w:pPr>
              <w:spacing w:beforeLines="50"/>
              <w:ind w:right="113"/>
              <w:rPr>
                <w:rFonts w:hint="eastAsia" w:ascii="宋体" w:hAnsi="宋体" w:eastAsia="宋体" w:cs="宋体"/>
                <w:color w:val="auto"/>
                <w:szCs w:val="21"/>
                <w:highlight w:val="none"/>
              </w:rPr>
            </w:pPr>
          </w:p>
        </w:tc>
        <w:tc>
          <w:tcPr>
            <w:tcW w:w="1082" w:type="dxa"/>
            <w:vAlign w:val="center"/>
          </w:tcPr>
          <w:p w14:paraId="125DDBFC">
            <w:pPr>
              <w:ind w:right="113" w:rightChars="0"/>
              <w:jc w:val="center"/>
              <w:rPr>
                <w:rFonts w:hint="eastAsia" w:ascii="宋体" w:hAnsi="宋体" w:eastAsia="宋体" w:cs="宋体"/>
                <w:color w:val="auto"/>
                <w:kern w:val="0"/>
                <w:szCs w:val="24"/>
                <w:highlight w:val="none"/>
              </w:rPr>
            </w:pPr>
            <w:r>
              <w:rPr>
                <w:rFonts w:hint="eastAsia" w:ascii="宋体" w:hAnsi="宋体" w:eastAsia="宋体" w:cs="宋体"/>
                <w:color w:val="auto"/>
                <w:highlight w:val="none"/>
              </w:rPr>
              <w:t>项目</w:t>
            </w:r>
            <w:r>
              <w:rPr>
                <w:rFonts w:hint="eastAsia" w:ascii="宋体" w:hAnsi="宋体" w:eastAsia="宋体" w:cs="宋体"/>
                <w:color w:val="auto"/>
                <w:highlight w:val="none"/>
                <w:lang w:eastAsia="zh-CN"/>
              </w:rPr>
              <w:t>负责</w:t>
            </w:r>
            <w:r>
              <w:rPr>
                <w:rFonts w:hint="eastAsia" w:ascii="宋体" w:hAnsi="宋体" w:eastAsia="宋体" w:cs="宋体"/>
                <w:color w:val="auto"/>
                <w:highlight w:val="none"/>
              </w:rPr>
              <w:t>人</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5分</w:t>
            </w:r>
            <w:r>
              <w:rPr>
                <w:rFonts w:hint="eastAsia" w:ascii="宋体" w:hAnsi="宋体" w:eastAsia="宋体" w:cs="宋体"/>
                <w:color w:val="auto"/>
                <w:highlight w:val="none"/>
                <w:lang w:eastAsia="zh-CN"/>
              </w:rPr>
              <w:t>）</w:t>
            </w:r>
          </w:p>
        </w:tc>
        <w:tc>
          <w:tcPr>
            <w:tcW w:w="6288" w:type="dxa"/>
            <w:vAlign w:val="center"/>
          </w:tcPr>
          <w:p w14:paraId="29C57053">
            <w:pPr>
              <w:ind w:right="113" w:right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提供本项目</w:t>
            </w:r>
            <w:r>
              <w:rPr>
                <w:rFonts w:hint="eastAsia" w:ascii="宋体" w:hAnsi="宋体" w:eastAsia="宋体" w:cs="宋体"/>
                <w:color w:val="auto"/>
                <w:highlight w:val="none"/>
                <w:lang w:eastAsia="zh-CN"/>
              </w:rPr>
              <w:t>负责</w:t>
            </w:r>
            <w:r>
              <w:rPr>
                <w:rFonts w:hint="eastAsia" w:ascii="宋体" w:hAnsi="宋体" w:eastAsia="宋体" w:cs="宋体"/>
                <w:color w:val="auto"/>
                <w:highlight w:val="none"/>
              </w:rPr>
              <w:t>人员</w:t>
            </w:r>
            <w:r>
              <w:rPr>
                <w:rFonts w:hint="eastAsia" w:ascii="宋体" w:hAnsi="宋体" w:eastAsia="宋体" w:cs="宋体"/>
                <w:color w:val="auto"/>
                <w:highlight w:val="none"/>
                <w:lang w:eastAsia="zh-CN"/>
              </w:rPr>
              <w:t>相关信息，并</w:t>
            </w:r>
            <w:r>
              <w:rPr>
                <w:rFonts w:hint="eastAsia" w:ascii="宋体" w:hAnsi="宋体" w:eastAsia="宋体" w:cs="宋体"/>
                <w:color w:val="auto"/>
                <w:highlight w:val="none"/>
                <w:lang w:val="en-US" w:eastAsia="zh-CN"/>
              </w:rPr>
              <w:t>出具本项目负责人员委托书，</w:t>
            </w:r>
            <w:r>
              <w:rPr>
                <w:rFonts w:hint="eastAsia" w:ascii="宋体" w:hAnsi="宋体" w:eastAsia="宋体" w:cs="宋体"/>
                <w:color w:val="auto"/>
                <w:highlight w:val="none"/>
                <w:lang w:eastAsia="zh-CN"/>
              </w:rPr>
              <w:t>同时</w:t>
            </w:r>
            <w:r>
              <w:rPr>
                <w:rFonts w:hint="eastAsia" w:ascii="宋体" w:hAnsi="宋体" w:eastAsia="宋体" w:cs="宋体"/>
                <w:color w:val="auto"/>
                <w:highlight w:val="none"/>
              </w:rPr>
              <w:t>承诺中标后</w:t>
            </w:r>
            <w:r>
              <w:rPr>
                <w:rFonts w:hint="eastAsia" w:ascii="宋体" w:hAnsi="宋体" w:eastAsia="宋体" w:cs="宋体"/>
                <w:color w:val="auto"/>
                <w:highlight w:val="none"/>
                <w:lang w:val="en-US" w:eastAsia="zh-CN"/>
              </w:rPr>
              <w:t>拟派负责人员与我单位对接相关事宜的得5</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。需附负责人员</w:t>
            </w:r>
            <w:r>
              <w:rPr>
                <w:rFonts w:hint="eastAsia" w:ascii="宋体" w:hAnsi="宋体" w:eastAsia="宋体" w:cs="宋体"/>
                <w:color w:val="auto"/>
                <w:highlight w:val="none"/>
                <w:lang w:val="en-US" w:eastAsia="zh-CN"/>
              </w:rPr>
              <w:t>身份证复印件、联系方式、委托书、承诺书，附件不全的酌情扣分。</w:t>
            </w:r>
          </w:p>
        </w:tc>
      </w:tr>
      <w:tr w14:paraId="687EB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53" w:type="dxa"/>
            <w:vMerge w:val="continue"/>
            <w:vAlign w:val="center"/>
          </w:tcPr>
          <w:p w14:paraId="7E637E8D">
            <w:pPr>
              <w:ind w:right="113"/>
              <w:rPr>
                <w:rFonts w:hint="eastAsia" w:ascii="宋体" w:hAnsi="宋体" w:eastAsia="宋体" w:cs="宋体"/>
                <w:color w:val="auto"/>
                <w:szCs w:val="21"/>
                <w:highlight w:val="none"/>
              </w:rPr>
            </w:pPr>
          </w:p>
        </w:tc>
        <w:tc>
          <w:tcPr>
            <w:tcW w:w="1076" w:type="dxa"/>
            <w:vMerge w:val="continue"/>
            <w:vAlign w:val="center"/>
          </w:tcPr>
          <w:p w14:paraId="7CCCF8EF">
            <w:pPr>
              <w:spacing w:beforeLines="50"/>
              <w:ind w:right="113"/>
              <w:rPr>
                <w:rFonts w:hint="eastAsia" w:ascii="宋体" w:hAnsi="宋体" w:eastAsia="宋体" w:cs="宋体"/>
                <w:color w:val="auto"/>
                <w:szCs w:val="21"/>
                <w:highlight w:val="none"/>
              </w:rPr>
            </w:pPr>
          </w:p>
        </w:tc>
        <w:tc>
          <w:tcPr>
            <w:tcW w:w="1082" w:type="dxa"/>
            <w:vAlign w:val="center"/>
          </w:tcPr>
          <w:p w14:paraId="7A096DDA">
            <w:pPr>
              <w:widowControl/>
              <w:snapToGrid w:val="0"/>
              <w:spacing w:line="240" w:lineRule="atLeast"/>
              <w:jc w:val="center"/>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en-US" w:eastAsia="zh-CN"/>
              </w:rPr>
              <w:t>服务人员（5分）</w:t>
            </w:r>
          </w:p>
        </w:tc>
        <w:tc>
          <w:tcPr>
            <w:tcW w:w="6288" w:type="dxa"/>
            <w:vAlign w:val="center"/>
          </w:tcPr>
          <w:p w14:paraId="655A5924">
            <w:pPr>
              <w:widowControl/>
              <w:snapToGrid w:val="0"/>
              <w:spacing w:line="240" w:lineRule="atLeast"/>
              <w:jc w:val="left"/>
              <w:rPr>
                <w:rFonts w:hint="eastAsia" w:ascii="宋体" w:hAnsi="宋体" w:eastAsia="宋体" w:cs="宋体"/>
                <w:color w:val="auto"/>
                <w:highlight w:val="none"/>
              </w:rPr>
            </w:pPr>
            <w:r>
              <w:rPr>
                <w:rFonts w:hint="eastAsia" w:ascii="宋体" w:hAnsi="宋体" w:eastAsia="宋体" w:cs="宋体"/>
                <w:color w:val="auto"/>
                <w:highlight w:val="none"/>
              </w:rPr>
              <w:t>提供拟投入本项目服务人员基本情况描述详细，满足本项目配送、安装、紧急服务、售后服务要求，人员配置完善得</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分（提供拟投入</w:t>
            </w:r>
            <w:r>
              <w:rPr>
                <w:rFonts w:hint="eastAsia" w:ascii="宋体" w:hAnsi="宋体" w:eastAsia="宋体" w:cs="宋体"/>
                <w:color w:val="auto"/>
                <w:highlight w:val="none"/>
                <w:lang w:val="en-US" w:eastAsia="zh-CN"/>
              </w:rPr>
              <w:t>服务人员名单、联系方式、岗位分工）。</w:t>
            </w:r>
          </w:p>
        </w:tc>
      </w:tr>
      <w:tr w14:paraId="216C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trPr>
        <w:tc>
          <w:tcPr>
            <w:tcW w:w="853" w:type="dxa"/>
            <w:vMerge w:val="restart"/>
            <w:vAlign w:val="center"/>
          </w:tcPr>
          <w:p w14:paraId="271AC6E6">
            <w:pPr>
              <w:ind w:right="113"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2.2.2（2）</w:t>
            </w:r>
          </w:p>
        </w:tc>
        <w:tc>
          <w:tcPr>
            <w:tcW w:w="1076" w:type="dxa"/>
            <w:vMerge w:val="restart"/>
            <w:vAlign w:val="center"/>
          </w:tcPr>
          <w:p w14:paraId="7189C776">
            <w:pPr>
              <w:spacing w:beforeLines="50"/>
              <w:ind w:right="113" w:rightChars="0"/>
              <w:rPr>
                <w:rFonts w:hint="eastAsia" w:ascii="宋体" w:hAnsi="宋体" w:eastAsia="宋体" w:cs="宋体"/>
                <w:color w:val="auto"/>
                <w:szCs w:val="21"/>
                <w:highlight w:val="none"/>
              </w:rPr>
            </w:pPr>
            <w:r>
              <w:rPr>
                <w:rFonts w:hint="eastAsia" w:ascii="宋体" w:hAnsi="宋体" w:eastAsia="宋体" w:cs="宋体"/>
                <w:color w:val="auto"/>
                <w:kern w:val="0"/>
                <w:szCs w:val="24"/>
                <w:highlight w:val="none"/>
              </w:rPr>
              <w:t>技术部分评分标准</w:t>
            </w:r>
            <w:r>
              <w:rPr>
                <w:rFonts w:hint="eastAsia" w:ascii="宋体" w:hAnsi="宋体" w:eastAsia="宋体" w:cs="宋体"/>
                <w:color w:val="auto"/>
                <w:kern w:val="0"/>
                <w:szCs w:val="24"/>
                <w:highlight w:val="none"/>
                <w:lang w:eastAsia="zh-CN"/>
              </w:rPr>
              <w:t>（</w:t>
            </w:r>
            <w:r>
              <w:rPr>
                <w:rFonts w:hint="eastAsia" w:ascii="宋体" w:hAnsi="宋体" w:eastAsia="宋体" w:cs="宋体"/>
                <w:color w:val="auto"/>
                <w:kern w:val="0"/>
                <w:szCs w:val="24"/>
                <w:highlight w:val="none"/>
                <w:lang w:val="en-US" w:eastAsia="zh-CN"/>
              </w:rPr>
              <w:t>50分</w:t>
            </w:r>
            <w:r>
              <w:rPr>
                <w:rFonts w:hint="eastAsia" w:ascii="宋体" w:hAnsi="宋体" w:eastAsia="宋体" w:cs="宋体"/>
                <w:color w:val="auto"/>
                <w:kern w:val="0"/>
                <w:szCs w:val="24"/>
                <w:highlight w:val="none"/>
                <w:lang w:eastAsia="zh-CN"/>
              </w:rPr>
              <w:t>）</w:t>
            </w:r>
          </w:p>
        </w:tc>
        <w:tc>
          <w:tcPr>
            <w:tcW w:w="1082" w:type="dxa"/>
            <w:vAlign w:val="center"/>
          </w:tcPr>
          <w:p w14:paraId="1099144F">
            <w:pPr>
              <w:widowControl/>
              <w:snapToGrid w:val="0"/>
              <w:spacing w:line="240" w:lineRule="atLeast"/>
              <w:jc w:val="center"/>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en-US" w:eastAsia="zh-CN"/>
              </w:rPr>
              <w:t>服务方案（15分）</w:t>
            </w:r>
          </w:p>
        </w:tc>
        <w:tc>
          <w:tcPr>
            <w:tcW w:w="6288" w:type="dxa"/>
            <w:vAlign w:val="center"/>
          </w:tcPr>
          <w:p w14:paraId="045C866A">
            <w:pPr>
              <w:widowControl/>
              <w:snapToGrid w:val="0"/>
              <w:spacing w:line="240" w:lineRule="atLeast"/>
              <w:jc w:val="left"/>
              <w:rPr>
                <w:rFonts w:hint="eastAsia" w:ascii="宋体" w:hAnsi="宋体" w:eastAsia="宋体" w:cs="宋体"/>
                <w:color w:val="auto"/>
                <w:highlight w:val="none"/>
              </w:rPr>
            </w:pPr>
            <w:r>
              <w:rPr>
                <w:rFonts w:hint="eastAsia" w:ascii="宋体" w:hAnsi="宋体" w:eastAsia="宋体" w:cs="宋体"/>
                <w:color w:val="auto"/>
                <w:highlight w:val="none"/>
              </w:rPr>
              <w:t>针对整体配送计划方案、货品备货周期、供货入库周期、送货实</w:t>
            </w:r>
          </w:p>
          <w:p w14:paraId="61C4CC5E">
            <w:pPr>
              <w:widowControl/>
              <w:snapToGrid w:val="0"/>
              <w:spacing w:line="240" w:lineRule="atLeast"/>
              <w:jc w:val="left"/>
              <w:rPr>
                <w:rFonts w:hint="eastAsia" w:ascii="宋体" w:hAnsi="宋体" w:eastAsia="宋体" w:cs="宋体"/>
                <w:color w:val="auto"/>
                <w:highlight w:val="none"/>
              </w:rPr>
            </w:pPr>
            <w:r>
              <w:rPr>
                <w:rFonts w:hint="eastAsia" w:ascii="宋体" w:hAnsi="宋体" w:eastAsia="宋体" w:cs="宋体"/>
                <w:color w:val="auto"/>
                <w:highlight w:val="none"/>
              </w:rPr>
              <w:t>施周期等4个方面的总体服务方案及相关措施进行综合评价：以</w:t>
            </w:r>
          </w:p>
          <w:p w14:paraId="3A4C5790">
            <w:pPr>
              <w:widowControl/>
              <w:snapToGrid w:val="0"/>
              <w:spacing w:line="240" w:lineRule="atLeas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上4个方面每个方面符合招标单位工作特点，描述的方案详尽、清晰、合理的得</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分；方案较完整、较全面合理、措施具有可性行的每项得</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分；方案</w:t>
            </w:r>
            <w:r>
              <w:rPr>
                <w:rFonts w:hint="eastAsia" w:ascii="宋体" w:hAnsi="宋体" w:eastAsia="宋体" w:cs="宋体"/>
                <w:color w:val="auto"/>
                <w:highlight w:val="none"/>
                <w:lang w:val="en-US" w:eastAsia="zh-CN"/>
              </w:rPr>
              <w:t>一般但能够反映出部分措施的得5分；</w:t>
            </w:r>
            <w:r>
              <w:rPr>
                <w:rFonts w:hint="eastAsia" w:ascii="宋体" w:hAnsi="宋体" w:eastAsia="宋体" w:cs="宋体"/>
                <w:color w:val="auto"/>
                <w:highlight w:val="none"/>
              </w:rPr>
              <w:t>方案混乱、不符合项目实际、内容不全或未提供方案的均不得分。本项最高得</w:t>
            </w:r>
            <w:r>
              <w:rPr>
                <w:rFonts w:hint="eastAsia" w:ascii="宋体" w:hAnsi="宋体" w:eastAsia="宋体" w:cs="宋体"/>
                <w:color w:val="auto"/>
                <w:highlight w:val="none"/>
                <w:lang w:val="en-US" w:eastAsia="zh-CN"/>
              </w:rPr>
              <w:t>15分</w:t>
            </w:r>
          </w:p>
        </w:tc>
      </w:tr>
      <w:tr w14:paraId="2271A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853" w:type="dxa"/>
            <w:vMerge w:val="continue"/>
            <w:vAlign w:val="center"/>
          </w:tcPr>
          <w:p w14:paraId="62F0BFD2">
            <w:pPr>
              <w:ind w:right="113"/>
              <w:rPr>
                <w:rFonts w:hint="eastAsia" w:ascii="宋体" w:hAnsi="宋体" w:eastAsia="宋体" w:cs="宋体"/>
                <w:color w:val="auto"/>
                <w:szCs w:val="21"/>
                <w:highlight w:val="none"/>
              </w:rPr>
            </w:pPr>
          </w:p>
        </w:tc>
        <w:tc>
          <w:tcPr>
            <w:tcW w:w="1076" w:type="dxa"/>
            <w:vMerge w:val="continue"/>
            <w:vAlign w:val="center"/>
          </w:tcPr>
          <w:p w14:paraId="1913120E">
            <w:pPr>
              <w:spacing w:beforeLines="50"/>
              <w:ind w:right="113"/>
              <w:rPr>
                <w:rFonts w:hint="eastAsia" w:ascii="宋体" w:hAnsi="宋体" w:eastAsia="宋体" w:cs="宋体"/>
                <w:color w:val="auto"/>
                <w:szCs w:val="21"/>
                <w:highlight w:val="none"/>
              </w:rPr>
            </w:pPr>
          </w:p>
        </w:tc>
        <w:tc>
          <w:tcPr>
            <w:tcW w:w="1082" w:type="dxa"/>
            <w:vAlign w:val="center"/>
          </w:tcPr>
          <w:p w14:paraId="64DBA7B6">
            <w:pPr>
              <w:widowControl/>
              <w:snapToGrid w:val="0"/>
              <w:spacing w:line="240" w:lineRule="atLeast"/>
              <w:jc w:val="center"/>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en-US" w:eastAsia="zh-CN"/>
              </w:rPr>
              <w:t>质量保障措施（15分）</w:t>
            </w:r>
          </w:p>
        </w:tc>
        <w:tc>
          <w:tcPr>
            <w:tcW w:w="6288" w:type="dxa"/>
            <w:vAlign w:val="center"/>
          </w:tcPr>
          <w:p w14:paraId="7A996691">
            <w:pPr>
              <w:widowControl/>
              <w:snapToGrid w:val="0"/>
              <w:spacing w:line="240" w:lineRule="atLeast"/>
              <w:jc w:val="left"/>
              <w:rPr>
                <w:rFonts w:hint="eastAsia" w:ascii="宋体" w:hAnsi="宋体" w:eastAsia="宋体" w:cs="宋体"/>
                <w:color w:val="auto"/>
                <w:highlight w:val="none"/>
              </w:rPr>
            </w:pPr>
            <w:r>
              <w:rPr>
                <w:rFonts w:hint="eastAsia" w:ascii="宋体" w:hAnsi="宋体" w:eastAsia="宋体" w:cs="宋体"/>
                <w:color w:val="auto"/>
                <w:highlight w:val="none"/>
              </w:rPr>
              <w:t>提供</w:t>
            </w:r>
            <w:r>
              <w:rPr>
                <w:rFonts w:hint="eastAsia" w:ascii="宋体" w:hAnsi="宋体" w:eastAsia="宋体" w:cs="宋体"/>
                <w:color w:val="auto"/>
                <w:highlight w:val="none"/>
                <w:lang w:val="en-US" w:eastAsia="zh-CN"/>
              </w:rPr>
              <w:t>满足本项目标包中明确货物、服务的质量承诺及出现质量问题相应的处罚措施，没有提供的不得分</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质量承诺及出现质量问题相应的处罚措施详细合理、内容完整、可行的得15分；质量承诺及出现质量问题相应的处罚措施较详细合理、内容较完整、可行的得10分；质量承诺及出现质量问题相应的处罚措施</w:t>
            </w:r>
            <w:r>
              <w:rPr>
                <w:rFonts w:hint="eastAsia" w:ascii="宋体" w:hAnsi="宋体" w:eastAsia="宋体" w:cs="宋体"/>
                <w:color w:val="auto"/>
                <w:highlight w:val="none"/>
              </w:rPr>
              <w:t>不够详细合理，缺乏可行性，得</w:t>
            </w:r>
            <w:r>
              <w:rPr>
                <w:rFonts w:hint="eastAsia" w:ascii="宋体" w:hAnsi="宋体" w:eastAsia="宋体" w:cs="宋体"/>
                <w:color w:val="auto"/>
                <w:highlight w:val="none"/>
                <w:lang w:val="en-US" w:eastAsia="zh-CN"/>
              </w:rPr>
              <w:t>5分；未提供得0分。</w:t>
            </w:r>
          </w:p>
        </w:tc>
      </w:tr>
      <w:tr w14:paraId="4BFE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853" w:type="dxa"/>
            <w:vMerge w:val="continue"/>
            <w:vAlign w:val="center"/>
          </w:tcPr>
          <w:p w14:paraId="07BDA82E">
            <w:pPr>
              <w:ind w:right="113"/>
              <w:rPr>
                <w:rFonts w:hint="eastAsia" w:ascii="宋体" w:hAnsi="宋体" w:eastAsia="宋体" w:cs="宋体"/>
                <w:color w:val="auto"/>
                <w:szCs w:val="21"/>
                <w:highlight w:val="none"/>
              </w:rPr>
            </w:pPr>
          </w:p>
        </w:tc>
        <w:tc>
          <w:tcPr>
            <w:tcW w:w="1076" w:type="dxa"/>
            <w:vMerge w:val="continue"/>
            <w:vAlign w:val="center"/>
          </w:tcPr>
          <w:p w14:paraId="00F292B5">
            <w:pPr>
              <w:spacing w:beforeLines="50"/>
              <w:ind w:right="113"/>
              <w:rPr>
                <w:rFonts w:hint="eastAsia" w:ascii="宋体" w:hAnsi="宋体" w:eastAsia="宋体" w:cs="宋体"/>
                <w:color w:val="auto"/>
                <w:szCs w:val="21"/>
                <w:highlight w:val="none"/>
              </w:rPr>
            </w:pPr>
          </w:p>
        </w:tc>
        <w:tc>
          <w:tcPr>
            <w:tcW w:w="1082" w:type="dxa"/>
            <w:vAlign w:val="center"/>
          </w:tcPr>
          <w:p w14:paraId="11DDC61A">
            <w:pPr>
              <w:widowControl/>
              <w:snapToGrid w:val="0"/>
              <w:spacing w:line="240" w:lineRule="atLeast"/>
              <w:jc w:val="center"/>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en-US" w:eastAsia="zh-CN"/>
              </w:rPr>
              <w:t>应急供货方案（10分）</w:t>
            </w:r>
          </w:p>
        </w:tc>
        <w:tc>
          <w:tcPr>
            <w:tcW w:w="6288" w:type="dxa"/>
            <w:vAlign w:val="center"/>
          </w:tcPr>
          <w:p w14:paraId="6F462073">
            <w:pPr>
              <w:widowControl/>
              <w:snapToGrid w:val="0"/>
              <w:spacing w:line="240" w:lineRule="atLeast"/>
              <w:jc w:val="left"/>
              <w:rPr>
                <w:rFonts w:hint="eastAsia" w:ascii="宋体" w:hAnsi="宋体" w:eastAsia="宋体" w:cs="宋体"/>
                <w:color w:val="auto"/>
                <w:highlight w:val="none"/>
              </w:rPr>
            </w:pPr>
            <w:r>
              <w:rPr>
                <w:rFonts w:hint="eastAsia" w:ascii="宋体" w:hAnsi="宋体" w:eastAsia="宋体" w:cs="宋体"/>
                <w:color w:val="auto"/>
                <w:highlight w:val="none"/>
              </w:rPr>
              <w:t>针对</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提供的突发情况、应急保障（含应急响应时间承诺）</w:t>
            </w:r>
          </w:p>
          <w:p w14:paraId="65E9C909">
            <w:pPr>
              <w:widowControl/>
              <w:snapToGrid w:val="0"/>
              <w:spacing w:line="240" w:lineRule="atLeast"/>
              <w:jc w:val="left"/>
              <w:rPr>
                <w:rFonts w:hint="eastAsia" w:ascii="宋体" w:hAnsi="宋体" w:eastAsia="宋体" w:cs="宋体"/>
                <w:color w:val="auto"/>
                <w:highlight w:val="none"/>
              </w:rPr>
            </w:pPr>
            <w:r>
              <w:rPr>
                <w:rFonts w:hint="eastAsia" w:ascii="宋体" w:hAnsi="宋体" w:eastAsia="宋体" w:cs="宋体"/>
                <w:color w:val="auto"/>
                <w:highlight w:val="none"/>
              </w:rPr>
              <w:t>或节假日应急供货方案具体情况进行综合评价，应急供货方案详</w:t>
            </w:r>
          </w:p>
          <w:p w14:paraId="4A072CA8">
            <w:pPr>
              <w:widowControl/>
              <w:snapToGrid w:val="0"/>
              <w:spacing w:line="240" w:lineRule="atLeas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细合理可行，能保障医院需求的，得</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分；方案较详细合理，具有一定可行性，得</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分；方案不够详细合理，缺乏可行性，得</w:t>
            </w:r>
            <w:r>
              <w:rPr>
                <w:rFonts w:hint="eastAsia" w:ascii="宋体" w:hAnsi="宋体" w:eastAsia="宋体" w:cs="宋体"/>
                <w:color w:val="auto"/>
                <w:highlight w:val="none"/>
                <w:lang w:val="en-US" w:eastAsia="zh-CN"/>
              </w:rPr>
              <w:t>3分；未提供得0分。</w:t>
            </w:r>
          </w:p>
        </w:tc>
      </w:tr>
      <w:tr w14:paraId="531FC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853" w:type="dxa"/>
            <w:vMerge w:val="continue"/>
            <w:vAlign w:val="center"/>
          </w:tcPr>
          <w:p w14:paraId="2EEAE9C5">
            <w:pPr>
              <w:ind w:right="113"/>
              <w:rPr>
                <w:rFonts w:hint="eastAsia" w:ascii="宋体" w:hAnsi="宋体" w:eastAsia="宋体" w:cs="宋体"/>
                <w:color w:val="auto"/>
                <w:szCs w:val="21"/>
                <w:highlight w:val="none"/>
              </w:rPr>
            </w:pPr>
          </w:p>
        </w:tc>
        <w:tc>
          <w:tcPr>
            <w:tcW w:w="1076" w:type="dxa"/>
            <w:vMerge w:val="continue"/>
            <w:vAlign w:val="center"/>
          </w:tcPr>
          <w:p w14:paraId="46376E8A">
            <w:pPr>
              <w:spacing w:beforeLines="50"/>
              <w:ind w:right="113"/>
              <w:rPr>
                <w:rFonts w:hint="eastAsia" w:ascii="宋体" w:hAnsi="宋体" w:eastAsia="宋体" w:cs="宋体"/>
                <w:color w:val="auto"/>
                <w:szCs w:val="21"/>
                <w:highlight w:val="none"/>
              </w:rPr>
            </w:pPr>
          </w:p>
        </w:tc>
        <w:tc>
          <w:tcPr>
            <w:tcW w:w="1082" w:type="dxa"/>
            <w:vAlign w:val="center"/>
          </w:tcPr>
          <w:p w14:paraId="13470FDD">
            <w:pPr>
              <w:widowControl/>
              <w:snapToGrid w:val="0"/>
              <w:spacing w:line="240" w:lineRule="atLeast"/>
              <w:jc w:val="center"/>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en-US" w:eastAsia="zh-CN"/>
              </w:rPr>
              <w:t>售后服务（10分）</w:t>
            </w:r>
          </w:p>
        </w:tc>
        <w:tc>
          <w:tcPr>
            <w:tcW w:w="6288" w:type="dxa"/>
            <w:vAlign w:val="center"/>
          </w:tcPr>
          <w:p w14:paraId="562F4572">
            <w:pPr>
              <w:widowControl/>
              <w:snapToGrid w:val="0"/>
              <w:spacing w:line="240" w:lineRule="atLeas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售后服务方案应包含售后响应时间、售后流程、产品培训、技术支持、售后措施等内容，方案全面、完</w:t>
            </w:r>
            <w:r>
              <w:rPr>
                <w:rFonts w:hint="eastAsia" w:ascii="宋体" w:hAnsi="宋体" w:eastAsia="宋体" w:cs="宋体"/>
                <w:color w:val="auto"/>
                <w:highlight w:val="none"/>
                <w:lang w:val="en-US" w:eastAsia="zh-CN"/>
              </w:rPr>
              <w:t>善、合理，针</w:t>
            </w:r>
            <w:r>
              <w:rPr>
                <w:rFonts w:hint="eastAsia" w:ascii="宋体" w:hAnsi="宋体" w:eastAsia="宋体" w:cs="宋体"/>
                <w:color w:val="auto"/>
                <w:highlight w:val="none"/>
              </w:rPr>
              <w:t>对招标人及项目的实际需求得</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分；方案</w:t>
            </w:r>
            <w:r>
              <w:rPr>
                <w:rFonts w:hint="eastAsia" w:ascii="宋体" w:hAnsi="宋体" w:eastAsia="宋体" w:cs="宋体"/>
                <w:color w:val="auto"/>
                <w:highlight w:val="none"/>
                <w:lang w:val="en-US" w:eastAsia="zh-CN"/>
              </w:rPr>
              <w:t>较全面、完善、合理，能够较</w:t>
            </w:r>
            <w:r>
              <w:rPr>
                <w:rFonts w:hint="eastAsia" w:ascii="宋体" w:hAnsi="宋体" w:eastAsia="宋体" w:cs="宋体"/>
                <w:color w:val="auto"/>
                <w:highlight w:val="none"/>
              </w:rPr>
              <w:t>合招标人及项目的实际需求得</w:t>
            </w:r>
            <w:r>
              <w:rPr>
                <w:rFonts w:hint="eastAsia" w:ascii="宋体" w:hAnsi="宋体" w:eastAsia="宋体" w:cs="宋体"/>
                <w:color w:val="auto"/>
                <w:highlight w:val="none"/>
                <w:lang w:val="en-US" w:eastAsia="zh-CN"/>
              </w:rPr>
              <w:t>5分；</w:t>
            </w:r>
            <w:r>
              <w:rPr>
                <w:rFonts w:hint="eastAsia" w:ascii="宋体" w:hAnsi="宋体" w:eastAsia="宋体" w:cs="宋体"/>
                <w:color w:val="auto"/>
                <w:highlight w:val="none"/>
              </w:rPr>
              <w:t>方案内容不完整，没有贴合招标人及项目的实际需求得3分；</w:t>
            </w:r>
            <w:r>
              <w:rPr>
                <w:rFonts w:hint="eastAsia" w:ascii="宋体" w:hAnsi="宋体" w:eastAsia="宋体" w:cs="宋体"/>
                <w:color w:val="auto"/>
                <w:highlight w:val="none"/>
                <w:lang w:val="en-US" w:eastAsia="zh-CN"/>
              </w:rPr>
              <w:t>未提供</w:t>
            </w:r>
            <w:r>
              <w:rPr>
                <w:rFonts w:hint="eastAsia" w:ascii="宋体" w:hAnsi="宋体" w:eastAsia="宋体" w:cs="宋体"/>
                <w:color w:val="auto"/>
                <w:highlight w:val="none"/>
              </w:rPr>
              <w:t>得0分。</w:t>
            </w:r>
          </w:p>
        </w:tc>
      </w:tr>
      <w:tr w14:paraId="5D468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299" w:type="dxa"/>
            <w:gridSpan w:val="4"/>
            <w:vAlign w:val="center"/>
          </w:tcPr>
          <w:p w14:paraId="0FA03756">
            <w:pPr>
              <w:widowControl/>
              <w:snapToGrid w:val="0"/>
              <w:spacing w:line="240" w:lineRule="atLeast"/>
              <w:jc w:val="center"/>
              <w:rPr>
                <w:rFonts w:hint="eastAsia" w:ascii="宋体" w:hAnsi="宋体" w:eastAsia="宋体" w:cs="宋体"/>
                <w:color w:val="auto"/>
                <w:highlight w:val="no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第六包：农用产品</w:t>
            </w:r>
          </w:p>
        </w:tc>
      </w:tr>
      <w:tr w14:paraId="15D70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53" w:type="dxa"/>
            <w:vMerge w:val="restart"/>
            <w:vAlign w:val="center"/>
          </w:tcPr>
          <w:p w14:paraId="54659615">
            <w:pPr>
              <w:ind w:right="113" w:rightChars="0"/>
              <w:rPr>
                <w:rFonts w:hint="eastAsia" w:ascii="宋体" w:hAnsi="宋体" w:eastAsia="宋体" w:cs="宋体"/>
                <w:color w:val="auto"/>
                <w:szCs w:val="21"/>
                <w:highlight w:val="none"/>
                <w:lang w:val="en-US" w:eastAsia="zh-CN"/>
              </w:rPr>
            </w:pPr>
          </w:p>
          <w:p w14:paraId="488DE568">
            <w:pPr>
              <w:ind w:right="113" w:rightChars="0"/>
              <w:rPr>
                <w:rFonts w:hint="eastAsia" w:ascii="宋体" w:hAnsi="宋体" w:eastAsia="宋体" w:cs="宋体"/>
                <w:color w:val="auto"/>
                <w:szCs w:val="21"/>
                <w:highlight w:val="none"/>
                <w:lang w:val="en-US" w:eastAsia="zh-CN"/>
              </w:rPr>
            </w:pPr>
          </w:p>
          <w:p w14:paraId="655F2386">
            <w:pPr>
              <w:ind w:right="113" w:rightChars="0"/>
              <w:rPr>
                <w:rFonts w:hint="eastAsia" w:ascii="宋体" w:hAnsi="宋体" w:eastAsia="宋体" w:cs="宋体"/>
                <w:color w:val="auto"/>
                <w:szCs w:val="21"/>
                <w:highlight w:val="none"/>
                <w:lang w:val="en-US" w:eastAsia="zh-CN"/>
              </w:rPr>
            </w:pPr>
          </w:p>
          <w:p w14:paraId="292029F1">
            <w:pPr>
              <w:ind w:right="113" w:rightChars="0"/>
              <w:rPr>
                <w:rFonts w:hint="eastAsia" w:ascii="宋体" w:hAnsi="宋体" w:eastAsia="宋体" w:cs="宋体"/>
                <w:color w:val="auto"/>
                <w:szCs w:val="21"/>
                <w:highlight w:val="none"/>
                <w:lang w:val="en-US" w:eastAsia="zh-CN"/>
              </w:rPr>
            </w:pPr>
          </w:p>
          <w:p w14:paraId="0860C193">
            <w:pPr>
              <w:ind w:right="113" w:rightChars="0"/>
              <w:rPr>
                <w:rFonts w:hint="eastAsia" w:ascii="宋体" w:hAnsi="宋体" w:eastAsia="宋体" w:cs="宋体"/>
                <w:color w:val="auto"/>
                <w:szCs w:val="21"/>
                <w:highlight w:val="none"/>
                <w:lang w:val="en-US" w:eastAsia="zh-CN"/>
              </w:rPr>
            </w:pPr>
          </w:p>
          <w:p w14:paraId="17DF6C40">
            <w:pPr>
              <w:ind w:right="113"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2.2.2（1）</w:t>
            </w:r>
          </w:p>
        </w:tc>
        <w:tc>
          <w:tcPr>
            <w:tcW w:w="1076" w:type="dxa"/>
            <w:vMerge w:val="restart"/>
            <w:vAlign w:val="center"/>
          </w:tcPr>
          <w:p w14:paraId="7A93B3AF">
            <w:pPr>
              <w:spacing w:beforeLines="50"/>
              <w:ind w:right="113" w:rightChars="0"/>
              <w:rPr>
                <w:rFonts w:hint="eastAsia" w:ascii="宋体" w:hAnsi="宋体" w:eastAsia="宋体" w:cs="宋体"/>
                <w:color w:val="auto"/>
                <w:kern w:val="0"/>
                <w:szCs w:val="24"/>
                <w:highlight w:val="none"/>
                <w:lang w:val="en-US" w:eastAsia="zh-CN"/>
              </w:rPr>
            </w:pPr>
          </w:p>
          <w:p w14:paraId="2122FC6B">
            <w:pPr>
              <w:spacing w:beforeLines="50"/>
              <w:ind w:right="113" w:rightChars="0"/>
              <w:rPr>
                <w:rFonts w:hint="eastAsia" w:ascii="宋体" w:hAnsi="宋体" w:eastAsia="宋体" w:cs="宋体"/>
                <w:color w:val="auto"/>
                <w:szCs w:val="21"/>
                <w:highlight w:val="none"/>
              </w:rPr>
            </w:pPr>
            <w:r>
              <w:rPr>
                <w:rFonts w:hint="eastAsia" w:ascii="宋体" w:hAnsi="宋体" w:eastAsia="宋体" w:cs="宋体"/>
                <w:color w:val="auto"/>
                <w:kern w:val="0"/>
                <w:szCs w:val="24"/>
                <w:highlight w:val="none"/>
                <w:lang w:val="en-US" w:eastAsia="zh-CN"/>
              </w:rPr>
              <w:t>商务</w:t>
            </w:r>
            <w:r>
              <w:rPr>
                <w:rFonts w:hint="eastAsia" w:ascii="宋体" w:hAnsi="宋体" w:eastAsia="宋体" w:cs="宋体"/>
                <w:color w:val="auto"/>
                <w:kern w:val="0"/>
                <w:szCs w:val="24"/>
                <w:highlight w:val="none"/>
              </w:rPr>
              <w:t>部分评分标准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50分</w:t>
            </w:r>
            <w:r>
              <w:rPr>
                <w:rFonts w:hint="eastAsia" w:ascii="宋体" w:hAnsi="宋体" w:eastAsia="宋体" w:cs="宋体"/>
                <w:color w:val="auto"/>
                <w:highlight w:val="none"/>
                <w:lang w:eastAsia="zh-CN"/>
              </w:rPr>
              <w:t>）</w:t>
            </w:r>
          </w:p>
        </w:tc>
        <w:tc>
          <w:tcPr>
            <w:tcW w:w="1082" w:type="dxa"/>
            <w:vAlign w:val="center"/>
          </w:tcPr>
          <w:p w14:paraId="5B6B69EA">
            <w:pPr>
              <w:ind w:right="113" w:rightChars="0"/>
              <w:jc w:val="center"/>
              <w:rPr>
                <w:rFonts w:hint="eastAsia" w:ascii="宋体" w:hAnsi="宋体" w:eastAsia="宋体" w:cs="宋体"/>
                <w:color w:val="auto"/>
                <w:kern w:val="0"/>
                <w:szCs w:val="24"/>
                <w:highlight w:val="none"/>
                <w:lang w:val="en-US" w:eastAsia="zh-CN"/>
              </w:rPr>
            </w:pPr>
            <w:r>
              <w:rPr>
                <w:rFonts w:hint="eastAsia" w:ascii="宋体" w:hAnsi="宋体" w:eastAsia="宋体" w:cs="宋体"/>
                <w:color w:val="auto"/>
                <w:highlight w:val="none"/>
              </w:rPr>
              <w:t>业绩（</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分）</w:t>
            </w:r>
          </w:p>
        </w:tc>
        <w:tc>
          <w:tcPr>
            <w:tcW w:w="6288" w:type="dxa"/>
            <w:vAlign w:val="center"/>
          </w:tcPr>
          <w:p w14:paraId="6CB40511">
            <w:pPr>
              <w:ind w:right="113" w:righ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供应商提供近三年（投标截止日前推36个月）以来类似业绩，每个业绩得</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分，最高得分</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分，以供应商提供的合同复印件或中标通知书等相关证明材料为评分依据。</w:t>
            </w:r>
          </w:p>
        </w:tc>
      </w:tr>
      <w:tr w14:paraId="55A9C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853" w:type="dxa"/>
            <w:vMerge w:val="continue"/>
            <w:vAlign w:val="center"/>
          </w:tcPr>
          <w:p w14:paraId="63F4DB9F">
            <w:pPr>
              <w:ind w:right="113"/>
              <w:rPr>
                <w:rFonts w:hint="eastAsia" w:ascii="宋体" w:hAnsi="宋体" w:eastAsia="宋体" w:cs="宋体"/>
                <w:color w:val="auto"/>
                <w:szCs w:val="21"/>
                <w:highlight w:val="none"/>
              </w:rPr>
            </w:pPr>
          </w:p>
        </w:tc>
        <w:tc>
          <w:tcPr>
            <w:tcW w:w="1076" w:type="dxa"/>
            <w:vMerge w:val="continue"/>
            <w:vAlign w:val="center"/>
          </w:tcPr>
          <w:p w14:paraId="38D9B70E">
            <w:pPr>
              <w:spacing w:beforeLines="50"/>
              <w:ind w:right="113"/>
              <w:rPr>
                <w:rFonts w:hint="eastAsia" w:ascii="宋体" w:hAnsi="宋体" w:eastAsia="宋体" w:cs="宋体"/>
                <w:color w:val="auto"/>
                <w:szCs w:val="21"/>
                <w:highlight w:val="none"/>
              </w:rPr>
            </w:pPr>
          </w:p>
        </w:tc>
        <w:tc>
          <w:tcPr>
            <w:tcW w:w="1082" w:type="dxa"/>
            <w:vAlign w:val="center"/>
          </w:tcPr>
          <w:p w14:paraId="4A1A79D3">
            <w:pPr>
              <w:ind w:right="113" w:rightChars="0"/>
              <w:jc w:val="center"/>
              <w:rPr>
                <w:rFonts w:hint="eastAsia" w:ascii="宋体" w:hAnsi="宋体" w:eastAsia="宋体" w:cs="宋体"/>
                <w:color w:val="auto"/>
                <w:kern w:val="0"/>
                <w:szCs w:val="24"/>
                <w:highlight w:val="none"/>
                <w:lang w:val="en-US" w:eastAsia="zh-CN"/>
              </w:rPr>
            </w:pPr>
            <w:r>
              <w:rPr>
                <w:rFonts w:hint="eastAsia" w:ascii="宋体" w:hAnsi="宋体" w:eastAsia="宋体" w:cs="宋体"/>
                <w:color w:val="auto"/>
                <w:highlight w:val="none"/>
              </w:rPr>
              <w:t>项目</w:t>
            </w:r>
            <w:r>
              <w:rPr>
                <w:rFonts w:hint="eastAsia" w:ascii="宋体" w:hAnsi="宋体" w:eastAsia="宋体" w:cs="宋体"/>
                <w:color w:val="auto"/>
                <w:highlight w:val="none"/>
                <w:lang w:eastAsia="zh-CN"/>
              </w:rPr>
              <w:t>负责</w:t>
            </w:r>
            <w:r>
              <w:rPr>
                <w:rFonts w:hint="eastAsia" w:ascii="宋体" w:hAnsi="宋体" w:eastAsia="宋体" w:cs="宋体"/>
                <w:color w:val="auto"/>
                <w:highlight w:val="none"/>
              </w:rPr>
              <w:t>人</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10分</w:t>
            </w:r>
            <w:r>
              <w:rPr>
                <w:rFonts w:hint="eastAsia" w:ascii="宋体" w:hAnsi="宋体" w:eastAsia="宋体" w:cs="宋体"/>
                <w:color w:val="auto"/>
                <w:highlight w:val="none"/>
                <w:lang w:eastAsia="zh-CN"/>
              </w:rPr>
              <w:t>）</w:t>
            </w:r>
          </w:p>
        </w:tc>
        <w:tc>
          <w:tcPr>
            <w:tcW w:w="6288" w:type="dxa"/>
            <w:vAlign w:val="center"/>
          </w:tcPr>
          <w:p w14:paraId="392C7906">
            <w:pPr>
              <w:ind w:right="113" w:righ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提供本项目</w:t>
            </w:r>
            <w:r>
              <w:rPr>
                <w:rFonts w:hint="eastAsia" w:ascii="宋体" w:hAnsi="宋体" w:eastAsia="宋体" w:cs="宋体"/>
                <w:color w:val="auto"/>
                <w:highlight w:val="none"/>
                <w:lang w:eastAsia="zh-CN"/>
              </w:rPr>
              <w:t>负责</w:t>
            </w:r>
            <w:r>
              <w:rPr>
                <w:rFonts w:hint="eastAsia" w:ascii="宋体" w:hAnsi="宋体" w:eastAsia="宋体" w:cs="宋体"/>
                <w:color w:val="auto"/>
                <w:highlight w:val="none"/>
              </w:rPr>
              <w:t>人员</w:t>
            </w:r>
            <w:r>
              <w:rPr>
                <w:rFonts w:hint="eastAsia" w:ascii="宋体" w:hAnsi="宋体" w:eastAsia="宋体" w:cs="宋体"/>
                <w:color w:val="auto"/>
                <w:highlight w:val="none"/>
                <w:lang w:eastAsia="zh-CN"/>
              </w:rPr>
              <w:t>相关信息，并</w:t>
            </w:r>
            <w:r>
              <w:rPr>
                <w:rFonts w:hint="eastAsia" w:ascii="宋体" w:hAnsi="宋体" w:eastAsia="宋体" w:cs="宋体"/>
                <w:color w:val="auto"/>
                <w:highlight w:val="none"/>
                <w:lang w:val="en-US" w:eastAsia="zh-CN"/>
              </w:rPr>
              <w:t>出具本项目负责人员委托书，</w:t>
            </w:r>
            <w:r>
              <w:rPr>
                <w:rFonts w:hint="eastAsia" w:ascii="宋体" w:hAnsi="宋体" w:eastAsia="宋体" w:cs="宋体"/>
                <w:color w:val="auto"/>
                <w:highlight w:val="none"/>
                <w:lang w:eastAsia="zh-CN"/>
              </w:rPr>
              <w:t>同时</w:t>
            </w:r>
            <w:r>
              <w:rPr>
                <w:rFonts w:hint="eastAsia" w:ascii="宋体" w:hAnsi="宋体" w:eastAsia="宋体" w:cs="宋体"/>
                <w:color w:val="auto"/>
                <w:highlight w:val="none"/>
              </w:rPr>
              <w:t>承诺中标后</w:t>
            </w:r>
            <w:r>
              <w:rPr>
                <w:rFonts w:hint="eastAsia" w:ascii="宋体" w:hAnsi="宋体" w:eastAsia="宋体" w:cs="宋体"/>
                <w:color w:val="auto"/>
                <w:highlight w:val="none"/>
                <w:lang w:val="en-US" w:eastAsia="zh-CN"/>
              </w:rPr>
              <w:t>拟派负责人员与我单位对接相关事宜的得10</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。需附负责人员</w:t>
            </w:r>
            <w:r>
              <w:rPr>
                <w:rFonts w:hint="eastAsia" w:ascii="宋体" w:hAnsi="宋体" w:eastAsia="宋体" w:cs="宋体"/>
                <w:color w:val="auto"/>
                <w:highlight w:val="none"/>
                <w:lang w:val="en-US" w:eastAsia="zh-CN"/>
              </w:rPr>
              <w:t>身份证复印件、联系方式、委托书、承诺书，附件不全的酌情扣分。</w:t>
            </w:r>
          </w:p>
        </w:tc>
      </w:tr>
      <w:tr w14:paraId="780B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853" w:type="dxa"/>
            <w:vMerge w:val="continue"/>
            <w:vAlign w:val="center"/>
          </w:tcPr>
          <w:p w14:paraId="0D29F40F">
            <w:pPr>
              <w:ind w:right="113"/>
              <w:rPr>
                <w:rFonts w:hint="eastAsia" w:ascii="宋体" w:hAnsi="宋体" w:eastAsia="宋体" w:cs="宋体"/>
                <w:color w:val="auto"/>
                <w:szCs w:val="21"/>
                <w:highlight w:val="none"/>
              </w:rPr>
            </w:pPr>
          </w:p>
        </w:tc>
        <w:tc>
          <w:tcPr>
            <w:tcW w:w="1076" w:type="dxa"/>
            <w:vMerge w:val="continue"/>
            <w:vAlign w:val="center"/>
          </w:tcPr>
          <w:p w14:paraId="4863EBF2">
            <w:pPr>
              <w:spacing w:beforeLines="50"/>
              <w:ind w:right="113"/>
              <w:rPr>
                <w:rFonts w:hint="eastAsia" w:ascii="宋体" w:hAnsi="宋体" w:eastAsia="宋体" w:cs="宋体"/>
                <w:color w:val="auto"/>
                <w:szCs w:val="21"/>
                <w:highlight w:val="none"/>
              </w:rPr>
            </w:pPr>
          </w:p>
        </w:tc>
        <w:tc>
          <w:tcPr>
            <w:tcW w:w="1082" w:type="dxa"/>
            <w:vAlign w:val="center"/>
          </w:tcPr>
          <w:p w14:paraId="503CA6A3">
            <w:pPr>
              <w:ind w:right="113" w:righ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场地(10分）</w:t>
            </w:r>
          </w:p>
        </w:tc>
        <w:tc>
          <w:tcPr>
            <w:tcW w:w="6288" w:type="dxa"/>
            <w:vAlign w:val="center"/>
          </w:tcPr>
          <w:p w14:paraId="491E479F">
            <w:pPr>
              <w:ind w:right="113" w:righ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供应商在具有固定场所，且场所为自有（提供房产证或不动产权证）或租赁合同复印件加盖公章，得10分。</w:t>
            </w:r>
          </w:p>
        </w:tc>
      </w:tr>
      <w:tr w14:paraId="1CC7A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7" w:hRule="atLeast"/>
        </w:trPr>
        <w:tc>
          <w:tcPr>
            <w:tcW w:w="853" w:type="dxa"/>
            <w:vMerge w:val="restart"/>
            <w:vAlign w:val="center"/>
          </w:tcPr>
          <w:p w14:paraId="57F1CEB9">
            <w:pPr>
              <w:ind w:right="113" w:rightChars="0"/>
              <w:rPr>
                <w:rFonts w:hint="eastAsia" w:ascii="宋体" w:hAnsi="宋体" w:eastAsia="宋体" w:cs="宋体"/>
                <w:color w:val="auto"/>
                <w:szCs w:val="21"/>
                <w:highlight w:val="none"/>
                <w:lang w:val="en-US" w:eastAsia="zh-CN"/>
              </w:rPr>
            </w:pPr>
          </w:p>
          <w:p w14:paraId="41F3E124">
            <w:pPr>
              <w:ind w:right="113" w:rightChars="0"/>
              <w:rPr>
                <w:rFonts w:hint="eastAsia" w:ascii="宋体" w:hAnsi="宋体" w:eastAsia="宋体" w:cs="宋体"/>
                <w:color w:val="auto"/>
                <w:szCs w:val="21"/>
                <w:highlight w:val="none"/>
                <w:lang w:val="en-US" w:eastAsia="zh-CN"/>
              </w:rPr>
            </w:pPr>
          </w:p>
          <w:p w14:paraId="7E23866C">
            <w:pPr>
              <w:ind w:right="113" w:rightChars="0"/>
              <w:rPr>
                <w:rFonts w:hint="eastAsia" w:ascii="宋体" w:hAnsi="宋体" w:eastAsia="宋体" w:cs="宋体"/>
                <w:color w:val="auto"/>
                <w:szCs w:val="21"/>
                <w:highlight w:val="none"/>
                <w:lang w:val="en-US" w:eastAsia="zh-CN"/>
              </w:rPr>
            </w:pPr>
          </w:p>
          <w:p w14:paraId="464F96B9">
            <w:pPr>
              <w:ind w:right="113"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2.2.2（2）</w:t>
            </w:r>
          </w:p>
        </w:tc>
        <w:tc>
          <w:tcPr>
            <w:tcW w:w="1076" w:type="dxa"/>
            <w:vMerge w:val="restart"/>
            <w:vAlign w:val="center"/>
          </w:tcPr>
          <w:p w14:paraId="2BC0C43C">
            <w:pPr>
              <w:spacing w:beforeLines="50"/>
              <w:ind w:right="113" w:rightChars="0"/>
              <w:rPr>
                <w:rFonts w:hint="eastAsia" w:ascii="宋体" w:hAnsi="宋体" w:eastAsia="宋体" w:cs="宋体"/>
                <w:color w:val="auto"/>
                <w:kern w:val="0"/>
                <w:szCs w:val="24"/>
                <w:highlight w:val="none"/>
              </w:rPr>
            </w:pPr>
          </w:p>
          <w:p w14:paraId="7B8E0EB2">
            <w:pPr>
              <w:spacing w:beforeLines="50"/>
              <w:ind w:right="113" w:rightChars="0"/>
              <w:rPr>
                <w:rFonts w:hint="eastAsia" w:ascii="宋体" w:hAnsi="宋体" w:eastAsia="宋体" w:cs="宋体"/>
                <w:color w:val="auto"/>
                <w:kern w:val="0"/>
                <w:szCs w:val="24"/>
                <w:highlight w:val="none"/>
              </w:rPr>
            </w:pPr>
          </w:p>
          <w:p w14:paraId="337D2B22">
            <w:pPr>
              <w:spacing w:beforeLines="50"/>
              <w:ind w:right="113" w:rightChars="0"/>
              <w:rPr>
                <w:rFonts w:hint="eastAsia" w:ascii="宋体" w:hAnsi="宋体" w:eastAsia="宋体" w:cs="宋体"/>
                <w:color w:val="auto"/>
                <w:szCs w:val="21"/>
                <w:highlight w:val="none"/>
              </w:rPr>
            </w:pPr>
            <w:r>
              <w:rPr>
                <w:rFonts w:hint="eastAsia" w:ascii="宋体" w:hAnsi="宋体" w:eastAsia="宋体" w:cs="宋体"/>
                <w:color w:val="auto"/>
                <w:kern w:val="0"/>
                <w:szCs w:val="24"/>
                <w:highlight w:val="none"/>
              </w:rPr>
              <w:t>技术部分评分标准</w:t>
            </w:r>
            <w:r>
              <w:rPr>
                <w:rFonts w:hint="eastAsia" w:ascii="宋体" w:hAnsi="宋体" w:eastAsia="宋体" w:cs="宋体"/>
                <w:color w:val="auto"/>
                <w:kern w:val="0"/>
                <w:szCs w:val="24"/>
                <w:highlight w:val="none"/>
                <w:lang w:eastAsia="zh-CN"/>
              </w:rPr>
              <w:t>（</w:t>
            </w:r>
            <w:r>
              <w:rPr>
                <w:rFonts w:hint="eastAsia" w:ascii="宋体" w:hAnsi="宋体" w:eastAsia="宋体" w:cs="宋体"/>
                <w:color w:val="auto"/>
                <w:kern w:val="0"/>
                <w:szCs w:val="24"/>
                <w:highlight w:val="none"/>
                <w:lang w:val="en-US" w:eastAsia="zh-CN"/>
              </w:rPr>
              <w:t>50分</w:t>
            </w:r>
            <w:r>
              <w:rPr>
                <w:rFonts w:hint="eastAsia" w:ascii="宋体" w:hAnsi="宋体" w:eastAsia="宋体" w:cs="宋体"/>
                <w:color w:val="auto"/>
                <w:kern w:val="0"/>
                <w:szCs w:val="24"/>
                <w:highlight w:val="none"/>
                <w:lang w:eastAsia="zh-CN"/>
              </w:rPr>
              <w:t>）</w:t>
            </w:r>
          </w:p>
        </w:tc>
        <w:tc>
          <w:tcPr>
            <w:tcW w:w="1082" w:type="dxa"/>
            <w:vAlign w:val="center"/>
          </w:tcPr>
          <w:p w14:paraId="4C1F08E6">
            <w:pPr>
              <w:ind w:right="113" w:rightChars="0"/>
              <w:jc w:val="center"/>
              <w:rPr>
                <w:rFonts w:hint="eastAsia" w:ascii="宋体" w:hAnsi="宋体" w:eastAsia="宋体" w:cs="宋体"/>
                <w:color w:val="auto"/>
                <w:highlight w:val="none"/>
                <w:lang w:val="en-US" w:eastAsia="zh-CN"/>
              </w:rPr>
            </w:pPr>
          </w:p>
          <w:p w14:paraId="580A3A9E">
            <w:pPr>
              <w:ind w:right="113" w:rightChars="0"/>
              <w:jc w:val="center"/>
              <w:rPr>
                <w:rFonts w:hint="eastAsia" w:ascii="宋体" w:hAnsi="宋体" w:eastAsia="宋体" w:cs="宋体"/>
                <w:color w:val="auto"/>
                <w:highlight w:val="none"/>
                <w:lang w:val="en-US" w:eastAsia="zh-CN"/>
              </w:rPr>
            </w:pPr>
          </w:p>
          <w:p w14:paraId="46D1F03A">
            <w:pPr>
              <w:ind w:right="113" w:right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供货保障措施（30分）</w:t>
            </w:r>
          </w:p>
          <w:p w14:paraId="3EB9CB37">
            <w:pPr>
              <w:ind w:right="113" w:rightChars="0"/>
              <w:jc w:val="center"/>
              <w:rPr>
                <w:rFonts w:hint="eastAsia" w:ascii="宋体" w:hAnsi="宋体" w:eastAsia="宋体" w:cs="宋体"/>
                <w:color w:val="auto"/>
                <w:highlight w:val="none"/>
                <w:lang w:val="en-US" w:eastAsia="zh-CN"/>
              </w:rPr>
            </w:pPr>
          </w:p>
        </w:tc>
        <w:tc>
          <w:tcPr>
            <w:tcW w:w="6288" w:type="dxa"/>
            <w:vAlign w:val="center"/>
          </w:tcPr>
          <w:p w14:paraId="14D7544D">
            <w:pPr>
              <w:ind w:right="113" w:righ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供应商提供完善、精准的供货保障措施方案，方案内容包括但不限于： </w:t>
            </w:r>
          </w:p>
          <w:p w14:paraId="346E5145">
            <w:pPr>
              <w:ind w:right="113" w:righ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1.质量保证措施和承诺；（5分） </w:t>
            </w:r>
          </w:p>
          <w:p w14:paraId="446C328B">
            <w:pPr>
              <w:ind w:right="113" w:righ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2.供货方式；（5分） </w:t>
            </w:r>
          </w:p>
          <w:p w14:paraId="7A49782C">
            <w:pPr>
              <w:ind w:right="113" w:righ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3.运输异常应急预案；（5分） </w:t>
            </w:r>
          </w:p>
          <w:p w14:paraId="143D6E7F">
            <w:pPr>
              <w:ind w:right="113" w:righ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4.产品经营管理服务保证措施；（5分） </w:t>
            </w:r>
          </w:p>
          <w:p w14:paraId="619A7DB3">
            <w:pPr>
              <w:ind w:right="113" w:righ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5.货物存放、运输应急预案；（5分） </w:t>
            </w:r>
          </w:p>
          <w:p w14:paraId="787F9D38">
            <w:pPr>
              <w:ind w:right="113" w:righ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6.验收方法等；（5分） </w:t>
            </w:r>
          </w:p>
          <w:p w14:paraId="5D04DBE6">
            <w:pPr>
              <w:ind w:right="113" w:righ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评审标准： </w:t>
            </w:r>
          </w:p>
          <w:p w14:paraId="54DD4E14">
            <w:pPr>
              <w:ind w:right="113" w:righ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（1）完整性：方案完整，切合本项目实际情况。</w:t>
            </w:r>
          </w:p>
          <w:p w14:paraId="542A0D6C">
            <w:pPr>
              <w:ind w:right="113" w:righ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（2）合理性：符合项目具体情况，方案合理、恰当。 </w:t>
            </w:r>
          </w:p>
          <w:p w14:paraId="268389AF">
            <w:pPr>
              <w:ind w:right="113" w:righ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（3）简洁性：在不复杂、可理解的方式下，方案条理清晰，便于理解易读。 </w:t>
            </w:r>
          </w:p>
          <w:p w14:paraId="31E944B3">
            <w:pPr>
              <w:ind w:right="113" w:righ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对上述 6 项评审内容进行打分，每项评审内容完全满足以上3项评审标准的得5分，部分满足的得3分，其他情况不得分。</w:t>
            </w:r>
          </w:p>
        </w:tc>
      </w:tr>
      <w:tr w14:paraId="25CA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4" w:hRule="atLeast"/>
        </w:trPr>
        <w:tc>
          <w:tcPr>
            <w:tcW w:w="853" w:type="dxa"/>
            <w:vMerge w:val="continue"/>
            <w:vAlign w:val="center"/>
          </w:tcPr>
          <w:p w14:paraId="2979A46A">
            <w:pPr>
              <w:ind w:right="113"/>
              <w:rPr>
                <w:rFonts w:hint="eastAsia" w:ascii="宋体" w:hAnsi="宋体" w:eastAsia="宋体" w:cs="宋体"/>
                <w:color w:val="auto"/>
                <w:szCs w:val="21"/>
                <w:highlight w:val="none"/>
              </w:rPr>
            </w:pPr>
          </w:p>
        </w:tc>
        <w:tc>
          <w:tcPr>
            <w:tcW w:w="1076" w:type="dxa"/>
            <w:vMerge w:val="continue"/>
            <w:vAlign w:val="center"/>
          </w:tcPr>
          <w:p w14:paraId="41B971FC">
            <w:pPr>
              <w:spacing w:beforeLines="50"/>
              <w:ind w:right="113"/>
              <w:rPr>
                <w:rFonts w:hint="eastAsia" w:ascii="宋体" w:hAnsi="宋体" w:eastAsia="宋体" w:cs="宋体"/>
                <w:color w:val="auto"/>
                <w:szCs w:val="21"/>
                <w:highlight w:val="none"/>
              </w:rPr>
            </w:pPr>
          </w:p>
        </w:tc>
        <w:tc>
          <w:tcPr>
            <w:tcW w:w="1082" w:type="dxa"/>
            <w:vAlign w:val="center"/>
          </w:tcPr>
          <w:p w14:paraId="5722C557">
            <w:pPr>
              <w:ind w:right="113" w:right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售后方案（20分）</w:t>
            </w:r>
          </w:p>
          <w:p w14:paraId="4ECC0F0E">
            <w:pPr>
              <w:ind w:right="113" w:rightChars="0"/>
              <w:jc w:val="center"/>
              <w:rPr>
                <w:rFonts w:hint="eastAsia" w:ascii="宋体" w:hAnsi="宋体" w:eastAsia="宋体" w:cs="宋体"/>
                <w:color w:val="auto"/>
                <w:highlight w:val="none"/>
                <w:lang w:val="en-US" w:eastAsia="zh-CN"/>
              </w:rPr>
            </w:pPr>
          </w:p>
        </w:tc>
        <w:tc>
          <w:tcPr>
            <w:tcW w:w="6288" w:type="dxa"/>
            <w:vAlign w:val="center"/>
          </w:tcPr>
          <w:p w14:paraId="43A9659C">
            <w:pPr>
              <w:ind w:right="113" w:righ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供应商提供完善、精准的售后服务方案，方案内容包括但 </w:t>
            </w:r>
          </w:p>
          <w:p w14:paraId="2C954F9B">
            <w:pPr>
              <w:ind w:right="113" w:righ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不限于： </w:t>
            </w:r>
          </w:p>
          <w:p w14:paraId="163D02A1">
            <w:pPr>
              <w:ind w:right="113" w:righ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1.供货时间安排;（5分） </w:t>
            </w:r>
          </w:p>
          <w:p w14:paraId="1472BA1E">
            <w:pPr>
              <w:ind w:right="113" w:righ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2.售后服务流程;（5分） </w:t>
            </w:r>
          </w:p>
          <w:p w14:paraId="63EB485A">
            <w:pPr>
              <w:ind w:right="113" w:righ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3.售后服务原则;（5分） </w:t>
            </w:r>
          </w:p>
          <w:p w14:paraId="5A5C185E">
            <w:pPr>
              <w:ind w:right="113" w:righ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4.售后服务的标准及要求等（5分） </w:t>
            </w:r>
          </w:p>
          <w:p w14:paraId="5C01E2FE">
            <w:pPr>
              <w:ind w:right="113" w:righ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评审标准： </w:t>
            </w:r>
          </w:p>
          <w:p w14:paraId="4A259498">
            <w:pPr>
              <w:ind w:right="113" w:righ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（1）完整性：方案完整，切合本项目实际情况。 </w:t>
            </w:r>
          </w:p>
          <w:p w14:paraId="7E84DB48">
            <w:pPr>
              <w:ind w:right="113" w:righ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（2）合理性：符合项目具体情况，方案合理、恰当。 </w:t>
            </w:r>
          </w:p>
          <w:p w14:paraId="47655AE3">
            <w:pPr>
              <w:ind w:right="113" w:righ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（3）简洁性：在不复杂、可理解的方式下，方案条理清晰，便于理解易读。 </w:t>
            </w:r>
          </w:p>
          <w:p w14:paraId="677188B5">
            <w:pPr>
              <w:ind w:right="113" w:righ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对上述 4 项评审内容进行打分，每项评审内容完全满足3项评审标准的得5分，部分满足的得3分，其他情况不得分。</w:t>
            </w:r>
          </w:p>
        </w:tc>
      </w:tr>
      <w:tr w14:paraId="0A231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299" w:type="dxa"/>
            <w:gridSpan w:val="4"/>
            <w:vAlign w:val="center"/>
          </w:tcPr>
          <w:p w14:paraId="0D740E8C">
            <w:pPr>
              <w:ind w:right="113" w:rightChars="0"/>
              <w:jc w:val="center"/>
              <w:rPr>
                <w:rFonts w:hint="eastAsia" w:ascii="宋体" w:hAnsi="宋体" w:eastAsia="宋体" w:cs="宋体"/>
                <w:color w:val="auto"/>
                <w:highlight w:val="no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第七包：燃料类</w:t>
            </w:r>
          </w:p>
        </w:tc>
      </w:tr>
      <w:tr w14:paraId="1306F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53" w:type="dxa"/>
            <w:vMerge w:val="restart"/>
            <w:vAlign w:val="center"/>
          </w:tcPr>
          <w:p w14:paraId="6DB7E10F">
            <w:pPr>
              <w:ind w:right="113" w:rightChars="0"/>
              <w:rPr>
                <w:rFonts w:hint="eastAsia" w:ascii="宋体" w:hAnsi="宋体" w:eastAsia="宋体" w:cs="宋体"/>
                <w:color w:val="auto"/>
                <w:szCs w:val="21"/>
                <w:highlight w:val="none"/>
                <w:lang w:val="en-US" w:eastAsia="zh-CN"/>
              </w:rPr>
            </w:pPr>
          </w:p>
          <w:p w14:paraId="4AC07526">
            <w:pPr>
              <w:ind w:right="113" w:rightChars="0"/>
              <w:rPr>
                <w:rFonts w:hint="eastAsia" w:ascii="宋体" w:hAnsi="宋体" w:eastAsia="宋体" w:cs="宋体"/>
                <w:color w:val="auto"/>
                <w:szCs w:val="21"/>
                <w:highlight w:val="none"/>
                <w:lang w:val="en-US" w:eastAsia="zh-CN"/>
              </w:rPr>
            </w:pPr>
          </w:p>
          <w:p w14:paraId="1E15BB79">
            <w:pPr>
              <w:ind w:right="113"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2.2.2（1）</w:t>
            </w:r>
          </w:p>
        </w:tc>
        <w:tc>
          <w:tcPr>
            <w:tcW w:w="1076" w:type="dxa"/>
            <w:vMerge w:val="restart"/>
            <w:vAlign w:val="center"/>
          </w:tcPr>
          <w:p w14:paraId="7B0477EA">
            <w:pPr>
              <w:spacing w:beforeLines="50"/>
              <w:ind w:right="113" w:rightChars="0"/>
              <w:rPr>
                <w:rFonts w:hint="eastAsia" w:ascii="宋体" w:hAnsi="宋体" w:eastAsia="宋体" w:cs="宋体"/>
                <w:color w:val="auto"/>
                <w:kern w:val="0"/>
                <w:szCs w:val="24"/>
                <w:highlight w:val="none"/>
                <w:lang w:val="en-US" w:eastAsia="zh-CN"/>
              </w:rPr>
            </w:pPr>
          </w:p>
          <w:p w14:paraId="11F53783">
            <w:pPr>
              <w:spacing w:beforeLines="50"/>
              <w:ind w:right="113" w:rightChars="0"/>
              <w:rPr>
                <w:rFonts w:hint="eastAsia" w:ascii="宋体" w:hAnsi="宋体" w:eastAsia="宋体" w:cs="宋体"/>
                <w:color w:val="auto"/>
                <w:szCs w:val="21"/>
                <w:highlight w:val="none"/>
              </w:rPr>
            </w:pPr>
            <w:r>
              <w:rPr>
                <w:rFonts w:hint="eastAsia" w:ascii="宋体" w:hAnsi="宋体" w:eastAsia="宋体" w:cs="宋体"/>
                <w:color w:val="auto"/>
                <w:kern w:val="0"/>
                <w:szCs w:val="24"/>
                <w:highlight w:val="none"/>
                <w:lang w:val="en-US" w:eastAsia="zh-CN"/>
              </w:rPr>
              <w:t>商务</w:t>
            </w:r>
            <w:r>
              <w:rPr>
                <w:rFonts w:hint="eastAsia" w:ascii="宋体" w:hAnsi="宋体" w:eastAsia="宋体" w:cs="宋体"/>
                <w:color w:val="auto"/>
                <w:kern w:val="0"/>
                <w:szCs w:val="24"/>
                <w:highlight w:val="none"/>
              </w:rPr>
              <w:t>部分评分标准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50分</w:t>
            </w:r>
            <w:r>
              <w:rPr>
                <w:rFonts w:hint="eastAsia" w:ascii="宋体" w:hAnsi="宋体" w:eastAsia="宋体" w:cs="宋体"/>
                <w:color w:val="auto"/>
                <w:highlight w:val="none"/>
                <w:lang w:eastAsia="zh-CN"/>
              </w:rPr>
              <w:t>）</w:t>
            </w:r>
          </w:p>
        </w:tc>
        <w:tc>
          <w:tcPr>
            <w:tcW w:w="1082" w:type="dxa"/>
            <w:vAlign w:val="center"/>
          </w:tcPr>
          <w:p w14:paraId="660D35F0">
            <w:pPr>
              <w:ind w:right="113" w:right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业绩（</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分）</w:t>
            </w:r>
          </w:p>
        </w:tc>
        <w:tc>
          <w:tcPr>
            <w:tcW w:w="6288" w:type="dxa"/>
            <w:vAlign w:val="center"/>
          </w:tcPr>
          <w:p w14:paraId="0DF85D89">
            <w:pPr>
              <w:ind w:right="113" w:righ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供应商提供近三年（投标截止日前推36个月）以来类似业绩，每个业绩得</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分，最高得分</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分，以供应商提供的合同复印件或中标通知书等相关证明材料为评分依据。</w:t>
            </w:r>
          </w:p>
        </w:tc>
      </w:tr>
      <w:tr w14:paraId="4E0A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853" w:type="dxa"/>
            <w:vMerge w:val="continue"/>
            <w:vAlign w:val="center"/>
          </w:tcPr>
          <w:p w14:paraId="44A2F9C8">
            <w:pPr>
              <w:ind w:right="113"/>
              <w:rPr>
                <w:rFonts w:hint="eastAsia" w:ascii="宋体" w:hAnsi="宋体" w:eastAsia="宋体" w:cs="宋体"/>
                <w:color w:val="auto"/>
                <w:szCs w:val="21"/>
                <w:highlight w:val="none"/>
              </w:rPr>
            </w:pPr>
          </w:p>
        </w:tc>
        <w:tc>
          <w:tcPr>
            <w:tcW w:w="1076" w:type="dxa"/>
            <w:vMerge w:val="continue"/>
            <w:vAlign w:val="center"/>
          </w:tcPr>
          <w:p w14:paraId="2723F046">
            <w:pPr>
              <w:spacing w:beforeLines="50"/>
              <w:ind w:right="113"/>
              <w:jc w:val="center"/>
              <w:rPr>
                <w:rFonts w:hint="eastAsia" w:ascii="宋体" w:hAnsi="宋体" w:eastAsia="宋体" w:cs="宋体"/>
                <w:color w:val="auto"/>
                <w:szCs w:val="21"/>
                <w:highlight w:val="none"/>
              </w:rPr>
            </w:pPr>
          </w:p>
        </w:tc>
        <w:tc>
          <w:tcPr>
            <w:tcW w:w="1082" w:type="dxa"/>
            <w:vAlign w:val="center"/>
          </w:tcPr>
          <w:p w14:paraId="3A3A2D5A">
            <w:pPr>
              <w:ind w:right="113" w:right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项目</w:t>
            </w:r>
            <w:r>
              <w:rPr>
                <w:rFonts w:hint="eastAsia" w:ascii="宋体" w:hAnsi="宋体" w:eastAsia="宋体" w:cs="宋体"/>
                <w:color w:val="auto"/>
                <w:highlight w:val="none"/>
                <w:lang w:eastAsia="zh-CN"/>
              </w:rPr>
              <w:t>负责</w:t>
            </w:r>
            <w:r>
              <w:rPr>
                <w:rFonts w:hint="eastAsia" w:ascii="宋体" w:hAnsi="宋体" w:eastAsia="宋体" w:cs="宋体"/>
                <w:color w:val="auto"/>
                <w:highlight w:val="none"/>
              </w:rPr>
              <w:t>人</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10分</w:t>
            </w:r>
            <w:r>
              <w:rPr>
                <w:rFonts w:hint="eastAsia" w:ascii="宋体" w:hAnsi="宋体" w:eastAsia="宋体" w:cs="宋体"/>
                <w:color w:val="auto"/>
                <w:highlight w:val="none"/>
                <w:lang w:eastAsia="zh-CN"/>
              </w:rPr>
              <w:t>）</w:t>
            </w:r>
          </w:p>
        </w:tc>
        <w:tc>
          <w:tcPr>
            <w:tcW w:w="6288" w:type="dxa"/>
            <w:vAlign w:val="center"/>
          </w:tcPr>
          <w:p w14:paraId="5D9C0F9E">
            <w:pPr>
              <w:ind w:right="113" w:righ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提供本项目</w:t>
            </w:r>
            <w:r>
              <w:rPr>
                <w:rFonts w:hint="eastAsia" w:ascii="宋体" w:hAnsi="宋体" w:eastAsia="宋体" w:cs="宋体"/>
                <w:color w:val="auto"/>
                <w:highlight w:val="none"/>
                <w:lang w:eastAsia="zh-CN"/>
              </w:rPr>
              <w:t>负责</w:t>
            </w:r>
            <w:r>
              <w:rPr>
                <w:rFonts w:hint="eastAsia" w:ascii="宋体" w:hAnsi="宋体" w:eastAsia="宋体" w:cs="宋体"/>
                <w:color w:val="auto"/>
                <w:highlight w:val="none"/>
              </w:rPr>
              <w:t>人员</w:t>
            </w:r>
            <w:r>
              <w:rPr>
                <w:rFonts w:hint="eastAsia" w:ascii="宋体" w:hAnsi="宋体" w:eastAsia="宋体" w:cs="宋体"/>
                <w:color w:val="auto"/>
                <w:highlight w:val="none"/>
                <w:lang w:eastAsia="zh-CN"/>
              </w:rPr>
              <w:t>相关信息，并</w:t>
            </w:r>
            <w:r>
              <w:rPr>
                <w:rFonts w:hint="eastAsia" w:ascii="宋体" w:hAnsi="宋体" w:eastAsia="宋体" w:cs="宋体"/>
                <w:color w:val="auto"/>
                <w:highlight w:val="none"/>
                <w:lang w:val="en-US" w:eastAsia="zh-CN"/>
              </w:rPr>
              <w:t>出具本项目负责人员委托书，</w:t>
            </w:r>
            <w:r>
              <w:rPr>
                <w:rFonts w:hint="eastAsia" w:ascii="宋体" w:hAnsi="宋体" w:eastAsia="宋体" w:cs="宋体"/>
                <w:color w:val="auto"/>
                <w:highlight w:val="none"/>
                <w:lang w:eastAsia="zh-CN"/>
              </w:rPr>
              <w:t>同时</w:t>
            </w:r>
            <w:r>
              <w:rPr>
                <w:rFonts w:hint="eastAsia" w:ascii="宋体" w:hAnsi="宋体" w:eastAsia="宋体" w:cs="宋体"/>
                <w:color w:val="auto"/>
                <w:highlight w:val="none"/>
              </w:rPr>
              <w:t>承诺中标后</w:t>
            </w:r>
            <w:r>
              <w:rPr>
                <w:rFonts w:hint="eastAsia" w:ascii="宋体" w:hAnsi="宋体" w:eastAsia="宋体" w:cs="宋体"/>
                <w:color w:val="auto"/>
                <w:highlight w:val="none"/>
                <w:lang w:val="en-US" w:eastAsia="zh-CN"/>
              </w:rPr>
              <w:t>拟派负责人员与我单位对接相关事宜的得10</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。需附负责人员</w:t>
            </w:r>
            <w:r>
              <w:rPr>
                <w:rFonts w:hint="eastAsia" w:ascii="宋体" w:hAnsi="宋体" w:eastAsia="宋体" w:cs="宋体"/>
                <w:color w:val="auto"/>
                <w:highlight w:val="none"/>
                <w:lang w:val="en-US" w:eastAsia="zh-CN"/>
              </w:rPr>
              <w:t>身份证复印件、联系方式、委托书、承诺书，附件不全的酌情扣分。</w:t>
            </w:r>
          </w:p>
        </w:tc>
      </w:tr>
      <w:tr w14:paraId="4C6D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53" w:type="dxa"/>
            <w:vMerge w:val="continue"/>
            <w:vAlign w:val="center"/>
          </w:tcPr>
          <w:p w14:paraId="26710A09">
            <w:pPr>
              <w:ind w:right="113"/>
              <w:rPr>
                <w:rFonts w:hint="eastAsia" w:ascii="宋体" w:hAnsi="宋体" w:eastAsia="宋体" w:cs="宋体"/>
                <w:color w:val="auto"/>
                <w:szCs w:val="21"/>
                <w:highlight w:val="none"/>
              </w:rPr>
            </w:pPr>
          </w:p>
        </w:tc>
        <w:tc>
          <w:tcPr>
            <w:tcW w:w="1076" w:type="dxa"/>
            <w:vMerge w:val="continue"/>
            <w:vAlign w:val="center"/>
          </w:tcPr>
          <w:p w14:paraId="21CEE6D1">
            <w:pPr>
              <w:spacing w:beforeLines="50"/>
              <w:ind w:right="113"/>
              <w:jc w:val="center"/>
              <w:rPr>
                <w:rFonts w:hint="eastAsia" w:ascii="宋体" w:hAnsi="宋体" w:eastAsia="宋体" w:cs="宋体"/>
                <w:color w:val="auto"/>
                <w:szCs w:val="21"/>
                <w:highlight w:val="none"/>
              </w:rPr>
            </w:pPr>
          </w:p>
        </w:tc>
        <w:tc>
          <w:tcPr>
            <w:tcW w:w="1082" w:type="dxa"/>
            <w:vAlign w:val="center"/>
          </w:tcPr>
          <w:p w14:paraId="239DF2CB">
            <w:pPr>
              <w:ind w:right="113" w:righ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场地(10分）</w:t>
            </w:r>
          </w:p>
        </w:tc>
        <w:tc>
          <w:tcPr>
            <w:tcW w:w="6288" w:type="dxa"/>
            <w:vAlign w:val="center"/>
          </w:tcPr>
          <w:p w14:paraId="23035555">
            <w:pPr>
              <w:ind w:right="113" w:righ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供应商在具有固定场所，且场所为自有（提供房产证或不动产权证）或租赁合同复印件加盖公章，得10分。</w:t>
            </w:r>
          </w:p>
        </w:tc>
      </w:tr>
      <w:tr w14:paraId="1972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853" w:type="dxa"/>
            <w:vMerge w:val="restart"/>
            <w:vAlign w:val="center"/>
          </w:tcPr>
          <w:p w14:paraId="20D6D733">
            <w:pPr>
              <w:ind w:right="113" w:rightChars="0"/>
              <w:rPr>
                <w:rFonts w:hint="eastAsia" w:ascii="宋体" w:hAnsi="宋体" w:eastAsia="宋体" w:cs="宋体"/>
                <w:color w:val="auto"/>
                <w:szCs w:val="21"/>
                <w:highlight w:val="none"/>
                <w:lang w:val="en-US" w:eastAsia="zh-CN"/>
              </w:rPr>
            </w:pPr>
          </w:p>
          <w:p w14:paraId="7A2F5F66">
            <w:pPr>
              <w:ind w:right="113" w:rightChars="0"/>
              <w:rPr>
                <w:rFonts w:hint="eastAsia" w:ascii="宋体" w:hAnsi="宋体" w:eastAsia="宋体" w:cs="宋体"/>
                <w:color w:val="auto"/>
                <w:szCs w:val="21"/>
                <w:highlight w:val="none"/>
                <w:lang w:val="en-US" w:eastAsia="zh-CN"/>
              </w:rPr>
            </w:pPr>
          </w:p>
          <w:p w14:paraId="3B93AE9D">
            <w:pPr>
              <w:ind w:right="113" w:rightChars="0"/>
              <w:rPr>
                <w:rFonts w:hint="eastAsia" w:ascii="宋体" w:hAnsi="宋体" w:eastAsia="宋体" w:cs="宋体"/>
                <w:color w:val="auto"/>
                <w:szCs w:val="21"/>
                <w:highlight w:val="none"/>
                <w:lang w:val="en-US" w:eastAsia="zh-CN"/>
              </w:rPr>
            </w:pPr>
          </w:p>
          <w:p w14:paraId="0B800D05">
            <w:pPr>
              <w:ind w:right="113" w:rightChars="0"/>
              <w:rPr>
                <w:rFonts w:hint="eastAsia" w:ascii="宋体" w:hAnsi="宋体" w:eastAsia="宋体" w:cs="宋体"/>
                <w:color w:val="auto"/>
                <w:szCs w:val="21"/>
                <w:highlight w:val="none"/>
                <w:lang w:val="en-US" w:eastAsia="zh-CN"/>
              </w:rPr>
            </w:pPr>
          </w:p>
          <w:p w14:paraId="146591E2">
            <w:pPr>
              <w:ind w:right="113" w:rightChars="0"/>
              <w:rPr>
                <w:rFonts w:hint="eastAsia" w:ascii="宋体" w:hAnsi="宋体" w:eastAsia="宋体" w:cs="宋体"/>
                <w:color w:val="auto"/>
                <w:szCs w:val="21"/>
                <w:highlight w:val="none"/>
                <w:lang w:val="en-US" w:eastAsia="zh-CN"/>
              </w:rPr>
            </w:pPr>
          </w:p>
          <w:p w14:paraId="5C8D23B5">
            <w:pPr>
              <w:ind w:right="113" w:rightChars="0"/>
              <w:rPr>
                <w:rFonts w:hint="eastAsia" w:ascii="宋体" w:hAnsi="宋体" w:eastAsia="宋体" w:cs="宋体"/>
                <w:color w:val="auto"/>
                <w:szCs w:val="21"/>
                <w:highlight w:val="none"/>
                <w:lang w:val="en-US" w:eastAsia="zh-CN"/>
              </w:rPr>
            </w:pPr>
          </w:p>
          <w:p w14:paraId="452D4A10">
            <w:pPr>
              <w:ind w:right="113"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2.2.2（2）</w:t>
            </w:r>
          </w:p>
        </w:tc>
        <w:tc>
          <w:tcPr>
            <w:tcW w:w="1076" w:type="dxa"/>
            <w:vMerge w:val="restart"/>
            <w:vAlign w:val="center"/>
          </w:tcPr>
          <w:p w14:paraId="5F01E1BE">
            <w:pPr>
              <w:spacing w:beforeLines="50"/>
              <w:ind w:right="113" w:rightChars="0"/>
              <w:jc w:val="center"/>
              <w:rPr>
                <w:rFonts w:hint="eastAsia" w:ascii="宋体" w:hAnsi="宋体" w:eastAsia="宋体" w:cs="宋体"/>
                <w:color w:val="auto"/>
                <w:kern w:val="0"/>
                <w:szCs w:val="24"/>
                <w:highlight w:val="none"/>
              </w:rPr>
            </w:pPr>
          </w:p>
          <w:p w14:paraId="3BBFD5FC">
            <w:pPr>
              <w:spacing w:beforeLines="50"/>
              <w:ind w:right="113" w:rightChars="0"/>
              <w:jc w:val="center"/>
              <w:rPr>
                <w:rFonts w:hint="eastAsia" w:ascii="宋体" w:hAnsi="宋体" w:eastAsia="宋体" w:cs="宋体"/>
                <w:color w:val="auto"/>
                <w:kern w:val="0"/>
                <w:szCs w:val="24"/>
                <w:highlight w:val="none"/>
              </w:rPr>
            </w:pPr>
          </w:p>
          <w:p w14:paraId="1A05D722">
            <w:pPr>
              <w:spacing w:beforeLines="50"/>
              <w:ind w:right="113" w:rightChars="0"/>
              <w:jc w:val="center"/>
              <w:rPr>
                <w:rFonts w:hint="eastAsia" w:ascii="宋体" w:hAnsi="宋体" w:eastAsia="宋体" w:cs="宋体"/>
                <w:color w:val="auto"/>
                <w:kern w:val="0"/>
                <w:szCs w:val="24"/>
                <w:highlight w:val="none"/>
              </w:rPr>
            </w:pPr>
          </w:p>
          <w:p w14:paraId="7A5E0EC1">
            <w:pPr>
              <w:spacing w:beforeLines="50"/>
              <w:ind w:right="113" w:rightChars="0"/>
              <w:jc w:val="center"/>
              <w:rPr>
                <w:rFonts w:hint="eastAsia" w:ascii="宋体" w:hAnsi="宋体" w:eastAsia="宋体" w:cs="宋体"/>
                <w:color w:val="auto"/>
                <w:kern w:val="0"/>
                <w:szCs w:val="24"/>
                <w:highlight w:val="none"/>
              </w:rPr>
            </w:pPr>
          </w:p>
          <w:p w14:paraId="1D4D397D">
            <w:pPr>
              <w:spacing w:beforeLines="50"/>
              <w:ind w:right="113" w:rightChars="0"/>
              <w:jc w:val="center"/>
              <w:rPr>
                <w:rFonts w:hint="eastAsia" w:ascii="宋体" w:hAnsi="宋体" w:eastAsia="宋体" w:cs="宋体"/>
                <w:color w:val="auto"/>
                <w:szCs w:val="21"/>
                <w:highlight w:val="none"/>
              </w:rPr>
            </w:pPr>
            <w:r>
              <w:rPr>
                <w:rFonts w:hint="eastAsia" w:ascii="宋体" w:hAnsi="宋体" w:eastAsia="宋体" w:cs="宋体"/>
                <w:color w:val="auto"/>
                <w:kern w:val="0"/>
                <w:szCs w:val="24"/>
                <w:highlight w:val="none"/>
              </w:rPr>
              <w:t>技术部分评分标准</w:t>
            </w:r>
            <w:r>
              <w:rPr>
                <w:rFonts w:hint="eastAsia" w:ascii="宋体" w:hAnsi="宋体" w:eastAsia="宋体" w:cs="宋体"/>
                <w:color w:val="auto"/>
                <w:kern w:val="0"/>
                <w:szCs w:val="24"/>
                <w:highlight w:val="none"/>
                <w:lang w:eastAsia="zh-CN"/>
              </w:rPr>
              <w:t>（</w:t>
            </w:r>
            <w:r>
              <w:rPr>
                <w:rFonts w:hint="eastAsia" w:ascii="宋体" w:hAnsi="宋体" w:eastAsia="宋体" w:cs="宋体"/>
                <w:color w:val="auto"/>
                <w:kern w:val="0"/>
                <w:szCs w:val="24"/>
                <w:highlight w:val="none"/>
                <w:lang w:val="en-US" w:eastAsia="zh-CN"/>
              </w:rPr>
              <w:t>50分</w:t>
            </w:r>
            <w:r>
              <w:rPr>
                <w:rFonts w:hint="eastAsia" w:ascii="宋体" w:hAnsi="宋体" w:eastAsia="宋体" w:cs="宋体"/>
                <w:color w:val="auto"/>
                <w:kern w:val="0"/>
                <w:szCs w:val="24"/>
                <w:highlight w:val="none"/>
                <w:lang w:eastAsia="zh-CN"/>
              </w:rPr>
              <w:t>）</w:t>
            </w:r>
          </w:p>
        </w:tc>
        <w:tc>
          <w:tcPr>
            <w:tcW w:w="1082" w:type="dxa"/>
            <w:vAlign w:val="center"/>
          </w:tcPr>
          <w:p w14:paraId="7F857AB5">
            <w:pPr>
              <w:widowControl/>
              <w:snapToGrid w:val="0"/>
              <w:spacing w:line="240" w:lineRule="atLeast"/>
              <w:jc w:val="center"/>
              <w:rPr>
                <w:rFonts w:hint="eastAsia" w:ascii="宋体" w:hAnsi="宋体" w:eastAsia="宋体" w:cs="宋体"/>
                <w:color w:val="auto"/>
                <w:highlight w:val="none"/>
                <w:lang w:val="en-US" w:eastAsia="zh-CN"/>
              </w:rPr>
            </w:pPr>
            <w:r>
              <w:rPr>
                <w:rFonts w:hint="eastAsia" w:ascii="宋体" w:hAnsi="宋体" w:eastAsia="宋体" w:cs="宋体"/>
                <w:color w:val="auto"/>
                <w:kern w:val="0"/>
                <w:szCs w:val="24"/>
                <w:highlight w:val="none"/>
                <w:lang w:val="en-US" w:eastAsia="zh-CN"/>
              </w:rPr>
              <w:t>质量保障措施（20分）</w:t>
            </w:r>
          </w:p>
        </w:tc>
        <w:tc>
          <w:tcPr>
            <w:tcW w:w="6288" w:type="dxa"/>
            <w:vAlign w:val="center"/>
          </w:tcPr>
          <w:p w14:paraId="6F4AD55C">
            <w:pPr>
              <w:widowControl/>
              <w:snapToGrid w:val="0"/>
              <w:spacing w:line="240" w:lineRule="atLeas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提供明确的质量保障措施以及承诺出现质量问题相应的处罚措施详细合理、内容完整、可行的得20分；质量承诺及出现质量问题相应的处罚措施较详细合理、内容较完整、可行的得15分；质量承诺及出现质量问题相应的处罚措施</w:t>
            </w:r>
            <w:r>
              <w:rPr>
                <w:rFonts w:hint="eastAsia" w:ascii="宋体" w:hAnsi="宋体" w:eastAsia="宋体" w:cs="宋体"/>
                <w:color w:val="auto"/>
                <w:highlight w:val="none"/>
              </w:rPr>
              <w:t>不够详细合理，缺乏可行性，得</w:t>
            </w:r>
            <w:r>
              <w:rPr>
                <w:rFonts w:hint="eastAsia" w:ascii="宋体" w:hAnsi="宋体" w:eastAsia="宋体" w:cs="宋体"/>
                <w:color w:val="auto"/>
                <w:highlight w:val="none"/>
                <w:lang w:val="en-US" w:eastAsia="zh-CN"/>
              </w:rPr>
              <w:t>10分；未提供得0分。</w:t>
            </w:r>
          </w:p>
        </w:tc>
      </w:tr>
      <w:tr w14:paraId="07AD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853" w:type="dxa"/>
            <w:vMerge w:val="continue"/>
            <w:vAlign w:val="center"/>
          </w:tcPr>
          <w:p w14:paraId="1997DC4D">
            <w:pPr>
              <w:ind w:right="113"/>
              <w:rPr>
                <w:rFonts w:hint="eastAsia" w:ascii="宋体" w:hAnsi="宋体" w:eastAsia="宋体" w:cs="宋体"/>
                <w:color w:val="auto"/>
                <w:szCs w:val="21"/>
                <w:highlight w:val="none"/>
              </w:rPr>
            </w:pPr>
          </w:p>
        </w:tc>
        <w:tc>
          <w:tcPr>
            <w:tcW w:w="1076" w:type="dxa"/>
            <w:vMerge w:val="continue"/>
            <w:vAlign w:val="center"/>
          </w:tcPr>
          <w:p w14:paraId="7A849003">
            <w:pPr>
              <w:spacing w:beforeLines="50"/>
              <w:ind w:right="113"/>
              <w:jc w:val="center"/>
              <w:rPr>
                <w:rFonts w:hint="eastAsia" w:ascii="宋体" w:hAnsi="宋体" w:eastAsia="宋体" w:cs="宋体"/>
                <w:color w:val="auto"/>
                <w:szCs w:val="21"/>
                <w:highlight w:val="none"/>
              </w:rPr>
            </w:pPr>
          </w:p>
        </w:tc>
        <w:tc>
          <w:tcPr>
            <w:tcW w:w="1082" w:type="dxa"/>
            <w:vAlign w:val="center"/>
          </w:tcPr>
          <w:p w14:paraId="34A09C3E">
            <w:pPr>
              <w:widowControl/>
              <w:snapToGrid w:val="0"/>
              <w:spacing w:line="240" w:lineRule="atLeast"/>
              <w:jc w:val="center"/>
              <w:rPr>
                <w:rFonts w:hint="eastAsia" w:ascii="宋体" w:hAnsi="宋体" w:eastAsia="宋体" w:cs="宋体"/>
                <w:color w:val="auto"/>
                <w:highlight w:val="none"/>
                <w:lang w:val="en-US" w:eastAsia="zh-CN"/>
              </w:rPr>
            </w:pPr>
            <w:r>
              <w:rPr>
                <w:rFonts w:hint="eastAsia" w:ascii="宋体" w:hAnsi="宋体" w:eastAsia="宋体" w:cs="宋体"/>
                <w:color w:val="auto"/>
                <w:kern w:val="0"/>
                <w:szCs w:val="24"/>
                <w:highlight w:val="none"/>
                <w:lang w:val="en-US" w:eastAsia="zh-CN"/>
              </w:rPr>
              <w:t>应急供货方案（15分）</w:t>
            </w:r>
          </w:p>
        </w:tc>
        <w:tc>
          <w:tcPr>
            <w:tcW w:w="6288" w:type="dxa"/>
            <w:vAlign w:val="center"/>
          </w:tcPr>
          <w:p w14:paraId="5530E086">
            <w:pPr>
              <w:widowControl/>
              <w:snapToGrid w:val="0"/>
              <w:spacing w:line="240" w:lineRule="atLeast"/>
              <w:jc w:val="left"/>
              <w:rPr>
                <w:rFonts w:hint="eastAsia" w:ascii="宋体" w:hAnsi="宋体" w:eastAsia="宋体" w:cs="宋体"/>
                <w:color w:val="auto"/>
                <w:highlight w:val="none"/>
              </w:rPr>
            </w:pPr>
            <w:r>
              <w:rPr>
                <w:rFonts w:hint="eastAsia" w:ascii="宋体" w:hAnsi="宋体" w:eastAsia="宋体" w:cs="宋体"/>
                <w:color w:val="auto"/>
                <w:highlight w:val="none"/>
              </w:rPr>
              <w:t>针对</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提供的突发情况、应急保障（含应急响应时间承诺）</w:t>
            </w:r>
          </w:p>
          <w:p w14:paraId="1822C382">
            <w:pPr>
              <w:widowControl/>
              <w:snapToGrid w:val="0"/>
              <w:spacing w:line="240" w:lineRule="atLeast"/>
              <w:jc w:val="left"/>
              <w:rPr>
                <w:rFonts w:hint="eastAsia" w:ascii="宋体" w:hAnsi="宋体" w:eastAsia="宋体" w:cs="宋体"/>
                <w:color w:val="auto"/>
                <w:highlight w:val="none"/>
              </w:rPr>
            </w:pPr>
            <w:r>
              <w:rPr>
                <w:rFonts w:hint="eastAsia" w:ascii="宋体" w:hAnsi="宋体" w:eastAsia="宋体" w:cs="宋体"/>
                <w:color w:val="auto"/>
                <w:highlight w:val="none"/>
              </w:rPr>
              <w:t>或节假日应急供货方案具体情况进行综合评价，应急供货方案详</w:t>
            </w:r>
          </w:p>
          <w:p w14:paraId="1F8CE91B">
            <w:pPr>
              <w:widowControl/>
              <w:snapToGrid w:val="0"/>
              <w:spacing w:line="240" w:lineRule="atLeas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细合理可行，能保障医院需求的，得</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分；方案较详细合理，具有一定可行性，得</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分；方案不够详细合理，缺乏可行性，得</w:t>
            </w:r>
            <w:r>
              <w:rPr>
                <w:rFonts w:hint="eastAsia" w:ascii="宋体" w:hAnsi="宋体" w:eastAsia="宋体" w:cs="宋体"/>
                <w:color w:val="auto"/>
                <w:highlight w:val="none"/>
                <w:lang w:val="en-US" w:eastAsia="zh-CN"/>
              </w:rPr>
              <w:t>5分；未提供得0分。</w:t>
            </w:r>
          </w:p>
        </w:tc>
      </w:tr>
      <w:tr w14:paraId="688D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853" w:type="dxa"/>
            <w:vMerge w:val="continue"/>
            <w:vAlign w:val="center"/>
          </w:tcPr>
          <w:p w14:paraId="2D1BBB02">
            <w:pPr>
              <w:ind w:right="113"/>
              <w:rPr>
                <w:rFonts w:hint="eastAsia" w:ascii="宋体" w:hAnsi="宋体" w:eastAsia="宋体" w:cs="宋体"/>
                <w:color w:val="auto"/>
                <w:szCs w:val="21"/>
                <w:highlight w:val="none"/>
              </w:rPr>
            </w:pPr>
          </w:p>
        </w:tc>
        <w:tc>
          <w:tcPr>
            <w:tcW w:w="1076" w:type="dxa"/>
            <w:vMerge w:val="continue"/>
            <w:vAlign w:val="center"/>
          </w:tcPr>
          <w:p w14:paraId="47012BCA">
            <w:pPr>
              <w:spacing w:beforeLines="50"/>
              <w:ind w:right="113"/>
              <w:jc w:val="center"/>
              <w:rPr>
                <w:rFonts w:hint="eastAsia" w:ascii="宋体" w:hAnsi="宋体" w:eastAsia="宋体" w:cs="宋体"/>
                <w:color w:val="auto"/>
                <w:szCs w:val="21"/>
                <w:highlight w:val="none"/>
              </w:rPr>
            </w:pPr>
          </w:p>
        </w:tc>
        <w:tc>
          <w:tcPr>
            <w:tcW w:w="1082" w:type="dxa"/>
            <w:vAlign w:val="center"/>
          </w:tcPr>
          <w:p w14:paraId="78694BB0">
            <w:pPr>
              <w:widowControl/>
              <w:snapToGrid w:val="0"/>
              <w:spacing w:line="240" w:lineRule="atLeast"/>
              <w:jc w:val="center"/>
              <w:rPr>
                <w:rFonts w:hint="eastAsia" w:ascii="宋体" w:hAnsi="宋体" w:eastAsia="宋体" w:cs="宋体"/>
                <w:color w:val="auto"/>
                <w:highlight w:val="none"/>
                <w:lang w:val="en-US" w:eastAsia="zh-CN"/>
              </w:rPr>
            </w:pPr>
            <w:r>
              <w:rPr>
                <w:rFonts w:hint="eastAsia" w:ascii="宋体" w:hAnsi="宋体" w:eastAsia="宋体" w:cs="宋体"/>
                <w:color w:val="auto"/>
                <w:kern w:val="0"/>
                <w:szCs w:val="24"/>
                <w:highlight w:val="none"/>
                <w:lang w:val="en-US" w:eastAsia="zh-CN"/>
              </w:rPr>
              <w:t>售后服务（15分）</w:t>
            </w:r>
          </w:p>
        </w:tc>
        <w:tc>
          <w:tcPr>
            <w:tcW w:w="6288" w:type="dxa"/>
            <w:vAlign w:val="center"/>
          </w:tcPr>
          <w:p w14:paraId="0AB411EF">
            <w:pPr>
              <w:widowControl/>
              <w:snapToGrid w:val="0"/>
              <w:spacing w:line="240" w:lineRule="atLeas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售后服务方案应包含售后响应时间、售后流程、产品培训、技术支持、售后措施等内容，方案全面、完</w:t>
            </w:r>
            <w:r>
              <w:rPr>
                <w:rFonts w:hint="eastAsia" w:ascii="宋体" w:hAnsi="宋体" w:eastAsia="宋体" w:cs="宋体"/>
                <w:color w:val="auto"/>
                <w:highlight w:val="none"/>
                <w:lang w:val="en-US" w:eastAsia="zh-CN"/>
              </w:rPr>
              <w:t>善、合理，针</w:t>
            </w:r>
            <w:r>
              <w:rPr>
                <w:rFonts w:hint="eastAsia" w:ascii="宋体" w:hAnsi="宋体" w:eastAsia="宋体" w:cs="宋体"/>
                <w:color w:val="auto"/>
                <w:highlight w:val="none"/>
              </w:rPr>
              <w:t>对招标人及项目的实际需求得</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分；方案</w:t>
            </w:r>
            <w:r>
              <w:rPr>
                <w:rFonts w:hint="eastAsia" w:ascii="宋体" w:hAnsi="宋体" w:eastAsia="宋体" w:cs="宋体"/>
                <w:color w:val="auto"/>
                <w:highlight w:val="none"/>
                <w:lang w:val="en-US" w:eastAsia="zh-CN"/>
              </w:rPr>
              <w:t>较全面、完善、合理，能够较</w:t>
            </w:r>
            <w:r>
              <w:rPr>
                <w:rFonts w:hint="eastAsia" w:ascii="宋体" w:hAnsi="宋体" w:eastAsia="宋体" w:cs="宋体"/>
                <w:color w:val="auto"/>
                <w:highlight w:val="none"/>
              </w:rPr>
              <w:t>合招标人及项目的实际需求得</w:t>
            </w:r>
            <w:r>
              <w:rPr>
                <w:rFonts w:hint="eastAsia" w:ascii="宋体" w:hAnsi="宋体" w:eastAsia="宋体" w:cs="宋体"/>
                <w:color w:val="auto"/>
                <w:highlight w:val="none"/>
                <w:lang w:val="en-US" w:eastAsia="zh-CN"/>
              </w:rPr>
              <w:t>10分；</w:t>
            </w:r>
            <w:r>
              <w:rPr>
                <w:rFonts w:hint="eastAsia" w:ascii="宋体" w:hAnsi="宋体" w:eastAsia="宋体" w:cs="宋体"/>
                <w:color w:val="auto"/>
                <w:highlight w:val="none"/>
              </w:rPr>
              <w:t>方案内容不完整，没有贴合招标人及项目的实际需求得</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w:t>
            </w:r>
            <w:r>
              <w:rPr>
                <w:rFonts w:hint="eastAsia" w:ascii="宋体" w:hAnsi="宋体" w:eastAsia="宋体" w:cs="宋体"/>
                <w:color w:val="auto"/>
                <w:highlight w:val="none"/>
                <w:lang w:val="en-US" w:eastAsia="zh-CN"/>
              </w:rPr>
              <w:t>未提供</w:t>
            </w:r>
            <w:r>
              <w:rPr>
                <w:rFonts w:hint="eastAsia" w:ascii="宋体" w:hAnsi="宋体" w:eastAsia="宋体" w:cs="宋体"/>
                <w:color w:val="auto"/>
                <w:highlight w:val="none"/>
              </w:rPr>
              <w:t>得0分。</w:t>
            </w:r>
          </w:p>
        </w:tc>
      </w:tr>
      <w:tr w14:paraId="43BCB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trPr>
        <w:tc>
          <w:tcPr>
            <w:tcW w:w="853" w:type="dxa"/>
            <w:vAlign w:val="center"/>
          </w:tcPr>
          <w:p w14:paraId="733AF8B8">
            <w:pPr>
              <w:autoSpaceDE w:val="0"/>
              <w:autoSpaceDN w:val="0"/>
              <w:adjustRightIn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1</w:t>
            </w:r>
          </w:p>
        </w:tc>
        <w:tc>
          <w:tcPr>
            <w:tcW w:w="1076" w:type="dxa"/>
            <w:vAlign w:val="center"/>
          </w:tcPr>
          <w:p w14:paraId="7B527FCD">
            <w:pPr>
              <w:spacing w:beforeLines="50" w:line="3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最终得分的确定办法</w:t>
            </w:r>
          </w:p>
        </w:tc>
        <w:tc>
          <w:tcPr>
            <w:tcW w:w="7370" w:type="dxa"/>
            <w:gridSpan w:val="2"/>
            <w:vAlign w:val="center"/>
          </w:tcPr>
          <w:p w14:paraId="441A35EB">
            <w:pPr>
              <w:spacing w:beforeLines="50" w:line="3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投标的最终得分为各评委所评定分数的算术平均值，各项统计、评分结果均按四舍五入方法精确到小数点后二位。</w:t>
            </w:r>
          </w:p>
        </w:tc>
      </w:tr>
      <w:tr w14:paraId="49ED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853" w:type="dxa"/>
            <w:vAlign w:val="center"/>
          </w:tcPr>
          <w:p w14:paraId="28E20B13">
            <w:pPr>
              <w:autoSpaceDE w:val="0"/>
              <w:autoSpaceDN w:val="0"/>
              <w:adjustRightIn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3.1.2</w:t>
            </w:r>
          </w:p>
        </w:tc>
        <w:tc>
          <w:tcPr>
            <w:tcW w:w="8446" w:type="dxa"/>
            <w:gridSpan w:val="3"/>
            <w:vAlign w:val="center"/>
          </w:tcPr>
          <w:p w14:paraId="2A493DD2">
            <w:pPr>
              <w:spacing w:beforeLines="50" w:line="3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不得存在的其他情形：</w:t>
            </w:r>
          </w:p>
          <w:p w14:paraId="5E9EFD61">
            <w:pPr>
              <w:spacing w:beforeLines="50" w:line="3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(1)串通投标或弄虚作假或有其他违法行为的；</w:t>
            </w:r>
          </w:p>
          <w:p w14:paraId="3DEACF44">
            <w:pPr>
              <w:spacing w:beforeLines="50" w:line="3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(2)不按评标委员会要求澄清、说明或补正的；</w:t>
            </w:r>
          </w:p>
        </w:tc>
      </w:tr>
    </w:tbl>
    <w:p w14:paraId="3E6773AF">
      <w:pPr>
        <w:pStyle w:val="4"/>
        <w:spacing w:before="0" w:after="0" w:line="360" w:lineRule="auto"/>
        <w:rPr>
          <w:rFonts w:hint="eastAsia" w:ascii="宋体" w:hAnsi="宋体" w:eastAsia="宋体" w:cs="宋体"/>
          <w:color w:val="auto"/>
          <w:sz w:val="24"/>
          <w:szCs w:val="24"/>
          <w:highlight w:val="none"/>
        </w:rPr>
      </w:pPr>
      <w:bookmarkStart w:id="593" w:name="_Toc28686"/>
      <w:bookmarkStart w:id="594" w:name="_Toc17909"/>
      <w:bookmarkStart w:id="595" w:name="_Toc6259"/>
      <w:bookmarkStart w:id="596" w:name="_Toc7535"/>
      <w:bookmarkStart w:id="597" w:name="_Toc439764639"/>
      <w:bookmarkStart w:id="598" w:name="_Toc387647245"/>
      <w:bookmarkStart w:id="599" w:name="_Toc24533"/>
      <w:bookmarkStart w:id="600" w:name="_Toc17269"/>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.评标方法</w:t>
      </w:r>
      <w:bookmarkEnd w:id="593"/>
      <w:bookmarkEnd w:id="594"/>
      <w:bookmarkEnd w:id="595"/>
      <w:bookmarkEnd w:id="596"/>
      <w:bookmarkEnd w:id="597"/>
      <w:bookmarkEnd w:id="598"/>
      <w:bookmarkEnd w:id="599"/>
      <w:bookmarkEnd w:id="600"/>
    </w:p>
    <w:p w14:paraId="7F60EAC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本次评标采用综合评分法。评标委员会对满足招标文件实质性要求的投标文件，按照本章第2.2款规定的评分标准进行打分，并按得分由高到低顺序推荐</w:t>
      </w:r>
      <w:r>
        <w:rPr>
          <w:rFonts w:hint="eastAsia" w:ascii="宋体" w:hAnsi="宋体" w:eastAsia="宋体" w:cs="宋体"/>
          <w:color w:val="auto"/>
          <w:sz w:val="24"/>
          <w:szCs w:val="24"/>
          <w:highlight w:val="none"/>
          <w:lang w:val="en-US" w:eastAsia="zh-CN"/>
        </w:rPr>
        <w:t>入围供应商</w:t>
      </w:r>
      <w:r>
        <w:rPr>
          <w:rFonts w:hint="eastAsia" w:ascii="宋体" w:hAnsi="宋体" w:eastAsia="宋体" w:cs="宋体"/>
          <w:color w:val="auto"/>
          <w:sz w:val="24"/>
          <w:szCs w:val="24"/>
          <w:highlight w:val="none"/>
        </w:rPr>
        <w:t>。综合评分相等时，</w:t>
      </w:r>
      <w:r>
        <w:rPr>
          <w:rFonts w:hint="eastAsia" w:ascii="宋体" w:hAnsi="宋体" w:eastAsia="宋体" w:cs="宋体"/>
          <w:color w:val="auto"/>
          <w:sz w:val="24"/>
          <w:szCs w:val="24"/>
          <w:highlight w:val="none"/>
          <w:lang w:val="en-US" w:eastAsia="zh-CN"/>
        </w:rPr>
        <w:t>同时确定入围供应商</w:t>
      </w:r>
      <w:r>
        <w:rPr>
          <w:rFonts w:hint="eastAsia" w:ascii="宋体" w:hAnsi="宋体" w:eastAsia="宋体" w:cs="宋体"/>
          <w:color w:val="auto"/>
          <w:sz w:val="24"/>
          <w:szCs w:val="24"/>
          <w:highlight w:val="none"/>
        </w:rPr>
        <w:t>。</w:t>
      </w:r>
    </w:p>
    <w:p w14:paraId="045841A7">
      <w:pPr>
        <w:pStyle w:val="4"/>
        <w:spacing w:before="0" w:after="0" w:line="360" w:lineRule="auto"/>
        <w:rPr>
          <w:rFonts w:hint="eastAsia" w:ascii="宋体" w:hAnsi="宋体" w:eastAsia="宋体" w:cs="宋体"/>
          <w:color w:val="auto"/>
          <w:sz w:val="24"/>
          <w:szCs w:val="24"/>
          <w:highlight w:val="none"/>
        </w:rPr>
      </w:pPr>
      <w:bookmarkStart w:id="601" w:name="_Toc387647246"/>
      <w:bookmarkStart w:id="602" w:name="_Toc32381"/>
      <w:bookmarkStart w:id="603" w:name="_Toc439764640"/>
      <w:bookmarkStart w:id="604" w:name="_Toc4669"/>
      <w:bookmarkStart w:id="605" w:name="_Toc19618"/>
      <w:bookmarkStart w:id="606" w:name="_Toc1551"/>
      <w:bookmarkStart w:id="607" w:name="_Toc183492178"/>
      <w:bookmarkStart w:id="608" w:name="_Toc628"/>
      <w:bookmarkStart w:id="609" w:name="_Toc11177"/>
      <w:r>
        <w:rPr>
          <w:rFonts w:hint="eastAsia" w:ascii="宋体" w:hAnsi="宋体" w:eastAsia="宋体" w:cs="宋体"/>
          <w:color w:val="auto"/>
          <w:sz w:val="24"/>
          <w:szCs w:val="24"/>
          <w:highlight w:val="none"/>
        </w:rPr>
        <w:t>2.评审标准</w:t>
      </w:r>
      <w:bookmarkEnd w:id="601"/>
      <w:bookmarkEnd w:id="602"/>
      <w:bookmarkEnd w:id="603"/>
      <w:bookmarkEnd w:id="604"/>
      <w:bookmarkEnd w:id="605"/>
      <w:bookmarkEnd w:id="606"/>
      <w:bookmarkEnd w:id="607"/>
      <w:bookmarkEnd w:id="608"/>
      <w:bookmarkEnd w:id="609"/>
    </w:p>
    <w:p w14:paraId="556A6826">
      <w:pPr>
        <w:pStyle w:val="35"/>
        <w:spacing w:line="360" w:lineRule="auto"/>
        <w:rPr>
          <w:rFonts w:hint="eastAsia" w:ascii="宋体" w:hAnsi="宋体" w:eastAsia="宋体" w:cs="宋体"/>
          <w:color w:val="auto"/>
          <w:sz w:val="24"/>
          <w:szCs w:val="24"/>
          <w:highlight w:val="none"/>
        </w:rPr>
      </w:pPr>
      <w:bookmarkStart w:id="610" w:name="_Toc12544"/>
      <w:bookmarkStart w:id="611" w:name="_Toc183492179"/>
      <w:bookmarkStart w:id="612" w:name="_Toc16414"/>
      <w:bookmarkStart w:id="613" w:name="_Toc439764641"/>
      <w:bookmarkStart w:id="614" w:name="_Toc29633"/>
      <w:bookmarkStart w:id="615" w:name="_Toc387647247"/>
      <w:bookmarkStart w:id="616" w:name="_Toc14722"/>
      <w:bookmarkStart w:id="617" w:name="_Toc17800"/>
      <w:bookmarkStart w:id="618" w:name="_Toc20246"/>
      <w:r>
        <w:rPr>
          <w:rFonts w:hint="eastAsia" w:ascii="宋体" w:hAnsi="宋体" w:eastAsia="宋体" w:cs="宋体"/>
          <w:b/>
          <w:bCs/>
          <w:color w:val="auto"/>
          <w:sz w:val="24"/>
          <w:szCs w:val="24"/>
          <w:highlight w:val="none"/>
        </w:rPr>
        <w:t>2.1初步评审标准</w:t>
      </w:r>
      <w:bookmarkEnd w:id="610"/>
      <w:bookmarkEnd w:id="611"/>
      <w:bookmarkEnd w:id="612"/>
      <w:bookmarkEnd w:id="613"/>
      <w:bookmarkEnd w:id="614"/>
      <w:bookmarkEnd w:id="615"/>
      <w:bookmarkEnd w:id="616"/>
      <w:bookmarkEnd w:id="617"/>
      <w:bookmarkEnd w:id="618"/>
    </w:p>
    <w:p w14:paraId="544E9B2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资格评审标准：见评标办法前附表。</w:t>
      </w:r>
    </w:p>
    <w:p w14:paraId="7A3398D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2.1.</w:t>
      </w:r>
      <w:r>
        <w:rPr>
          <w:rFonts w:hint="eastAsia" w:ascii="宋体" w:hAnsi="宋体" w:eastAsia="宋体" w:cs="宋体"/>
          <w:color w:val="auto"/>
          <w:sz w:val="24"/>
          <w:szCs w:val="24"/>
          <w:highlight w:val="none"/>
          <w:lang w:val="en-US" w:eastAsia="zh-CN"/>
        </w:rPr>
        <w:t>2符合</w:t>
      </w:r>
      <w:r>
        <w:rPr>
          <w:rFonts w:hint="eastAsia" w:ascii="宋体" w:hAnsi="宋体" w:eastAsia="宋体" w:cs="宋体"/>
          <w:color w:val="auto"/>
          <w:sz w:val="24"/>
          <w:szCs w:val="24"/>
          <w:highlight w:val="none"/>
        </w:rPr>
        <w:t>性评审标准：见评标办法前附表。</w:t>
      </w:r>
    </w:p>
    <w:p w14:paraId="0748DD18">
      <w:pPr>
        <w:pStyle w:val="35"/>
        <w:spacing w:line="360" w:lineRule="auto"/>
        <w:rPr>
          <w:rFonts w:hint="eastAsia" w:ascii="宋体" w:hAnsi="宋体" w:eastAsia="宋体" w:cs="宋体"/>
          <w:b/>
          <w:bCs/>
          <w:color w:val="auto"/>
          <w:sz w:val="24"/>
          <w:szCs w:val="24"/>
          <w:highlight w:val="none"/>
        </w:rPr>
      </w:pPr>
      <w:bookmarkStart w:id="619" w:name="_Toc183492180"/>
      <w:bookmarkStart w:id="620" w:name="_Toc439764642"/>
      <w:bookmarkStart w:id="621" w:name="_Toc28714"/>
      <w:bookmarkStart w:id="622" w:name="_Toc387647248"/>
      <w:bookmarkStart w:id="623" w:name="_Toc13556"/>
      <w:bookmarkStart w:id="624" w:name="_Toc10440"/>
      <w:bookmarkStart w:id="625" w:name="_Toc26142"/>
      <w:bookmarkStart w:id="626" w:name="_Toc12175"/>
      <w:bookmarkStart w:id="627" w:name="_Toc992"/>
      <w:r>
        <w:rPr>
          <w:rFonts w:hint="eastAsia" w:ascii="宋体" w:hAnsi="宋体" w:eastAsia="宋体" w:cs="宋体"/>
          <w:b/>
          <w:bCs/>
          <w:color w:val="auto"/>
          <w:sz w:val="24"/>
          <w:szCs w:val="24"/>
          <w:highlight w:val="none"/>
        </w:rPr>
        <w:t>2.2详细评审标准</w:t>
      </w:r>
      <w:bookmarkEnd w:id="619"/>
      <w:bookmarkEnd w:id="620"/>
      <w:bookmarkEnd w:id="621"/>
      <w:bookmarkEnd w:id="622"/>
      <w:bookmarkEnd w:id="623"/>
      <w:bookmarkEnd w:id="624"/>
      <w:bookmarkEnd w:id="625"/>
      <w:bookmarkEnd w:id="626"/>
      <w:bookmarkEnd w:id="627"/>
    </w:p>
    <w:p w14:paraId="2E19989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2.2.1分值构成</w:t>
      </w:r>
    </w:p>
    <w:p w14:paraId="388A292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部分：见评标办法前附表；</w:t>
      </w:r>
    </w:p>
    <w:p w14:paraId="70B12B8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技术部分</w:t>
      </w:r>
      <w:r>
        <w:rPr>
          <w:rFonts w:hint="eastAsia" w:ascii="宋体" w:hAnsi="宋体" w:eastAsia="宋体" w:cs="宋体"/>
          <w:color w:val="auto"/>
          <w:sz w:val="24"/>
          <w:szCs w:val="24"/>
          <w:highlight w:val="none"/>
        </w:rPr>
        <w:t>：见评标办法前附表；</w:t>
      </w:r>
    </w:p>
    <w:p w14:paraId="2DB4DD3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评分标准</w:t>
      </w:r>
    </w:p>
    <w:p w14:paraId="5ED403F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部分：见评标办法前附表：</w:t>
      </w:r>
    </w:p>
    <w:p w14:paraId="45E34CE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技术部分</w:t>
      </w:r>
      <w:r>
        <w:rPr>
          <w:rFonts w:hint="eastAsia" w:ascii="宋体" w:hAnsi="宋体" w:eastAsia="宋体" w:cs="宋体"/>
          <w:color w:val="auto"/>
          <w:sz w:val="24"/>
          <w:szCs w:val="24"/>
          <w:highlight w:val="none"/>
        </w:rPr>
        <w:t>：见评标办法前附表；</w:t>
      </w:r>
    </w:p>
    <w:p w14:paraId="6CD24C62">
      <w:pPr>
        <w:pStyle w:val="4"/>
        <w:spacing w:before="0" w:after="0" w:line="360" w:lineRule="auto"/>
        <w:rPr>
          <w:rFonts w:hint="eastAsia" w:ascii="宋体" w:hAnsi="宋体" w:eastAsia="宋体" w:cs="宋体"/>
          <w:color w:val="auto"/>
          <w:sz w:val="24"/>
          <w:szCs w:val="24"/>
          <w:highlight w:val="none"/>
        </w:rPr>
      </w:pPr>
      <w:bookmarkStart w:id="628" w:name="_Toc18450"/>
      <w:bookmarkStart w:id="629" w:name="_Toc439764643"/>
      <w:bookmarkStart w:id="630" w:name="_Toc22765"/>
      <w:bookmarkStart w:id="631" w:name="_Toc387647249"/>
      <w:bookmarkStart w:id="632" w:name="_Toc14270"/>
      <w:bookmarkStart w:id="633" w:name="_Toc3592"/>
      <w:bookmarkStart w:id="634" w:name="_Toc20322"/>
      <w:bookmarkStart w:id="635" w:name="_Toc183492181"/>
      <w:bookmarkStart w:id="636" w:name="_Toc4667"/>
      <w:r>
        <w:rPr>
          <w:rFonts w:hint="eastAsia" w:ascii="宋体" w:hAnsi="宋体" w:eastAsia="宋体" w:cs="宋体"/>
          <w:color w:val="auto"/>
          <w:sz w:val="24"/>
          <w:szCs w:val="24"/>
          <w:highlight w:val="none"/>
        </w:rPr>
        <w:t>3.评标程序</w:t>
      </w:r>
      <w:bookmarkEnd w:id="628"/>
      <w:bookmarkEnd w:id="629"/>
      <w:bookmarkEnd w:id="630"/>
      <w:bookmarkEnd w:id="631"/>
      <w:bookmarkEnd w:id="632"/>
      <w:bookmarkEnd w:id="633"/>
      <w:bookmarkEnd w:id="634"/>
      <w:bookmarkEnd w:id="635"/>
      <w:bookmarkEnd w:id="636"/>
    </w:p>
    <w:p w14:paraId="7588322A">
      <w:pPr>
        <w:pStyle w:val="35"/>
        <w:spacing w:line="360" w:lineRule="auto"/>
        <w:rPr>
          <w:rFonts w:hint="eastAsia" w:ascii="宋体" w:hAnsi="宋体" w:eastAsia="宋体" w:cs="宋体"/>
          <w:b/>
          <w:bCs/>
          <w:color w:val="auto"/>
          <w:sz w:val="24"/>
          <w:szCs w:val="24"/>
          <w:highlight w:val="none"/>
        </w:rPr>
      </w:pPr>
      <w:bookmarkStart w:id="637" w:name="_Toc15871"/>
      <w:bookmarkStart w:id="638" w:name="_Toc16945"/>
      <w:bookmarkStart w:id="639" w:name="_Toc16482"/>
      <w:bookmarkStart w:id="640" w:name="_Toc387647250"/>
      <w:bookmarkStart w:id="641" w:name="_Toc18423"/>
      <w:bookmarkStart w:id="642" w:name="_Toc4189"/>
      <w:bookmarkStart w:id="643" w:name="_Toc439764644"/>
      <w:bookmarkStart w:id="644" w:name="_Toc183492182"/>
      <w:bookmarkStart w:id="645" w:name="_Toc14129"/>
      <w:r>
        <w:rPr>
          <w:rFonts w:hint="eastAsia" w:ascii="宋体" w:hAnsi="宋体" w:eastAsia="宋体" w:cs="宋体"/>
          <w:b/>
          <w:bCs/>
          <w:color w:val="auto"/>
          <w:sz w:val="24"/>
          <w:szCs w:val="24"/>
          <w:highlight w:val="none"/>
        </w:rPr>
        <w:t>3.1初步评审</w:t>
      </w:r>
      <w:bookmarkEnd w:id="637"/>
      <w:bookmarkEnd w:id="638"/>
      <w:bookmarkEnd w:id="639"/>
      <w:bookmarkEnd w:id="640"/>
      <w:bookmarkEnd w:id="641"/>
      <w:bookmarkEnd w:id="642"/>
      <w:bookmarkEnd w:id="643"/>
      <w:bookmarkEnd w:id="644"/>
      <w:bookmarkEnd w:id="645"/>
    </w:p>
    <w:p w14:paraId="51DC482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3.1.1评标委员会可以要求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提交第二章“</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须知”第10.1.1项规定的有关证明和证件，以便核验。评标委员会依据本章第2.1款规定的标准对投标文件进行初步评审。有一项不符合评审标准的，评标委员会应当否决其投标。（适用于未进行资格预审的）</w:t>
      </w:r>
    </w:p>
    <w:p w14:paraId="55AEFEC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3.1.2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有以下情形之一的，评标委员会应当否决其投标：</w:t>
      </w:r>
    </w:p>
    <w:p w14:paraId="7A4ED3C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（1）第二章“</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须知”第1.4.3项规定的任何一种情形的；</w:t>
      </w:r>
    </w:p>
    <w:p w14:paraId="709344A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（2）第二章“</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须知”第1.4.4项规定的任何一种情形的；</w:t>
      </w:r>
    </w:p>
    <w:p w14:paraId="3054CD1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（3）串通投标或弄虚作假或有其他违法行为的；其中</w:t>
      </w:r>
    </w:p>
    <w:p w14:paraId="452BA837">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相互串通投标：</w:t>
      </w:r>
    </w:p>
    <w:p w14:paraId="0B121086">
      <w:pPr>
        <w:spacing w:line="360" w:lineRule="auto"/>
        <w:ind w:left="0" w:leftChars="0" w:firstLine="638" w:firstLineChars="26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的投标文件由同一单位或者个人编制；</w:t>
      </w:r>
    </w:p>
    <w:p w14:paraId="04FD559C">
      <w:pPr>
        <w:spacing w:line="360" w:lineRule="auto"/>
        <w:ind w:left="0" w:leftChars="0" w:firstLine="638" w:firstLineChars="26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0B639C6F">
      <w:pPr>
        <w:spacing w:line="360" w:lineRule="auto"/>
        <w:ind w:left="0" w:leftChars="0" w:firstLine="638" w:firstLineChars="26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的投标文件载明的项目管理成员为同一人；</w:t>
      </w:r>
    </w:p>
    <w:p w14:paraId="0BBD023D">
      <w:pPr>
        <w:spacing w:line="360" w:lineRule="auto"/>
        <w:ind w:left="0" w:leftChars="0" w:firstLine="638" w:firstLineChars="26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的投标文件异常一致或者投标报价呈规律性差异；</w:t>
      </w:r>
    </w:p>
    <w:p w14:paraId="5DF60BA5">
      <w:pPr>
        <w:spacing w:line="360" w:lineRule="auto"/>
        <w:ind w:left="0" w:leftChars="0" w:firstLine="638" w:firstLineChars="26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的投标文件相互混装；</w:t>
      </w:r>
    </w:p>
    <w:p w14:paraId="56A4BA37">
      <w:pPr>
        <w:spacing w:line="360" w:lineRule="auto"/>
        <w:ind w:left="0" w:leftChars="0" w:firstLine="638" w:firstLineChars="26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的投标保证金从同一单位或者个人的账户转出。</w:t>
      </w:r>
    </w:p>
    <w:p w14:paraId="066AC14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2）有下列情形之一的，属于弄虚作假行为：</w:t>
      </w:r>
    </w:p>
    <w:p w14:paraId="1E001466">
      <w:pPr>
        <w:spacing w:line="360" w:lineRule="auto"/>
        <w:ind w:left="0" w:leftChars="0" w:firstLine="638" w:firstLineChars="26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①使用通过受让或者租借等方式获取的资格、资质证书投标的，即以他人名义投标的。</w:t>
      </w:r>
    </w:p>
    <w:p w14:paraId="0495B17F">
      <w:pPr>
        <w:spacing w:line="360" w:lineRule="auto"/>
        <w:ind w:left="0" w:leftChars="0" w:firstLine="638" w:firstLineChars="26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②使用伪造、变造的许可证件；</w:t>
      </w:r>
    </w:p>
    <w:p w14:paraId="1E5FA698">
      <w:pPr>
        <w:spacing w:line="360" w:lineRule="auto"/>
        <w:ind w:left="0" w:leftChars="0" w:firstLine="638" w:firstLineChars="26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③提供虚假的财务状况或者业绩；</w:t>
      </w:r>
    </w:p>
    <w:p w14:paraId="3D9754E8">
      <w:pPr>
        <w:spacing w:line="360" w:lineRule="auto"/>
        <w:ind w:left="0" w:leftChars="0" w:firstLine="638" w:firstLineChars="26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④提供虚假的项目负责人或者主要技术人员简历、劳动关系证明；</w:t>
      </w:r>
    </w:p>
    <w:p w14:paraId="0D9947BF">
      <w:pPr>
        <w:spacing w:line="360" w:lineRule="auto"/>
        <w:ind w:left="0" w:leftChars="0" w:firstLine="638" w:firstLineChars="26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⑤提供虚假的信用状况；</w:t>
      </w:r>
    </w:p>
    <w:p w14:paraId="2EF10DD0">
      <w:pPr>
        <w:spacing w:line="360" w:lineRule="auto"/>
        <w:ind w:left="0" w:leftChars="0" w:firstLine="638" w:firstLineChars="26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⑥其他弄虚作假的行为。</w:t>
      </w:r>
    </w:p>
    <w:p w14:paraId="72E981B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（4）不按评标委员会要求澄清、说明或补正的；</w:t>
      </w:r>
    </w:p>
    <w:p w14:paraId="248A646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（5）未对不违法拖欠劳动者工资做出承诺的。</w:t>
      </w:r>
    </w:p>
    <w:p w14:paraId="0731AE2B">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经初步评审合格的投标文件，评标小组应当根据招标文件确定的评标办法，对其作进一步评审、比较、评分，有效投标不足3家时，评标委员会</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否决投标。</w:t>
      </w:r>
    </w:p>
    <w:p w14:paraId="6D27B61D">
      <w:pPr>
        <w:pStyle w:val="35"/>
        <w:spacing w:line="360" w:lineRule="auto"/>
        <w:rPr>
          <w:rFonts w:hint="eastAsia" w:ascii="宋体" w:hAnsi="宋体" w:eastAsia="宋体" w:cs="宋体"/>
          <w:b/>
          <w:bCs/>
          <w:color w:val="auto"/>
          <w:sz w:val="24"/>
          <w:szCs w:val="24"/>
          <w:highlight w:val="none"/>
        </w:rPr>
      </w:pPr>
      <w:bookmarkStart w:id="646" w:name="_Toc31898"/>
      <w:bookmarkStart w:id="647" w:name="_Toc29837"/>
      <w:bookmarkStart w:id="648" w:name="_Toc965"/>
      <w:bookmarkStart w:id="649" w:name="_Toc439764645"/>
      <w:bookmarkStart w:id="650" w:name="_Toc5365"/>
      <w:bookmarkStart w:id="651" w:name="_Toc29593"/>
      <w:bookmarkStart w:id="652" w:name="_Toc387647251"/>
      <w:bookmarkStart w:id="653" w:name="_Toc183492183"/>
      <w:bookmarkStart w:id="654" w:name="_Toc21111"/>
      <w:r>
        <w:rPr>
          <w:rFonts w:hint="eastAsia" w:ascii="宋体" w:hAnsi="宋体" w:eastAsia="宋体" w:cs="宋体"/>
          <w:b/>
          <w:bCs/>
          <w:color w:val="auto"/>
          <w:sz w:val="24"/>
          <w:szCs w:val="24"/>
          <w:highlight w:val="none"/>
        </w:rPr>
        <w:t>3.2详细评审</w:t>
      </w:r>
      <w:bookmarkEnd w:id="646"/>
      <w:bookmarkEnd w:id="647"/>
      <w:bookmarkEnd w:id="648"/>
      <w:bookmarkEnd w:id="649"/>
      <w:bookmarkEnd w:id="650"/>
      <w:bookmarkEnd w:id="651"/>
      <w:bookmarkEnd w:id="652"/>
      <w:bookmarkEnd w:id="653"/>
      <w:bookmarkEnd w:id="654"/>
    </w:p>
    <w:p w14:paraId="0262B7B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3.2.1评标委员会对通过了初步评审的投标文件进行详细评审。</w:t>
      </w:r>
    </w:p>
    <w:p w14:paraId="6CE3A00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3.2.2评标委员会按本章第2.2款规定的量化因素和分值进行打分，并计算出综合评估得分。</w:t>
      </w:r>
    </w:p>
    <w:p w14:paraId="471716F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）按本章第2.2.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）目规定的评审因素和分值对</w:t>
      </w: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部分计算出得分A：</w:t>
      </w:r>
    </w:p>
    <w:p w14:paraId="5216AB2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）按本章第2.2.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）目规定的评审因素和分值对</w:t>
      </w:r>
      <w:r>
        <w:rPr>
          <w:rFonts w:hint="eastAsia" w:ascii="宋体" w:hAnsi="宋体" w:eastAsia="宋体" w:cs="宋体"/>
          <w:color w:val="auto"/>
          <w:sz w:val="24"/>
          <w:szCs w:val="24"/>
          <w:highlight w:val="none"/>
          <w:lang w:val="en-US" w:eastAsia="zh-CN"/>
        </w:rPr>
        <w:t>技术部分</w:t>
      </w:r>
      <w:r>
        <w:rPr>
          <w:rFonts w:hint="eastAsia" w:ascii="宋体" w:hAnsi="宋体" w:eastAsia="宋体" w:cs="宋体"/>
          <w:color w:val="auto"/>
          <w:sz w:val="24"/>
          <w:szCs w:val="24"/>
          <w:highlight w:val="none"/>
        </w:rPr>
        <w:t>计算出得分B；</w:t>
      </w:r>
    </w:p>
    <w:p w14:paraId="3F9F438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3.2.3评分分值计算保留小数点后两位，小数点后第三位“四舍五入”。</w:t>
      </w:r>
    </w:p>
    <w:p w14:paraId="63EEEDB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得分=A+B</w:t>
      </w:r>
    </w:p>
    <w:p w14:paraId="53345C5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3.2.5各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最终得分的确定办法：见评标办法前附表。</w:t>
      </w:r>
    </w:p>
    <w:p w14:paraId="4346D313">
      <w:pPr>
        <w:pStyle w:val="35"/>
        <w:spacing w:line="360" w:lineRule="auto"/>
        <w:rPr>
          <w:rFonts w:hint="eastAsia" w:ascii="宋体" w:hAnsi="宋体" w:eastAsia="宋体" w:cs="宋体"/>
          <w:b/>
          <w:bCs/>
          <w:color w:val="auto"/>
          <w:sz w:val="24"/>
          <w:szCs w:val="24"/>
          <w:highlight w:val="none"/>
        </w:rPr>
      </w:pPr>
      <w:bookmarkStart w:id="655" w:name="_Toc6920"/>
      <w:bookmarkStart w:id="656" w:name="_Toc439764646"/>
      <w:bookmarkStart w:id="657" w:name="_Toc22387"/>
      <w:bookmarkStart w:id="658" w:name="_Toc6520"/>
      <w:bookmarkStart w:id="659" w:name="_Toc387647252"/>
      <w:bookmarkStart w:id="660" w:name="_Toc20425"/>
      <w:bookmarkStart w:id="661" w:name="_Toc183492184"/>
      <w:bookmarkStart w:id="662" w:name="_Toc30779"/>
      <w:bookmarkStart w:id="663" w:name="_Toc13969"/>
      <w:r>
        <w:rPr>
          <w:rFonts w:hint="eastAsia" w:ascii="宋体" w:hAnsi="宋体" w:eastAsia="宋体" w:cs="宋体"/>
          <w:b/>
          <w:bCs/>
          <w:color w:val="auto"/>
          <w:sz w:val="24"/>
          <w:szCs w:val="24"/>
          <w:highlight w:val="none"/>
        </w:rPr>
        <w:t>3.3投标文件的澄清和补正</w:t>
      </w:r>
      <w:bookmarkEnd w:id="655"/>
      <w:bookmarkEnd w:id="656"/>
      <w:bookmarkEnd w:id="657"/>
      <w:bookmarkEnd w:id="658"/>
      <w:bookmarkEnd w:id="659"/>
      <w:bookmarkEnd w:id="660"/>
      <w:bookmarkEnd w:id="661"/>
      <w:bookmarkEnd w:id="662"/>
      <w:bookmarkEnd w:id="663"/>
    </w:p>
    <w:p w14:paraId="526C8B4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3.3.1在评标过程中，评标委员会可以书面形式要求</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对所提交投标文件中不明确的内容进行书面澄清或说明，或者对细微偏差进行补正。评标委员会不接受</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主动提出的澄清、说明或补正。</w:t>
      </w:r>
    </w:p>
    <w:p w14:paraId="2C75231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3.3.2澄清、说明和补正不得改变投标文件的实质性内容（算术性错误修正的除外）。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的书面澄清、说明和补正属于投标文件的组成部分。</w:t>
      </w:r>
    </w:p>
    <w:p w14:paraId="6B059C6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3.3.3评标委员会对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提交的澄清、说明或补正有疑问的，可以要求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进一步澄清、说明或补正，直至满足评标委员会的要求。</w:t>
      </w:r>
    </w:p>
    <w:p w14:paraId="572FDF4C">
      <w:pPr>
        <w:pStyle w:val="35"/>
        <w:spacing w:line="360" w:lineRule="auto"/>
        <w:rPr>
          <w:rFonts w:hint="eastAsia" w:ascii="宋体" w:hAnsi="宋体" w:eastAsia="宋体" w:cs="宋体"/>
          <w:b/>
          <w:bCs/>
          <w:color w:val="auto"/>
          <w:sz w:val="24"/>
          <w:szCs w:val="24"/>
          <w:highlight w:val="none"/>
        </w:rPr>
      </w:pPr>
      <w:bookmarkStart w:id="664" w:name="_Toc30905"/>
      <w:bookmarkStart w:id="665" w:name="_Toc183492185"/>
      <w:bookmarkStart w:id="666" w:name="_Toc439764647"/>
      <w:bookmarkStart w:id="667" w:name="_Toc4739"/>
      <w:bookmarkStart w:id="668" w:name="_Toc541"/>
      <w:bookmarkStart w:id="669" w:name="_Toc18693"/>
      <w:bookmarkStart w:id="670" w:name="_Toc26145"/>
      <w:bookmarkStart w:id="671" w:name="_Toc387647253"/>
      <w:bookmarkStart w:id="672" w:name="_Toc20448"/>
      <w:r>
        <w:rPr>
          <w:rFonts w:hint="eastAsia" w:ascii="宋体" w:hAnsi="宋体" w:eastAsia="宋体" w:cs="宋体"/>
          <w:b/>
          <w:bCs/>
          <w:color w:val="auto"/>
          <w:sz w:val="24"/>
          <w:szCs w:val="24"/>
          <w:highlight w:val="none"/>
        </w:rPr>
        <w:t>3.4评标结果</w:t>
      </w:r>
      <w:bookmarkEnd w:id="664"/>
      <w:bookmarkEnd w:id="665"/>
      <w:bookmarkEnd w:id="666"/>
      <w:bookmarkEnd w:id="667"/>
      <w:bookmarkEnd w:id="668"/>
      <w:bookmarkEnd w:id="669"/>
      <w:bookmarkEnd w:id="670"/>
      <w:bookmarkEnd w:id="671"/>
      <w:bookmarkEnd w:id="672"/>
    </w:p>
    <w:p w14:paraId="08C2685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3.4.1评标委员会按照得分由高到低的顺序推荐</w:t>
      </w:r>
      <w:r>
        <w:rPr>
          <w:rFonts w:hint="eastAsia" w:ascii="宋体" w:hAnsi="宋体" w:eastAsia="宋体" w:cs="宋体"/>
          <w:color w:val="auto"/>
          <w:sz w:val="24"/>
          <w:szCs w:val="24"/>
          <w:highlight w:val="none"/>
          <w:lang w:val="en-US" w:eastAsia="zh-CN"/>
        </w:rPr>
        <w:t>入围供应商</w:t>
      </w:r>
      <w:r>
        <w:rPr>
          <w:rFonts w:hint="eastAsia" w:ascii="宋体" w:hAnsi="宋体" w:eastAsia="宋体" w:cs="宋体"/>
          <w:color w:val="auto"/>
          <w:sz w:val="24"/>
          <w:szCs w:val="24"/>
          <w:highlight w:val="none"/>
        </w:rPr>
        <w:t>。</w:t>
      </w:r>
    </w:p>
    <w:p w14:paraId="4A11A3BD">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3.4.2招标文件允许多包投标、多包中标的，各包</w:t>
      </w:r>
      <w:r>
        <w:rPr>
          <w:rFonts w:hint="eastAsia" w:ascii="宋体" w:hAnsi="宋体" w:eastAsia="宋体" w:cs="宋体"/>
          <w:color w:val="auto"/>
          <w:sz w:val="24"/>
          <w:szCs w:val="24"/>
          <w:highlight w:val="none"/>
          <w:lang w:val="en-US" w:eastAsia="zh-CN"/>
        </w:rPr>
        <w:t>入围供应商数量按拟定数量确定</w:t>
      </w:r>
      <w:r>
        <w:rPr>
          <w:rFonts w:hint="eastAsia" w:ascii="宋体" w:hAnsi="宋体" w:eastAsia="宋体" w:cs="宋体"/>
          <w:color w:val="auto"/>
          <w:sz w:val="24"/>
          <w:szCs w:val="24"/>
          <w:highlight w:val="none"/>
        </w:rPr>
        <w:t>。</w:t>
      </w:r>
    </w:p>
    <w:p w14:paraId="41E27837">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招标人应当确定</w:t>
      </w:r>
      <w:r>
        <w:rPr>
          <w:rFonts w:hint="eastAsia" w:ascii="宋体" w:hAnsi="宋体" w:eastAsia="宋体" w:cs="宋体"/>
          <w:color w:val="auto"/>
          <w:kern w:val="0"/>
          <w:sz w:val="24"/>
          <w:szCs w:val="24"/>
          <w:highlight w:val="none"/>
          <w:lang w:val="en-US" w:eastAsia="zh-CN"/>
        </w:rPr>
        <w:t>每标包需要拟建供应商家数的数量确定入库名单</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入库供应商</w:t>
      </w:r>
      <w:r>
        <w:rPr>
          <w:rFonts w:hint="eastAsia" w:ascii="宋体" w:hAnsi="宋体" w:eastAsia="宋体" w:cs="宋体"/>
          <w:color w:val="auto"/>
          <w:kern w:val="0"/>
          <w:sz w:val="24"/>
          <w:szCs w:val="24"/>
          <w:highlight w:val="none"/>
        </w:rPr>
        <w:t>放弃中标、因不可抗力提出不能履行合同，或者经招标人核查发现有重大欺诈、弄虚作假或隐瞒等违法行为的，招标人可以</w:t>
      </w:r>
      <w:r>
        <w:rPr>
          <w:rFonts w:hint="eastAsia" w:ascii="宋体" w:hAnsi="宋体" w:eastAsia="宋体" w:cs="宋体"/>
          <w:color w:val="auto"/>
          <w:kern w:val="0"/>
          <w:sz w:val="24"/>
          <w:szCs w:val="24"/>
          <w:highlight w:val="none"/>
          <w:lang w:val="en-US" w:eastAsia="zh-CN"/>
        </w:rPr>
        <w:t>自行决定入库供应商依次递补或者采取其他措施</w:t>
      </w:r>
      <w:r>
        <w:rPr>
          <w:rFonts w:hint="eastAsia" w:ascii="宋体" w:hAnsi="宋体" w:eastAsia="宋体" w:cs="宋体"/>
          <w:color w:val="auto"/>
          <w:kern w:val="0"/>
          <w:sz w:val="24"/>
          <w:szCs w:val="24"/>
          <w:highlight w:val="none"/>
        </w:rPr>
        <w:t>。</w:t>
      </w:r>
    </w:p>
    <w:p w14:paraId="05B860DE">
      <w:pPr>
        <w:bidi w:val="0"/>
        <w:rPr>
          <w:rFonts w:hint="eastAsia" w:ascii="宋体" w:hAnsi="宋体" w:eastAsia="宋体" w:cs="宋体"/>
          <w:color w:val="auto"/>
          <w:sz w:val="24"/>
          <w:szCs w:val="24"/>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评标委员会完成评标后，应当向招标人提交书面评标报告</w:t>
      </w:r>
      <w:r>
        <w:rPr>
          <w:rFonts w:hint="eastAsia" w:ascii="宋体" w:hAnsi="宋体" w:eastAsia="宋体" w:cs="宋体"/>
          <w:color w:val="auto"/>
          <w:sz w:val="24"/>
          <w:szCs w:val="24"/>
          <w:highlight w:val="none"/>
          <w:lang w:eastAsia="zh-CN"/>
        </w:rPr>
        <w:t>。</w:t>
      </w:r>
    </w:p>
    <w:p w14:paraId="0A8F2D74">
      <w:pPr>
        <w:pStyle w:val="3"/>
        <w:keepLines/>
        <w:numPr>
          <w:ilvl w:val="0"/>
          <w:numId w:val="0"/>
        </w:numPr>
        <w:tabs>
          <w:tab w:val="left" w:pos="1440"/>
        </w:tabs>
        <w:spacing w:before="340" w:after="330" w:line="240" w:lineRule="auto"/>
        <w:jc w:val="center"/>
        <w:textAlignment w:val="baseline"/>
        <w:rPr>
          <w:rFonts w:hint="eastAsia" w:ascii="宋体" w:hAnsi="宋体" w:eastAsia="宋体" w:cs="宋体"/>
          <w:color w:val="auto"/>
          <w:sz w:val="44"/>
          <w:szCs w:val="44"/>
          <w:highlight w:val="none"/>
        </w:rPr>
      </w:pPr>
      <w:bookmarkStart w:id="673" w:name="_Toc10756"/>
      <w:bookmarkStart w:id="674" w:name="_Toc11230"/>
      <w:bookmarkStart w:id="675" w:name="_Toc5651"/>
      <w:r>
        <w:rPr>
          <w:rFonts w:hint="eastAsia" w:ascii="宋体" w:hAnsi="宋体" w:eastAsia="宋体" w:cs="宋体"/>
          <w:color w:val="auto"/>
          <w:sz w:val="44"/>
          <w:szCs w:val="44"/>
          <w:highlight w:val="none"/>
        </w:rPr>
        <w:t>第</w:t>
      </w:r>
      <w:r>
        <w:rPr>
          <w:rFonts w:hint="eastAsia" w:ascii="宋体" w:hAnsi="宋体" w:eastAsia="宋体" w:cs="宋体"/>
          <w:color w:val="auto"/>
          <w:sz w:val="44"/>
          <w:szCs w:val="44"/>
          <w:highlight w:val="none"/>
          <w:lang w:val="en-US" w:eastAsia="zh-CN"/>
        </w:rPr>
        <w:t>五</w:t>
      </w:r>
      <w:r>
        <w:rPr>
          <w:rFonts w:hint="eastAsia" w:ascii="宋体" w:hAnsi="宋体" w:eastAsia="宋体" w:cs="宋体"/>
          <w:color w:val="auto"/>
          <w:sz w:val="44"/>
          <w:szCs w:val="44"/>
          <w:highlight w:val="none"/>
        </w:rPr>
        <w:t>章 合同书格式</w:t>
      </w:r>
      <w:bookmarkEnd w:id="673"/>
      <w:bookmarkEnd w:id="674"/>
      <w:bookmarkEnd w:id="675"/>
    </w:p>
    <w:p w14:paraId="4D510196">
      <w:pPr>
        <w:pStyle w:val="16"/>
        <w:jc w:val="center"/>
        <w:rPr>
          <w:rFonts w:hint="eastAsia" w:ascii="宋体" w:hAnsi="宋体" w:eastAsia="宋体" w:cs="宋体"/>
          <w:color w:val="auto"/>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根据招标人入围管理办法签订入库协议，</w:t>
      </w:r>
      <w:r>
        <w:rPr>
          <w:rFonts w:hint="eastAsia" w:ascii="宋体" w:hAnsi="宋体" w:eastAsia="宋体" w:cs="宋体"/>
          <w:color w:val="auto"/>
          <w:sz w:val="24"/>
          <w:szCs w:val="24"/>
          <w:highlight w:val="none"/>
        </w:rPr>
        <w:t>签订合同时另行协商）</w:t>
      </w:r>
    </w:p>
    <w:p w14:paraId="1EF92B0F">
      <w:pPr>
        <w:pStyle w:val="3"/>
        <w:numPr>
          <w:ilvl w:val="0"/>
          <w:numId w:val="0"/>
        </w:numPr>
        <w:ind w:left="432"/>
        <w:jc w:val="center"/>
        <w:textAlignment w:val="baseline"/>
        <w:rPr>
          <w:rFonts w:hint="eastAsia" w:ascii="宋体" w:hAnsi="宋体" w:eastAsia="宋体" w:cs="宋体"/>
          <w:color w:val="auto"/>
          <w:sz w:val="44"/>
          <w:szCs w:val="44"/>
          <w:highlight w:val="none"/>
        </w:rPr>
      </w:pPr>
      <w:bookmarkStart w:id="676" w:name="_Toc32477"/>
      <w:bookmarkStart w:id="677" w:name="_Toc14342"/>
      <w:bookmarkStart w:id="678" w:name="_Toc11263"/>
      <w:r>
        <w:rPr>
          <w:rFonts w:hint="eastAsia" w:ascii="宋体" w:hAnsi="宋体" w:eastAsia="宋体" w:cs="宋体"/>
          <w:color w:val="auto"/>
          <w:sz w:val="44"/>
          <w:szCs w:val="44"/>
          <w:highlight w:val="none"/>
        </w:rPr>
        <w:t>第六章 投标文件格式</w:t>
      </w:r>
      <w:bookmarkEnd w:id="676"/>
      <w:bookmarkEnd w:id="677"/>
      <w:bookmarkEnd w:id="678"/>
    </w:p>
    <w:p w14:paraId="2D7EF7FB">
      <w:pPr>
        <w:jc w:val="center"/>
        <w:textAlignment w:val="baseline"/>
        <w:rPr>
          <w:rFonts w:hint="eastAsia" w:ascii="宋体" w:hAnsi="宋体" w:eastAsia="宋体" w:cs="宋体"/>
          <w:b/>
          <w:color w:val="auto"/>
          <w:sz w:val="84"/>
          <w:highlight w:val="none"/>
        </w:rPr>
      </w:pPr>
      <w:r>
        <w:rPr>
          <w:rFonts w:hint="eastAsia" w:ascii="宋体" w:hAnsi="宋体" w:eastAsia="宋体" w:cs="宋体"/>
          <w:b/>
          <w:color w:val="auto"/>
          <w:sz w:val="84"/>
          <w:szCs w:val="84"/>
          <w:highlight w:val="none"/>
        </w:rPr>
        <w:t>投 标 文 件</w:t>
      </w:r>
    </w:p>
    <w:p w14:paraId="2334BCB0">
      <w:pPr>
        <w:spacing w:before="312"/>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（正本/副本）</w:t>
      </w:r>
    </w:p>
    <w:p w14:paraId="0AFBCDF2">
      <w:pPr>
        <w:textAlignment w:val="baseline"/>
        <w:rPr>
          <w:rFonts w:hint="eastAsia" w:ascii="宋体" w:hAnsi="宋体" w:eastAsia="宋体" w:cs="宋体"/>
          <w:color w:val="auto"/>
          <w:sz w:val="20"/>
          <w:szCs w:val="21"/>
          <w:highlight w:val="none"/>
        </w:rPr>
      </w:pPr>
    </w:p>
    <w:p w14:paraId="15282A87">
      <w:pPr>
        <w:textAlignment w:val="baseline"/>
        <w:rPr>
          <w:rFonts w:hint="eastAsia" w:ascii="宋体" w:hAnsi="宋体" w:eastAsia="宋体" w:cs="宋体"/>
          <w:color w:val="auto"/>
          <w:sz w:val="20"/>
          <w:szCs w:val="21"/>
          <w:highlight w:val="none"/>
        </w:rPr>
      </w:pPr>
    </w:p>
    <w:p w14:paraId="6401FBA2">
      <w:pPr>
        <w:textAlignment w:val="baseline"/>
        <w:rPr>
          <w:rFonts w:hint="eastAsia" w:ascii="宋体" w:hAnsi="宋体" w:eastAsia="宋体" w:cs="宋体"/>
          <w:color w:val="auto"/>
          <w:sz w:val="20"/>
          <w:szCs w:val="21"/>
          <w:highlight w:val="none"/>
        </w:rPr>
      </w:pPr>
    </w:p>
    <w:p w14:paraId="6C2898C1">
      <w:pPr>
        <w:textAlignment w:val="baseline"/>
        <w:rPr>
          <w:rFonts w:hint="eastAsia" w:ascii="宋体" w:hAnsi="宋体" w:eastAsia="宋体" w:cs="宋体"/>
          <w:color w:val="auto"/>
          <w:sz w:val="20"/>
          <w:szCs w:val="21"/>
          <w:highlight w:val="none"/>
        </w:rPr>
      </w:pPr>
    </w:p>
    <w:p w14:paraId="4A56000A">
      <w:pPr>
        <w:textAlignment w:val="baseline"/>
        <w:rPr>
          <w:rFonts w:hint="eastAsia" w:ascii="宋体" w:hAnsi="宋体" w:eastAsia="宋体" w:cs="宋体"/>
          <w:color w:val="auto"/>
          <w:sz w:val="20"/>
          <w:szCs w:val="21"/>
          <w:highlight w:val="none"/>
        </w:rPr>
      </w:pPr>
    </w:p>
    <w:p w14:paraId="7B4DF4E2">
      <w:pPr>
        <w:textAlignment w:val="baseline"/>
        <w:rPr>
          <w:rFonts w:hint="eastAsia" w:ascii="宋体" w:hAnsi="宋体" w:eastAsia="宋体" w:cs="宋体"/>
          <w:color w:val="auto"/>
          <w:sz w:val="20"/>
          <w:szCs w:val="21"/>
          <w:highlight w:val="none"/>
        </w:rPr>
      </w:pPr>
    </w:p>
    <w:p w14:paraId="5E55AA69">
      <w:pPr>
        <w:textAlignment w:val="baseline"/>
        <w:rPr>
          <w:rFonts w:hint="eastAsia" w:ascii="宋体" w:hAnsi="宋体" w:eastAsia="宋体" w:cs="宋体"/>
          <w:color w:val="auto"/>
          <w:sz w:val="20"/>
          <w:szCs w:val="21"/>
          <w:highlight w:val="none"/>
        </w:rPr>
      </w:pPr>
    </w:p>
    <w:p w14:paraId="723FE296">
      <w:pPr>
        <w:textAlignment w:val="baseline"/>
        <w:rPr>
          <w:rFonts w:hint="eastAsia" w:ascii="宋体" w:hAnsi="宋体" w:eastAsia="宋体" w:cs="宋体"/>
          <w:color w:val="auto"/>
          <w:sz w:val="20"/>
          <w:szCs w:val="21"/>
          <w:highlight w:val="none"/>
        </w:rPr>
      </w:pPr>
    </w:p>
    <w:p w14:paraId="599547F3">
      <w:pPr>
        <w:textAlignment w:val="baseline"/>
        <w:rPr>
          <w:rFonts w:hint="eastAsia" w:ascii="宋体" w:hAnsi="宋体" w:eastAsia="宋体" w:cs="宋体"/>
          <w:color w:val="auto"/>
          <w:sz w:val="20"/>
          <w:szCs w:val="21"/>
          <w:highlight w:val="none"/>
        </w:rPr>
      </w:pPr>
    </w:p>
    <w:p w14:paraId="03596671">
      <w:pPr>
        <w:textAlignment w:val="baseline"/>
        <w:rPr>
          <w:rFonts w:hint="eastAsia" w:ascii="宋体" w:hAnsi="宋体" w:eastAsia="宋体" w:cs="宋体"/>
          <w:color w:val="auto"/>
          <w:sz w:val="20"/>
          <w:szCs w:val="21"/>
          <w:highlight w:val="none"/>
        </w:rPr>
      </w:pPr>
    </w:p>
    <w:p w14:paraId="33B9D546">
      <w:pPr>
        <w:textAlignment w:val="baseline"/>
        <w:rPr>
          <w:rFonts w:hint="eastAsia" w:ascii="宋体" w:hAnsi="宋体" w:eastAsia="宋体" w:cs="宋体"/>
          <w:color w:val="auto"/>
          <w:sz w:val="20"/>
          <w:szCs w:val="21"/>
          <w:highlight w:val="none"/>
        </w:rPr>
      </w:pPr>
    </w:p>
    <w:p w14:paraId="2ED2405E">
      <w:pPr>
        <w:spacing w:line="360" w:lineRule="auto"/>
        <w:ind w:firstLine="1190" w:firstLineChars="395"/>
        <w:textAlignment w:val="baseline"/>
        <w:rPr>
          <w:rFonts w:hint="eastAsia" w:ascii="宋体" w:hAnsi="宋体" w:eastAsia="宋体" w:cs="宋体"/>
          <w:bCs/>
          <w:color w:val="auto"/>
          <w:sz w:val="30"/>
          <w:szCs w:val="30"/>
          <w:highlight w:val="none"/>
          <w:u w:val="single"/>
        </w:rPr>
      </w:pPr>
      <w:r>
        <w:rPr>
          <w:rFonts w:hint="eastAsia" w:ascii="宋体" w:hAnsi="宋体" w:eastAsia="宋体" w:cs="宋体"/>
          <w:b/>
          <w:bCs/>
          <w:color w:val="auto"/>
          <w:sz w:val="30"/>
          <w:szCs w:val="30"/>
          <w:highlight w:val="none"/>
        </w:rPr>
        <w:t>招标编号：</w:t>
      </w:r>
    </w:p>
    <w:p w14:paraId="1BBF7A02">
      <w:pPr>
        <w:tabs>
          <w:tab w:val="left" w:pos="7230"/>
        </w:tabs>
        <w:spacing w:line="360" w:lineRule="auto"/>
        <w:ind w:firstLine="1190" w:firstLineChars="395"/>
        <w:textAlignment w:val="baseline"/>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项目名称：</w:t>
      </w:r>
    </w:p>
    <w:p w14:paraId="50034BC2">
      <w:pPr>
        <w:tabs>
          <w:tab w:val="left" w:pos="7230"/>
        </w:tabs>
        <w:spacing w:line="360" w:lineRule="auto"/>
        <w:ind w:firstLine="1190" w:firstLineChars="395"/>
        <w:textAlignment w:val="baselin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lang w:eastAsia="zh-CN"/>
        </w:rPr>
        <w:t>标包</w:t>
      </w:r>
      <w:r>
        <w:rPr>
          <w:rFonts w:hint="eastAsia" w:ascii="宋体" w:hAnsi="宋体" w:eastAsia="宋体" w:cs="宋体"/>
          <w:b/>
          <w:bCs/>
          <w:color w:val="auto"/>
          <w:sz w:val="30"/>
          <w:szCs w:val="30"/>
          <w:highlight w:val="none"/>
          <w:lang w:val="en-US" w:eastAsia="zh-CN"/>
        </w:rPr>
        <w:t>及名称</w:t>
      </w:r>
      <w:r>
        <w:rPr>
          <w:rFonts w:hint="eastAsia" w:ascii="宋体" w:hAnsi="宋体" w:eastAsia="宋体" w:cs="宋体"/>
          <w:b/>
          <w:bCs/>
          <w:color w:val="auto"/>
          <w:sz w:val="30"/>
          <w:szCs w:val="30"/>
          <w:highlight w:val="none"/>
          <w:lang w:eastAsia="zh-CN"/>
        </w:rPr>
        <w:t>：</w:t>
      </w:r>
    </w:p>
    <w:p w14:paraId="652A0361">
      <w:pPr>
        <w:tabs>
          <w:tab w:val="left" w:pos="7230"/>
        </w:tabs>
        <w:spacing w:line="360" w:lineRule="auto"/>
        <w:ind w:firstLine="1190" w:firstLineChars="395"/>
        <w:textAlignment w:val="baseline"/>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标包中分类号及名称：</w:t>
      </w:r>
    </w:p>
    <w:p w14:paraId="1DBBC5D4">
      <w:pPr>
        <w:tabs>
          <w:tab w:val="left" w:pos="7230"/>
        </w:tabs>
        <w:spacing w:line="360" w:lineRule="auto"/>
        <w:ind w:firstLine="3360" w:firstLineChars="1120"/>
        <w:textAlignment w:val="baseline"/>
        <w:rPr>
          <w:rFonts w:hint="eastAsia" w:ascii="宋体" w:hAnsi="宋体" w:eastAsia="宋体" w:cs="宋体"/>
          <w:bCs/>
          <w:color w:val="auto"/>
          <w:sz w:val="30"/>
          <w:szCs w:val="30"/>
          <w:highlight w:val="none"/>
          <w:u w:val="single"/>
        </w:rPr>
      </w:pPr>
    </w:p>
    <w:p w14:paraId="018F7F6C">
      <w:pPr>
        <w:textAlignment w:val="baseline"/>
        <w:rPr>
          <w:rFonts w:hint="eastAsia" w:ascii="宋体" w:hAnsi="宋体" w:eastAsia="宋体" w:cs="宋体"/>
          <w:color w:val="auto"/>
          <w:sz w:val="20"/>
          <w:szCs w:val="21"/>
          <w:highlight w:val="none"/>
        </w:rPr>
      </w:pPr>
    </w:p>
    <w:p w14:paraId="6D3FF6A7">
      <w:pPr>
        <w:textAlignment w:val="baseline"/>
        <w:rPr>
          <w:rFonts w:hint="eastAsia" w:ascii="宋体" w:hAnsi="宋体" w:eastAsia="宋体" w:cs="宋体"/>
          <w:color w:val="auto"/>
          <w:sz w:val="20"/>
          <w:szCs w:val="21"/>
          <w:highlight w:val="none"/>
        </w:rPr>
      </w:pPr>
    </w:p>
    <w:p w14:paraId="5C58BEAD">
      <w:pPr>
        <w:textAlignment w:val="baseline"/>
        <w:rPr>
          <w:rFonts w:hint="eastAsia" w:ascii="宋体" w:hAnsi="宋体" w:eastAsia="宋体" w:cs="宋体"/>
          <w:color w:val="auto"/>
          <w:sz w:val="20"/>
          <w:szCs w:val="21"/>
          <w:highlight w:val="none"/>
        </w:rPr>
      </w:pPr>
    </w:p>
    <w:p w14:paraId="70CFC898">
      <w:pPr>
        <w:textAlignment w:val="baseline"/>
        <w:rPr>
          <w:rFonts w:hint="eastAsia" w:ascii="宋体" w:hAnsi="宋体" w:eastAsia="宋体" w:cs="宋体"/>
          <w:color w:val="auto"/>
          <w:sz w:val="20"/>
          <w:szCs w:val="21"/>
          <w:highlight w:val="none"/>
        </w:rPr>
      </w:pPr>
    </w:p>
    <w:p w14:paraId="7374C3BB">
      <w:pPr>
        <w:textAlignment w:val="baseline"/>
        <w:rPr>
          <w:rFonts w:hint="eastAsia" w:ascii="宋体" w:hAnsi="宋体" w:eastAsia="宋体" w:cs="宋体"/>
          <w:color w:val="auto"/>
          <w:sz w:val="20"/>
          <w:szCs w:val="21"/>
          <w:highlight w:val="none"/>
        </w:rPr>
      </w:pPr>
    </w:p>
    <w:p w14:paraId="45AB4A97">
      <w:pPr>
        <w:textAlignment w:val="baseline"/>
        <w:rPr>
          <w:rFonts w:hint="eastAsia" w:ascii="宋体" w:hAnsi="宋体" w:eastAsia="宋体" w:cs="宋体"/>
          <w:color w:val="auto"/>
          <w:sz w:val="20"/>
          <w:szCs w:val="21"/>
          <w:highlight w:val="none"/>
        </w:rPr>
      </w:pPr>
    </w:p>
    <w:p w14:paraId="056AF6BC">
      <w:pPr>
        <w:textAlignment w:val="baseline"/>
        <w:rPr>
          <w:rFonts w:hint="eastAsia" w:ascii="宋体" w:hAnsi="宋体" w:eastAsia="宋体" w:cs="宋体"/>
          <w:color w:val="auto"/>
          <w:sz w:val="20"/>
          <w:szCs w:val="21"/>
          <w:highlight w:val="none"/>
        </w:rPr>
      </w:pPr>
    </w:p>
    <w:p w14:paraId="2D842DA5">
      <w:pPr>
        <w:textAlignment w:val="baseline"/>
        <w:rPr>
          <w:rFonts w:hint="eastAsia" w:ascii="宋体" w:hAnsi="宋体" w:eastAsia="宋体" w:cs="宋体"/>
          <w:color w:val="auto"/>
          <w:sz w:val="20"/>
          <w:szCs w:val="21"/>
          <w:highlight w:val="none"/>
        </w:rPr>
      </w:pPr>
    </w:p>
    <w:p w14:paraId="5477FEA1">
      <w:pPr>
        <w:spacing w:line="360" w:lineRule="auto"/>
        <w:jc w:val="center"/>
        <w:textAlignment w:val="baseline"/>
        <w:rPr>
          <w:rFonts w:hint="eastAsia" w:ascii="宋体" w:hAnsi="宋体" w:eastAsia="宋体" w:cs="宋体"/>
          <w:color w:val="auto"/>
          <w:szCs w:val="28"/>
          <w:highlight w:val="none"/>
        </w:rPr>
      </w:pPr>
      <w:r>
        <w:rPr>
          <w:rFonts w:hint="eastAsia" w:ascii="宋体" w:hAnsi="宋体" w:eastAsia="宋体" w:cs="宋体"/>
          <w:color w:val="auto"/>
          <w:szCs w:val="28"/>
          <w:highlight w:val="none"/>
        </w:rPr>
        <w:t>供应商名称：</w:t>
      </w:r>
    </w:p>
    <w:p w14:paraId="51C24916">
      <w:pPr>
        <w:spacing w:line="360" w:lineRule="auto"/>
        <w:jc w:val="center"/>
        <w:textAlignment w:val="baseline"/>
        <w:rPr>
          <w:rFonts w:hint="eastAsia" w:ascii="宋体" w:hAnsi="宋体" w:eastAsia="宋体" w:cs="宋体"/>
          <w:color w:val="auto"/>
          <w:sz w:val="20"/>
          <w:szCs w:val="28"/>
          <w:highlight w:val="none"/>
        </w:rPr>
      </w:pPr>
      <w:r>
        <w:rPr>
          <w:rFonts w:hint="eastAsia" w:ascii="宋体" w:hAnsi="宋体" w:eastAsia="宋体" w:cs="宋体"/>
          <w:color w:val="auto"/>
          <w:szCs w:val="28"/>
          <w:highlight w:val="none"/>
        </w:rPr>
        <w:t>日      期：</w:t>
      </w:r>
      <w:r>
        <w:rPr>
          <w:rFonts w:hint="eastAsia" w:ascii="宋体" w:hAnsi="宋体" w:eastAsia="宋体" w:cs="宋体"/>
          <w:color w:val="auto"/>
          <w:szCs w:val="28"/>
          <w:highlight w:val="none"/>
          <w:lang w:val="en-US" w:eastAsia="zh-CN"/>
        </w:rPr>
        <w:t xml:space="preserve">   </w:t>
      </w:r>
      <w:r>
        <w:rPr>
          <w:rFonts w:hint="eastAsia" w:ascii="宋体" w:hAnsi="宋体" w:eastAsia="宋体" w:cs="宋体"/>
          <w:color w:val="auto"/>
          <w:szCs w:val="28"/>
          <w:highlight w:val="none"/>
        </w:rPr>
        <w:t>年</w:t>
      </w:r>
      <w:r>
        <w:rPr>
          <w:rFonts w:hint="eastAsia" w:ascii="宋体" w:hAnsi="宋体" w:eastAsia="宋体" w:cs="宋体"/>
          <w:color w:val="auto"/>
          <w:szCs w:val="28"/>
          <w:highlight w:val="none"/>
          <w:lang w:val="en-US" w:eastAsia="zh-CN"/>
        </w:rPr>
        <w:t xml:space="preserve">   </w:t>
      </w:r>
      <w:r>
        <w:rPr>
          <w:rFonts w:hint="eastAsia" w:ascii="宋体" w:hAnsi="宋体" w:eastAsia="宋体" w:cs="宋体"/>
          <w:color w:val="auto"/>
          <w:szCs w:val="28"/>
          <w:highlight w:val="none"/>
        </w:rPr>
        <w:t>月</w:t>
      </w:r>
      <w:r>
        <w:rPr>
          <w:rFonts w:hint="eastAsia" w:ascii="宋体" w:hAnsi="宋体" w:eastAsia="宋体" w:cs="宋体"/>
          <w:color w:val="auto"/>
          <w:szCs w:val="28"/>
          <w:highlight w:val="none"/>
          <w:lang w:val="en-US" w:eastAsia="zh-CN"/>
        </w:rPr>
        <w:t xml:space="preserve">   </w:t>
      </w:r>
      <w:r>
        <w:rPr>
          <w:rFonts w:hint="eastAsia" w:ascii="宋体" w:hAnsi="宋体" w:eastAsia="宋体" w:cs="宋体"/>
          <w:color w:val="auto"/>
          <w:szCs w:val="28"/>
          <w:highlight w:val="none"/>
        </w:rPr>
        <w:t>日</w:t>
      </w:r>
    </w:p>
    <w:p w14:paraId="63932AB6">
      <w:pPr>
        <w:spacing w:line="400" w:lineRule="exact"/>
        <w:jc w:val="left"/>
        <w:textAlignment w:val="baseline"/>
        <w:rPr>
          <w:rFonts w:hint="eastAsia" w:ascii="宋体" w:hAnsi="宋体" w:eastAsia="宋体" w:cs="宋体"/>
          <w:b/>
          <w:color w:val="auto"/>
          <w:sz w:val="44"/>
          <w:szCs w:val="44"/>
          <w:highlight w:val="none"/>
        </w:rPr>
      </w:pPr>
    </w:p>
    <w:p w14:paraId="0146B81A">
      <w:pPr>
        <w:spacing w:line="400" w:lineRule="exact"/>
        <w:jc w:val="left"/>
        <w:textAlignment w:val="baseline"/>
        <w:rPr>
          <w:rFonts w:hint="eastAsia" w:ascii="宋体" w:hAnsi="宋体" w:eastAsia="宋体" w:cs="宋体"/>
          <w:b/>
          <w:color w:val="auto"/>
          <w:sz w:val="44"/>
          <w:szCs w:val="44"/>
          <w:highlight w:val="none"/>
        </w:rPr>
      </w:pPr>
    </w:p>
    <w:p w14:paraId="2940C88A">
      <w:pPr>
        <w:spacing w:line="400" w:lineRule="exact"/>
        <w:jc w:val="left"/>
        <w:textAlignment w:val="baseline"/>
        <w:rPr>
          <w:rFonts w:hint="eastAsia" w:ascii="宋体" w:hAnsi="宋体" w:eastAsia="宋体" w:cs="宋体"/>
          <w:b/>
          <w:color w:val="auto"/>
          <w:sz w:val="44"/>
          <w:szCs w:val="44"/>
          <w:highlight w:val="none"/>
        </w:rPr>
      </w:pPr>
    </w:p>
    <w:p w14:paraId="04B5EEF1">
      <w:pPr>
        <w:pStyle w:val="4"/>
        <w:bidi w:val="0"/>
        <w:rPr>
          <w:rFonts w:hint="eastAsia" w:ascii="宋体" w:hAnsi="宋体" w:eastAsia="宋体" w:cs="宋体"/>
          <w:color w:val="auto"/>
          <w:highlight w:val="none"/>
        </w:rPr>
      </w:pPr>
      <w:bookmarkStart w:id="679" w:name="_Toc333771904"/>
      <w:bookmarkStart w:id="680" w:name="_Toc421688570"/>
      <w:bookmarkStart w:id="681" w:name="_Toc230"/>
      <w:bookmarkStart w:id="682" w:name="_Toc6617"/>
      <w:bookmarkStart w:id="683" w:name="_Toc13615"/>
      <w:r>
        <w:rPr>
          <w:rFonts w:hint="eastAsia" w:ascii="宋体" w:hAnsi="宋体" w:eastAsia="宋体" w:cs="宋体"/>
          <w:color w:val="auto"/>
          <w:highlight w:val="none"/>
        </w:rPr>
        <w:t>1、</w:t>
      </w:r>
      <w:bookmarkEnd w:id="679"/>
      <w:bookmarkEnd w:id="680"/>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函</w:t>
      </w:r>
      <w:bookmarkEnd w:id="681"/>
      <w:bookmarkEnd w:id="682"/>
      <w:bookmarkEnd w:id="683"/>
    </w:p>
    <w:p w14:paraId="13775BA3">
      <w:pPr>
        <w:textAlignment w:val="baseline"/>
        <w:rPr>
          <w:rFonts w:hint="eastAsia" w:ascii="宋体" w:hAnsi="宋体" w:eastAsia="宋体" w:cs="宋体"/>
          <w:color w:val="auto"/>
          <w:sz w:val="20"/>
          <w:highlight w:val="none"/>
          <w:lang w:val="zh-CN"/>
        </w:rPr>
      </w:pPr>
    </w:p>
    <w:p w14:paraId="0402242B">
      <w:pPr>
        <w:keepNext w:val="0"/>
        <w:keepLines w:val="0"/>
        <w:pageBreakBefore w:val="0"/>
        <w:tabs>
          <w:tab w:val="left" w:pos="5580"/>
        </w:tabs>
        <w:kinsoku/>
        <w:wordWrap/>
        <w:overflowPunct/>
        <w:topLinePunct w:val="0"/>
        <w:autoSpaceDE/>
        <w:autoSpaceDN/>
        <w:bidi w:val="0"/>
        <w:adjustRightInd/>
        <w:snapToGrid/>
        <w:spacing w:before="120" w:line="46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招标</w:t>
      </w:r>
      <w:r>
        <w:rPr>
          <w:rFonts w:hint="eastAsia" w:ascii="宋体" w:hAnsi="宋体" w:eastAsia="宋体" w:cs="宋体"/>
          <w:color w:val="auto"/>
          <w:sz w:val="24"/>
          <w:szCs w:val="24"/>
          <w:highlight w:val="none"/>
          <w:u w:val="single"/>
        </w:rPr>
        <w:t>人）</w:t>
      </w:r>
      <w:r>
        <w:rPr>
          <w:rFonts w:hint="eastAsia" w:ascii="宋体" w:hAnsi="宋体" w:eastAsia="宋体" w:cs="宋体"/>
          <w:color w:val="auto"/>
          <w:sz w:val="24"/>
          <w:szCs w:val="24"/>
          <w:highlight w:val="none"/>
        </w:rPr>
        <w:t>：</w:t>
      </w:r>
    </w:p>
    <w:p w14:paraId="1F3AC763">
      <w:pPr>
        <w:pStyle w:val="13"/>
        <w:keepNext w:val="0"/>
        <w:keepLines w:val="0"/>
        <w:pageBreakBefore w:val="0"/>
        <w:tabs>
          <w:tab w:val="left" w:pos="5580"/>
        </w:tabs>
        <w:kinsoku/>
        <w:wordWrap/>
        <w:overflowPunct/>
        <w:topLinePunct w:val="0"/>
        <w:autoSpaceDE/>
        <w:autoSpaceDN/>
        <w:bidi w:val="0"/>
        <w:adjustRightInd/>
        <w:snapToGrid/>
        <w:spacing w:line="460" w:lineRule="exact"/>
        <w:ind w:firstLine="4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依据贵方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(项目名称、项目编号)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u w:val="single"/>
          <w:lang w:val="en-US" w:eastAsia="zh-CN"/>
        </w:rPr>
        <w:t xml:space="preserve">  （标包号/分类号） </w:t>
      </w:r>
      <w:r>
        <w:rPr>
          <w:rFonts w:hint="eastAsia" w:ascii="宋体" w:hAnsi="宋体" w:eastAsia="宋体" w:cs="宋体"/>
          <w:color w:val="auto"/>
          <w:sz w:val="24"/>
          <w:szCs w:val="24"/>
          <w:highlight w:val="none"/>
          <w:u w:val="none"/>
          <w:lang w:val="en-US" w:eastAsia="zh-CN"/>
        </w:rPr>
        <w:t>标包</w:t>
      </w:r>
      <w:r>
        <w:rPr>
          <w:rFonts w:hint="eastAsia" w:ascii="宋体" w:hAnsi="宋体" w:eastAsia="宋体" w:cs="宋体"/>
          <w:color w:val="auto"/>
          <w:sz w:val="24"/>
          <w:szCs w:val="24"/>
          <w:highlight w:val="none"/>
        </w:rPr>
        <w:t>招标采购的投标邀请,我方代表</w:t>
      </w:r>
      <w:r>
        <w:rPr>
          <w:rFonts w:hint="eastAsia" w:ascii="宋体" w:hAnsi="宋体" w:eastAsia="宋体" w:cs="宋体"/>
          <w:color w:val="auto"/>
          <w:sz w:val="24"/>
          <w:szCs w:val="24"/>
          <w:highlight w:val="none"/>
          <w:u w:val="single"/>
        </w:rPr>
        <w:t>(姓名、职务)</w:t>
      </w:r>
      <w:r>
        <w:rPr>
          <w:rFonts w:hint="eastAsia" w:ascii="宋体" w:hAnsi="宋体" w:eastAsia="宋体" w:cs="宋体"/>
          <w:color w:val="auto"/>
          <w:sz w:val="24"/>
          <w:szCs w:val="24"/>
          <w:highlight w:val="none"/>
        </w:rPr>
        <w:t>经正式授权并代表供应商</w:t>
      </w:r>
      <w:r>
        <w:rPr>
          <w:rFonts w:hint="eastAsia" w:ascii="宋体" w:hAnsi="宋体" w:eastAsia="宋体" w:cs="宋体"/>
          <w:color w:val="auto"/>
          <w:sz w:val="24"/>
          <w:szCs w:val="24"/>
          <w:highlight w:val="none"/>
          <w:u w:val="single"/>
        </w:rPr>
        <w:t>（供应商名称、地址）</w:t>
      </w:r>
      <w:r>
        <w:rPr>
          <w:rFonts w:hint="eastAsia" w:ascii="宋体" w:hAnsi="宋体" w:eastAsia="宋体" w:cs="宋体"/>
          <w:color w:val="auto"/>
          <w:sz w:val="24"/>
          <w:szCs w:val="24"/>
          <w:highlight w:val="none"/>
        </w:rPr>
        <w:t>提交下述文件正本一份，副本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42389012">
      <w:pPr>
        <w:pStyle w:val="13"/>
        <w:keepNext w:val="0"/>
        <w:keepLines w:val="0"/>
        <w:pageBreakBefore w:val="0"/>
        <w:tabs>
          <w:tab w:val="left" w:pos="5580"/>
        </w:tabs>
        <w:kinsoku/>
        <w:wordWrap/>
        <w:overflowPunct/>
        <w:topLinePunct w:val="0"/>
        <w:autoSpaceDE/>
        <w:autoSpaceDN/>
        <w:bidi w:val="0"/>
        <w:adjustRightInd/>
        <w:snapToGrid/>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1、商务文件；</w:t>
      </w:r>
    </w:p>
    <w:p w14:paraId="102B757F">
      <w:pPr>
        <w:pStyle w:val="13"/>
        <w:keepNext w:val="0"/>
        <w:keepLines w:val="0"/>
        <w:pageBreakBefore w:val="0"/>
        <w:tabs>
          <w:tab w:val="left" w:pos="5580"/>
        </w:tabs>
        <w:kinsoku/>
        <w:wordWrap/>
        <w:overflowPunct/>
        <w:topLinePunct w:val="0"/>
        <w:autoSpaceDE/>
        <w:autoSpaceDN/>
        <w:bidi w:val="0"/>
        <w:adjustRightInd/>
        <w:snapToGrid/>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2、技术文件；</w:t>
      </w:r>
    </w:p>
    <w:p w14:paraId="5B4F82E4">
      <w:pPr>
        <w:pStyle w:val="13"/>
        <w:keepNext w:val="0"/>
        <w:keepLines w:val="0"/>
        <w:pageBreakBefore w:val="0"/>
        <w:tabs>
          <w:tab w:val="left" w:pos="5580"/>
        </w:tabs>
        <w:kinsoku/>
        <w:wordWrap/>
        <w:overflowPunct/>
        <w:topLinePunct w:val="0"/>
        <w:autoSpaceDE/>
        <w:autoSpaceDN/>
        <w:bidi w:val="0"/>
        <w:adjustRightInd/>
        <w:snapToGrid/>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3、资格证明文件；</w:t>
      </w:r>
    </w:p>
    <w:p w14:paraId="3DCFCD66">
      <w:pPr>
        <w:pStyle w:val="13"/>
        <w:keepNext w:val="0"/>
        <w:keepLines w:val="0"/>
        <w:pageBreakBefore w:val="0"/>
        <w:tabs>
          <w:tab w:val="left" w:pos="5580"/>
        </w:tabs>
        <w:kinsoku/>
        <w:wordWrap/>
        <w:overflowPunct/>
        <w:topLinePunct w:val="0"/>
        <w:autoSpaceDE/>
        <w:autoSpaceDN/>
        <w:bidi w:val="0"/>
        <w:adjustRightInd/>
        <w:snapToGrid/>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4、遵守国家有关法律、法规和规章，按招标文件中要求提供的有关文件。</w:t>
      </w:r>
    </w:p>
    <w:p w14:paraId="704697FD">
      <w:pPr>
        <w:pStyle w:val="13"/>
        <w:keepNext w:val="0"/>
        <w:keepLines w:val="0"/>
        <w:pageBreakBefore w:val="0"/>
        <w:tabs>
          <w:tab w:val="left" w:pos="5580"/>
        </w:tabs>
        <w:kinsoku/>
        <w:wordWrap/>
        <w:overflowPunct/>
        <w:topLinePunct w:val="0"/>
        <w:autoSpaceDE/>
        <w:autoSpaceDN/>
        <w:bidi w:val="0"/>
        <w:adjustRightInd/>
        <w:snapToGrid/>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据此，我方宣布同意如下：</w:t>
      </w:r>
    </w:p>
    <w:p w14:paraId="0E287022">
      <w:pPr>
        <w:pStyle w:val="13"/>
        <w:keepNext w:val="0"/>
        <w:keepLines w:val="0"/>
        <w:pageBreakBefore w:val="0"/>
        <w:tabs>
          <w:tab w:val="left" w:pos="5580"/>
        </w:tabs>
        <w:kinsoku/>
        <w:wordWrap/>
        <w:overflowPunct/>
        <w:topLinePunct w:val="0"/>
        <w:autoSpaceDE/>
        <w:autoSpaceDN/>
        <w:bidi w:val="0"/>
        <w:adjustRightInd/>
        <w:snapToGrid/>
        <w:spacing w:line="4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）供应商将按招标文件的规定履行合同责任和义务。</w:t>
      </w:r>
    </w:p>
    <w:p w14:paraId="782E7B78">
      <w:pPr>
        <w:pStyle w:val="13"/>
        <w:keepNext w:val="0"/>
        <w:keepLines w:val="0"/>
        <w:pageBreakBefore w:val="0"/>
        <w:tabs>
          <w:tab w:val="left" w:pos="5580"/>
        </w:tabs>
        <w:kinsoku/>
        <w:wordWrap/>
        <w:overflowPunct/>
        <w:topLinePunct w:val="0"/>
        <w:autoSpaceDE/>
        <w:autoSpaceDN/>
        <w:bidi w:val="0"/>
        <w:adjustRightInd/>
        <w:snapToGrid/>
        <w:spacing w:line="460" w:lineRule="exact"/>
        <w:ind w:left="540" w:leftChars="200" w:hanging="120" w:hanging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）供应商已详细审查全部招标文件，包括第</w:t>
      </w:r>
      <w:r>
        <w:rPr>
          <w:rFonts w:hint="eastAsia" w:ascii="宋体" w:hAnsi="宋体" w:eastAsia="宋体" w:cs="宋体"/>
          <w:color w:val="auto"/>
          <w:sz w:val="24"/>
          <w:szCs w:val="24"/>
          <w:highlight w:val="none"/>
          <w:u w:val="single"/>
        </w:rPr>
        <w:t xml:space="preserve">    号（项目编号、补充通知）（如果有的话</w:t>
      </w:r>
      <w:r>
        <w:rPr>
          <w:rFonts w:hint="eastAsia" w:ascii="宋体" w:hAnsi="宋体" w:eastAsia="宋体" w:cs="宋体"/>
          <w:color w:val="auto"/>
          <w:sz w:val="24"/>
          <w:szCs w:val="24"/>
          <w:highlight w:val="none"/>
        </w:rPr>
        <w:t>）。我们完全理解并同意放弃对这方面有不明及误解的权力。</w:t>
      </w:r>
    </w:p>
    <w:p w14:paraId="2A18CDFA">
      <w:pPr>
        <w:pStyle w:val="13"/>
        <w:keepNext w:val="0"/>
        <w:keepLines w:val="0"/>
        <w:pageBreakBefore w:val="0"/>
        <w:tabs>
          <w:tab w:val="left" w:pos="5580"/>
        </w:tabs>
        <w:kinsoku/>
        <w:wordWrap/>
        <w:overflowPunct/>
        <w:topLinePunct w:val="0"/>
        <w:autoSpaceDE/>
        <w:autoSpaceDN/>
        <w:bidi w:val="0"/>
        <w:adjustRightInd/>
        <w:snapToGrid/>
        <w:spacing w:line="460" w:lineRule="exact"/>
        <w:ind w:left="181" w:leftChars="86"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）本次</w:t>
      </w:r>
      <w:r>
        <w:rPr>
          <w:rFonts w:hint="eastAsia" w:ascii="宋体" w:hAnsi="宋体" w:eastAsia="宋体" w:cs="宋体"/>
          <w:color w:val="auto"/>
          <w:sz w:val="24"/>
          <w:szCs w:val="24"/>
          <w:highlight w:val="none"/>
          <w:u w:val="none"/>
          <w:lang w:eastAsia="zh-CN"/>
        </w:rPr>
        <w:t>招标</w:t>
      </w:r>
      <w:r>
        <w:rPr>
          <w:rFonts w:hint="eastAsia" w:ascii="宋体" w:hAnsi="宋体" w:eastAsia="宋体" w:cs="宋体"/>
          <w:color w:val="auto"/>
          <w:sz w:val="24"/>
          <w:szCs w:val="24"/>
          <w:highlight w:val="none"/>
        </w:rPr>
        <w:t>有效期为自开标日起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个日历</w:t>
      </w:r>
      <w:r>
        <w:rPr>
          <w:rFonts w:hint="eastAsia" w:ascii="宋体" w:hAnsi="宋体" w:eastAsia="宋体" w:cs="宋体"/>
          <w:color w:val="auto"/>
          <w:sz w:val="24"/>
          <w:szCs w:val="24"/>
          <w:highlight w:val="none"/>
          <w:lang w:val="en-US" w:eastAsia="zh-CN"/>
        </w:rPr>
        <w:t>天</w:t>
      </w:r>
      <w:r>
        <w:rPr>
          <w:rFonts w:hint="eastAsia" w:ascii="宋体" w:hAnsi="宋体" w:eastAsia="宋体" w:cs="宋体"/>
          <w:color w:val="auto"/>
          <w:sz w:val="24"/>
          <w:szCs w:val="24"/>
          <w:highlight w:val="none"/>
        </w:rPr>
        <w:t>。</w:t>
      </w:r>
    </w:p>
    <w:p w14:paraId="5AA78D8E">
      <w:pPr>
        <w:pStyle w:val="13"/>
        <w:keepNext w:val="0"/>
        <w:keepLines w:val="0"/>
        <w:pageBreakBefore w:val="0"/>
        <w:tabs>
          <w:tab w:val="left" w:pos="5580"/>
        </w:tabs>
        <w:kinsoku/>
        <w:wordWrap/>
        <w:overflowPunct/>
        <w:topLinePunct w:val="0"/>
        <w:autoSpaceDE/>
        <w:autoSpaceDN/>
        <w:bidi w:val="0"/>
        <w:adjustRightInd/>
        <w:snapToGrid/>
        <w:spacing w:line="460" w:lineRule="exact"/>
        <w:ind w:left="538" w:leftChars="199" w:hanging="120" w:hanging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）供应商同意提供按照贵方可能要求的与其</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有关的一切数据或资料。</w:t>
      </w:r>
    </w:p>
    <w:p w14:paraId="23588EA9">
      <w:pPr>
        <w:pStyle w:val="13"/>
        <w:keepNext w:val="0"/>
        <w:keepLines w:val="0"/>
        <w:pageBreakBefore w:val="0"/>
        <w:tabs>
          <w:tab w:val="left" w:pos="5580"/>
        </w:tabs>
        <w:kinsoku/>
        <w:wordWrap/>
        <w:overflowPunct/>
        <w:topLinePunct w:val="0"/>
        <w:autoSpaceDE/>
        <w:autoSpaceDN/>
        <w:bidi w:val="0"/>
        <w:adjustRightInd/>
        <w:snapToGrid/>
        <w:spacing w:line="460" w:lineRule="exact"/>
        <w:ind w:left="1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．与本投标有关的一切正式往来信函请寄：</w:t>
      </w:r>
    </w:p>
    <w:p w14:paraId="419EBEA2">
      <w:pPr>
        <w:pStyle w:val="13"/>
        <w:keepNext w:val="0"/>
        <w:keepLines w:val="0"/>
        <w:pageBreakBefore w:val="0"/>
        <w:tabs>
          <w:tab w:val="left" w:pos="5580"/>
        </w:tabs>
        <w:kinsoku/>
        <w:wordWrap/>
        <w:overflowPunct/>
        <w:topLinePunct w:val="0"/>
        <w:autoSpaceDE/>
        <w:autoSpaceDN/>
        <w:bidi w:val="0"/>
        <w:adjustRightInd/>
        <w:snapToGrid/>
        <w:spacing w:line="460" w:lineRule="exact"/>
        <w:ind w:left="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传真： </w:t>
      </w:r>
      <w:r>
        <w:rPr>
          <w:rFonts w:hint="eastAsia" w:ascii="宋体" w:hAnsi="宋体" w:eastAsia="宋体" w:cs="宋体"/>
          <w:color w:val="auto"/>
          <w:sz w:val="24"/>
          <w:szCs w:val="24"/>
          <w:highlight w:val="none"/>
          <w:u w:val="single"/>
        </w:rPr>
        <w:t xml:space="preserve">                       </w:t>
      </w:r>
    </w:p>
    <w:p w14:paraId="3CA59AA0">
      <w:pPr>
        <w:pStyle w:val="13"/>
        <w:keepNext w:val="0"/>
        <w:keepLines w:val="0"/>
        <w:pageBreakBefore w:val="0"/>
        <w:tabs>
          <w:tab w:val="left" w:pos="5580"/>
        </w:tabs>
        <w:kinsoku/>
        <w:wordWrap/>
        <w:overflowPunct/>
        <w:topLinePunct w:val="0"/>
        <w:autoSpaceDE/>
        <w:autoSpaceDN/>
        <w:bidi w:val="0"/>
        <w:adjustRightInd/>
        <w:snapToGrid/>
        <w:spacing w:line="460" w:lineRule="exact"/>
        <w:ind w:left="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电子函件：</w:t>
      </w:r>
      <w:r>
        <w:rPr>
          <w:rFonts w:hint="eastAsia" w:ascii="宋体" w:hAnsi="宋体" w:eastAsia="宋体" w:cs="宋体"/>
          <w:color w:val="auto"/>
          <w:sz w:val="24"/>
          <w:szCs w:val="24"/>
          <w:highlight w:val="none"/>
          <w:u w:val="single"/>
        </w:rPr>
        <w:t xml:space="preserve">                     </w:t>
      </w:r>
    </w:p>
    <w:p w14:paraId="58397C2C">
      <w:pPr>
        <w:pStyle w:val="13"/>
        <w:keepNext w:val="0"/>
        <w:keepLines w:val="0"/>
        <w:pageBreakBefore w:val="0"/>
        <w:tabs>
          <w:tab w:val="left" w:pos="5580"/>
        </w:tabs>
        <w:kinsoku/>
        <w:wordWrap/>
        <w:overflowPunct/>
        <w:topLinePunct w:val="0"/>
        <w:autoSpaceDE/>
        <w:autoSpaceDN/>
        <w:bidi w:val="0"/>
        <w:adjustRightInd/>
        <w:snapToGrid/>
        <w:spacing w:line="460" w:lineRule="exact"/>
        <w:ind w:left="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 xml:space="preserve">                       </w:t>
      </w:r>
    </w:p>
    <w:p w14:paraId="62FDC099">
      <w:pPr>
        <w:pStyle w:val="13"/>
        <w:keepNext w:val="0"/>
        <w:keepLines w:val="0"/>
        <w:pageBreakBefore w:val="0"/>
        <w:tabs>
          <w:tab w:val="left" w:pos="5580"/>
        </w:tabs>
        <w:kinsoku/>
        <w:wordWrap/>
        <w:overflowPunct/>
        <w:topLinePunct w:val="0"/>
        <w:autoSpaceDE/>
        <w:autoSpaceDN/>
        <w:bidi w:val="0"/>
        <w:adjustRightInd/>
        <w:snapToGrid/>
        <w:spacing w:line="460" w:lineRule="exact"/>
        <w:ind w:left="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含个体工商户经营者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或其委托代理人（签字）： </w:t>
      </w:r>
      <w:r>
        <w:rPr>
          <w:rFonts w:hint="eastAsia" w:ascii="宋体" w:hAnsi="宋体" w:eastAsia="宋体" w:cs="宋体"/>
          <w:color w:val="auto"/>
          <w:sz w:val="24"/>
          <w:szCs w:val="24"/>
          <w:highlight w:val="none"/>
          <w:u w:val="single"/>
        </w:rPr>
        <w:t xml:space="preserve">                 </w:t>
      </w:r>
    </w:p>
    <w:p w14:paraId="71323D25">
      <w:pPr>
        <w:pStyle w:val="13"/>
        <w:keepNext w:val="0"/>
        <w:keepLines w:val="0"/>
        <w:pageBreakBefore w:val="0"/>
        <w:tabs>
          <w:tab w:val="left" w:pos="5580"/>
        </w:tabs>
        <w:kinsoku/>
        <w:wordWrap/>
        <w:overflowPunct/>
        <w:topLinePunct w:val="0"/>
        <w:autoSpaceDE/>
        <w:autoSpaceDN/>
        <w:bidi w:val="0"/>
        <w:adjustRightInd/>
        <w:snapToGrid/>
        <w:spacing w:line="460" w:lineRule="exact"/>
        <w:ind w:left="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009D9472">
      <w:pPr>
        <w:keepNext w:val="0"/>
        <w:keepLines w:val="0"/>
        <w:pageBreakBefore w:val="0"/>
        <w:widowControl/>
        <w:kinsoku/>
        <w:wordWrap/>
        <w:overflowPunct/>
        <w:topLinePunct w:val="0"/>
        <w:autoSpaceDE/>
        <w:autoSpaceDN/>
        <w:bidi w:val="0"/>
        <w:adjustRightInd/>
        <w:snapToGrid/>
        <w:spacing w:line="460" w:lineRule="exact"/>
        <w:jc w:val="left"/>
        <w:textAlignment w:val="baseline"/>
        <w:rPr>
          <w:rFonts w:hint="eastAsia" w:ascii="宋体" w:hAnsi="宋体" w:eastAsia="宋体" w:cs="宋体"/>
          <w:color w:val="auto"/>
          <w:sz w:val="20"/>
          <w:highlight w:val="none"/>
          <w:lang w:val="zh-CN"/>
        </w:rPr>
      </w:pPr>
      <w:r>
        <w:rPr>
          <w:rFonts w:hint="eastAsia" w:ascii="宋体" w:hAnsi="宋体" w:eastAsia="宋体" w:cs="宋体"/>
          <w:color w:val="auto"/>
          <w:szCs w:val="21"/>
          <w:highlight w:val="none"/>
          <w:lang w:val="zh-CN"/>
        </w:rPr>
        <w:br w:type="page"/>
      </w:r>
    </w:p>
    <w:p w14:paraId="06EC3E7D">
      <w:pPr>
        <w:pStyle w:val="4"/>
        <w:bidi w:val="0"/>
        <w:rPr>
          <w:rFonts w:hint="eastAsia" w:ascii="宋体" w:hAnsi="宋体" w:eastAsia="宋体" w:cs="宋体"/>
          <w:color w:val="auto"/>
          <w:highlight w:val="none"/>
        </w:rPr>
      </w:pPr>
      <w:bookmarkStart w:id="684" w:name="_Toc29871"/>
      <w:bookmarkStart w:id="685" w:name="_Toc26203"/>
      <w:bookmarkStart w:id="686" w:name="_Toc1146"/>
      <w:bookmarkStart w:id="687" w:name="_Toc421688576"/>
      <w:bookmarkStart w:id="688" w:name="_Toc333771910"/>
      <w:bookmarkStart w:id="689" w:name="_Toc264644280"/>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val="en-US"/>
        </w:rPr>
        <w:t>、法定</w:t>
      </w:r>
      <w:r>
        <w:rPr>
          <w:rFonts w:hint="eastAsia" w:ascii="宋体" w:hAnsi="宋体" w:eastAsia="宋体" w:cs="宋体"/>
          <w:color w:val="auto"/>
          <w:highlight w:val="none"/>
        </w:rPr>
        <w:t>代表人</w:t>
      </w:r>
      <w:r>
        <w:rPr>
          <w:rFonts w:hint="eastAsia" w:ascii="宋体" w:hAnsi="宋体" w:eastAsia="宋体" w:cs="宋体"/>
          <w:color w:val="auto"/>
          <w:highlight w:val="none"/>
          <w:lang w:val="en-US" w:eastAsia="zh-CN"/>
        </w:rPr>
        <w:t>或个体工商户经营者</w:t>
      </w:r>
      <w:r>
        <w:rPr>
          <w:rFonts w:hint="eastAsia" w:ascii="宋体" w:hAnsi="宋体" w:eastAsia="宋体" w:cs="宋体"/>
          <w:color w:val="auto"/>
          <w:highlight w:val="none"/>
        </w:rPr>
        <w:t>资格证明书</w:t>
      </w:r>
      <w:bookmarkEnd w:id="684"/>
      <w:bookmarkEnd w:id="685"/>
      <w:bookmarkEnd w:id="686"/>
    </w:p>
    <w:p w14:paraId="632547AB">
      <w:pPr>
        <w:pStyle w:val="7"/>
        <w:tabs>
          <w:tab w:val="left" w:pos="510"/>
          <w:tab w:val="left" w:pos="1000"/>
        </w:tabs>
        <w:spacing w:line="360" w:lineRule="auto"/>
        <w:ind w:left="510" w:firstLine="480"/>
        <w:rPr>
          <w:rFonts w:hint="eastAsia" w:ascii="宋体" w:hAnsi="宋体" w:eastAsia="宋体" w:cs="宋体"/>
          <w:color w:val="auto"/>
          <w:sz w:val="24"/>
          <w:highlight w:val="none"/>
        </w:rPr>
      </w:pPr>
    </w:p>
    <w:p w14:paraId="2F972D06">
      <w:pPr>
        <w:pStyle w:val="7"/>
        <w:tabs>
          <w:tab w:val="left" w:pos="510"/>
          <w:tab w:val="left" w:pos="1000"/>
        </w:tabs>
        <w:spacing w:line="360" w:lineRule="auto"/>
        <w:ind w:left="51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B77FFFD">
      <w:pPr>
        <w:pStyle w:val="7"/>
        <w:tabs>
          <w:tab w:val="left" w:pos="510"/>
          <w:tab w:val="left" w:pos="1000"/>
        </w:tabs>
        <w:spacing w:line="360" w:lineRule="auto"/>
        <w:ind w:left="51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397ACBC5">
      <w:pPr>
        <w:pStyle w:val="7"/>
        <w:tabs>
          <w:tab w:val="left" w:pos="510"/>
          <w:tab w:val="left" w:pos="1000"/>
        </w:tabs>
        <w:spacing w:line="360" w:lineRule="auto"/>
        <w:ind w:left="51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  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AA8A4A5">
      <w:pPr>
        <w:pStyle w:val="7"/>
        <w:tabs>
          <w:tab w:val="left" w:pos="510"/>
          <w:tab w:val="left" w:pos="1000"/>
        </w:tabs>
        <w:spacing w:line="360" w:lineRule="auto"/>
        <w:ind w:left="51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  务：</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3CF7800E">
      <w:pPr>
        <w:pStyle w:val="7"/>
        <w:tabs>
          <w:tab w:val="left" w:pos="510"/>
          <w:tab w:val="left" w:pos="1000"/>
        </w:tabs>
        <w:spacing w:line="360" w:lineRule="auto"/>
        <w:ind w:left="51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系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的法定代表人。</w:t>
      </w:r>
    </w:p>
    <w:p w14:paraId="1B8A8F5D">
      <w:pPr>
        <w:pStyle w:val="7"/>
        <w:tabs>
          <w:tab w:val="left" w:pos="510"/>
          <w:tab w:val="left" w:pos="1000"/>
        </w:tabs>
        <w:spacing w:line="360" w:lineRule="auto"/>
        <w:ind w:left="510" w:firstLine="480"/>
        <w:rPr>
          <w:rFonts w:hint="eastAsia" w:ascii="宋体" w:hAnsi="宋体" w:eastAsia="宋体" w:cs="宋体"/>
          <w:color w:val="auto"/>
          <w:sz w:val="24"/>
          <w:highlight w:val="none"/>
        </w:rPr>
      </w:pPr>
    </w:p>
    <w:p w14:paraId="702CAFC6">
      <w:pPr>
        <w:pStyle w:val="7"/>
        <w:tabs>
          <w:tab w:val="left" w:pos="510"/>
          <w:tab w:val="left" w:pos="1000"/>
        </w:tabs>
        <w:spacing w:line="360" w:lineRule="auto"/>
        <w:ind w:left="51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47031E94">
      <w:pPr>
        <w:pStyle w:val="7"/>
        <w:tabs>
          <w:tab w:val="left" w:pos="510"/>
          <w:tab w:val="left" w:pos="1000"/>
        </w:tabs>
        <w:spacing w:line="360" w:lineRule="auto"/>
        <w:ind w:left="51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w:t>
      </w:r>
      <w:r>
        <w:rPr>
          <w:rFonts w:hint="eastAsia" w:ascii="宋体" w:hAnsi="宋体" w:eastAsia="宋体" w:cs="宋体"/>
          <w:color w:val="auto"/>
          <w:sz w:val="24"/>
          <w:highlight w:val="none"/>
          <w:lang w:val="en-US" w:eastAsia="zh-CN"/>
        </w:rPr>
        <w:t>或个体工商户经营者</w:t>
      </w:r>
      <w:r>
        <w:rPr>
          <w:rFonts w:hint="eastAsia" w:ascii="宋体" w:hAnsi="宋体" w:eastAsia="宋体" w:cs="宋体"/>
          <w:color w:val="auto"/>
          <w:sz w:val="24"/>
          <w:highlight w:val="none"/>
        </w:rPr>
        <w:t>身份证</w:t>
      </w:r>
    </w:p>
    <w:p w14:paraId="5CBCC1EE">
      <w:pPr>
        <w:pStyle w:val="7"/>
        <w:tabs>
          <w:tab w:val="left" w:pos="510"/>
          <w:tab w:val="left" w:pos="1000"/>
        </w:tabs>
        <w:spacing w:line="360" w:lineRule="auto"/>
        <w:ind w:left="510" w:firstLine="480"/>
        <w:rPr>
          <w:rFonts w:hint="eastAsia" w:ascii="宋体" w:hAnsi="宋体" w:eastAsia="宋体" w:cs="宋体"/>
          <w:color w:val="auto"/>
          <w:sz w:val="24"/>
          <w:highlight w:val="none"/>
        </w:rPr>
      </w:pPr>
    </w:p>
    <w:p w14:paraId="54E65D6B">
      <w:pPr>
        <w:pStyle w:val="7"/>
        <w:tabs>
          <w:tab w:val="left" w:pos="510"/>
          <w:tab w:val="left" w:pos="1000"/>
        </w:tabs>
        <w:spacing w:line="360" w:lineRule="auto"/>
        <w:ind w:left="510" w:firstLine="480"/>
        <w:rPr>
          <w:rFonts w:hint="eastAsia" w:ascii="宋体" w:hAnsi="宋体" w:eastAsia="宋体" w:cs="宋体"/>
          <w:color w:val="auto"/>
          <w:sz w:val="24"/>
          <w:highlight w:val="none"/>
        </w:rPr>
      </w:pPr>
    </w:p>
    <w:p w14:paraId="1D6B698E">
      <w:pPr>
        <w:pStyle w:val="7"/>
        <w:tabs>
          <w:tab w:val="left" w:pos="510"/>
          <w:tab w:val="left" w:pos="1000"/>
        </w:tabs>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供应商（盖章）：       </w:t>
      </w:r>
    </w:p>
    <w:p w14:paraId="1A7BEBC4">
      <w:pPr>
        <w:pStyle w:val="7"/>
        <w:tabs>
          <w:tab w:val="left" w:pos="510"/>
          <w:tab w:val="left" w:pos="1000"/>
        </w:tabs>
        <w:spacing w:line="360" w:lineRule="auto"/>
        <w:ind w:firstLine="960" w:firstLineChars="400"/>
        <w:rPr>
          <w:rFonts w:hint="eastAsia" w:ascii="宋体" w:hAnsi="宋体" w:eastAsia="宋体" w:cs="宋体"/>
          <w:color w:val="auto"/>
          <w:sz w:val="24"/>
          <w:highlight w:val="none"/>
        </w:rPr>
        <w:sectPr>
          <w:headerReference r:id="rId4" w:type="default"/>
          <w:footerReference r:id="rId5" w:type="default"/>
          <w:pgSz w:w="11909" w:h="16834"/>
          <w:pgMar w:top="1644" w:right="1672" w:bottom="1304" w:left="1587" w:header="851" w:footer="851" w:gutter="0"/>
          <w:pgBorders>
            <w:top w:val="none" w:sz="0" w:space="0"/>
            <w:left w:val="none" w:sz="0" w:space="0"/>
            <w:bottom w:val="none" w:sz="0" w:space="0"/>
            <w:right w:val="none" w:sz="0" w:space="0"/>
          </w:pgBorders>
          <w:pgNumType w:fmt="decimal"/>
          <w:cols w:space="720" w:num="1"/>
          <w:docGrid w:linePitch="326" w:charSpace="0"/>
        </w:sectPr>
      </w:pPr>
      <w:r>
        <w:rPr>
          <w:rFonts w:hint="eastAsia" w:ascii="宋体" w:hAnsi="宋体" w:eastAsia="宋体" w:cs="宋体"/>
          <w:color w:val="auto"/>
          <w:sz w:val="24"/>
          <w:highlight w:val="none"/>
        </w:rPr>
        <w:t>日 期：</w:t>
      </w:r>
    </w:p>
    <w:p w14:paraId="78FB84E6">
      <w:pPr>
        <w:pStyle w:val="4"/>
        <w:bidi w:val="0"/>
        <w:rPr>
          <w:rFonts w:hint="eastAsia" w:ascii="宋体" w:hAnsi="宋体" w:eastAsia="宋体" w:cs="宋体"/>
          <w:color w:val="auto"/>
          <w:highlight w:val="none"/>
        </w:rPr>
      </w:pPr>
      <w:bookmarkStart w:id="690" w:name="_Toc27054"/>
      <w:bookmarkStart w:id="691" w:name="_Toc13452"/>
      <w:bookmarkStart w:id="692" w:name="_Toc20716"/>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val="en-US"/>
        </w:rPr>
        <w:t>、</w:t>
      </w:r>
      <w:r>
        <w:rPr>
          <w:rFonts w:hint="eastAsia" w:ascii="宋体" w:hAnsi="宋体" w:eastAsia="宋体" w:cs="宋体"/>
          <w:color w:val="auto"/>
          <w:highlight w:val="none"/>
        </w:rPr>
        <w:t>法定代表人</w:t>
      </w:r>
      <w:r>
        <w:rPr>
          <w:rFonts w:hint="eastAsia" w:ascii="宋体" w:hAnsi="宋体" w:eastAsia="宋体" w:cs="宋体"/>
          <w:color w:val="auto"/>
          <w:highlight w:val="none"/>
          <w:lang w:val="en-US" w:eastAsia="zh-CN"/>
        </w:rPr>
        <w:t>或个体工商户经营者</w:t>
      </w:r>
      <w:r>
        <w:rPr>
          <w:rFonts w:hint="eastAsia" w:ascii="宋体" w:hAnsi="宋体" w:eastAsia="宋体" w:cs="宋体"/>
          <w:color w:val="auto"/>
          <w:highlight w:val="none"/>
        </w:rPr>
        <w:t>授权书</w:t>
      </w:r>
      <w:bookmarkEnd w:id="687"/>
      <w:bookmarkEnd w:id="688"/>
      <w:bookmarkEnd w:id="689"/>
      <w:bookmarkEnd w:id="690"/>
      <w:bookmarkEnd w:id="691"/>
      <w:bookmarkEnd w:id="692"/>
    </w:p>
    <w:p w14:paraId="01CDA6B2">
      <w:pPr>
        <w:spacing w:line="360" w:lineRule="auto"/>
        <w:textAlignment w:val="baseline"/>
        <w:rPr>
          <w:rFonts w:hint="eastAsia" w:ascii="宋体" w:hAnsi="宋体" w:eastAsia="宋体" w:cs="宋体"/>
          <w:color w:val="auto"/>
          <w:kern w:val="0"/>
          <w:sz w:val="20"/>
          <w:szCs w:val="21"/>
          <w:highlight w:val="none"/>
        </w:rPr>
      </w:pPr>
    </w:p>
    <w:p w14:paraId="510F3930">
      <w:pPr>
        <w:spacing w:line="6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的法定代表人</w:t>
      </w:r>
      <w:r>
        <w:rPr>
          <w:rFonts w:hint="eastAsia" w:ascii="宋体" w:hAnsi="宋体" w:eastAsia="宋体" w:cs="宋体"/>
          <w:color w:val="auto"/>
          <w:sz w:val="24"/>
          <w:highlight w:val="none"/>
          <w:lang w:val="en-US" w:eastAsia="zh-CN"/>
        </w:rPr>
        <w:t>或个体工商户经营者</w:t>
      </w:r>
      <w:r>
        <w:rPr>
          <w:rFonts w:hint="eastAsia" w:ascii="宋体" w:hAnsi="宋体" w:eastAsia="宋体" w:cs="宋体"/>
          <w:color w:val="auto"/>
          <w:sz w:val="24"/>
          <w:highlight w:val="none"/>
        </w:rPr>
        <w:t>，现授权委托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为我的代理人，以本公司</w:t>
      </w:r>
      <w:r>
        <w:rPr>
          <w:rFonts w:hint="eastAsia" w:ascii="宋体" w:hAnsi="宋体" w:eastAsia="宋体" w:cs="宋体"/>
          <w:color w:val="auto"/>
          <w:sz w:val="24"/>
          <w:highlight w:val="none"/>
          <w:lang w:val="en-US" w:eastAsia="zh-CN"/>
        </w:rPr>
        <w:t>或个体工商户经营者</w:t>
      </w:r>
      <w:r>
        <w:rPr>
          <w:rFonts w:hint="eastAsia" w:ascii="宋体" w:hAnsi="宋体" w:eastAsia="宋体" w:cs="宋体"/>
          <w:color w:val="auto"/>
          <w:sz w:val="24"/>
          <w:highlight w:val="none"/>
        </w:rPr>
        <w:t>的名义参加</w:t>
      </w:r>
      <w:r>
        <w:rPr>
          <w:rFonts w:hint="eastAsia" w:ascii="宋体" w:hAnsi="宋体" w:eastAsia="宋体" w:cs="宋体"/>
          <w:color w:val="auto"/>
          <w:sz w:val="24"/>
          <w:highlight w:val="none"/>
          <w:u w:val="single"/>
        </w:rPr>
        <w:t>　项目名称</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项目编号</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标包号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lang w:eastAsia="zh-CN"/>
        </w:rPr>
        <w:t>招标</w:t>
      </w:r>
      <w:r>
        <w:rPr>
          <w:rFonts w:hint="eastAsia" w:ascii="宋体" w:hAnsi="宋体" w:eastAsia="宋体" w:cs="宋体"/>
          <w:color w:val="auto"/>
          <w:sz w:val="24"/>
          <w:highlight w:val="none"/>
          <w:u w:val="none"/>
        </w:rPr>
        <w:t>的</w:t>
      </w:r>
      <w:r>
        <w:rPr>
          <w:rFonts w:hint="eastAsia" w:ascii="宋体" w:hAnsi="宋体" w:eastAsia="宋体" w:cs="宋体"/>
          <w:color w:val="auto"/>
          <w:sz w:val="24"/>
          <w:highlight w:val="none"/>
        </w:rPr>
        <w:t>投标。授权委托人在开标、评标、合同谈判过程中所签署的一切文件和处理与之有关的一切事务，我均予以承认。</w:t>
      </w:r>
    </w:p>
    <w:p w14:paraId="5B48A49C">
      <w:pPr>
        <w:spacing w:line="6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代理人无转委托权，特此委托。</w:t>
      </w:r>
    </w:p>
    <w:p w14:paraId="0A3A5978">
      <w:pPr>
        <w:spacing w:line="48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供应商名称（盖章）：</w:t>
      </w:r>
      <w:r>
        <w:rPr>
          <w:rFonts w:hint="eastAsia" w:ascii="宋体" w:hAnsi="宋体" w:eastAsia="宋体" w:cs="宋体"/>
          <w:color w:val="auto"/>
          <w:sz w:val="24"/>
          <w:highlight w:val="none"/>
          <w:u w:val="single"/>
        </w:rPr>
        <w:t xml:space="preserve">                        </w:t>
      </w:r>
    </w:p>
    <w:p w14:paraId="648127A4">
      <w:pPr>
        <w:spacing w:line="48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lang w:val="en-US" w:eastAsia="zh-CN"/>
        </w:rPr>
        <w:t>或个体工商户经营者</w:t>
      </w:r>
      <w:r>
        <w:rPr>
          <w:rFonts w:hint="eastAsia" w:ascii="宋体" w:hAnsi="宋体" w:eastAsia="宋体" w:cs="宋体"/>
          <w:color w:val="auto"/>
          <w:sz w:val="24"/>
          <w:highlight w:val="none"/>
        </w:rPr>
        <w:t>（盖章或签字）：</w:t>
      </w:r>
      <w:r>
        <w:rPr>
          <w:rFonts w:hint="eastAsia" w:ascii="宋体" w:hAnsi="宋体" w:eastAsia="宋体" w:cs="宋体"/>
          <w:color w:val="auto"/>
          <w:sz w:val="24"/>
          <w:highlight w:val="none"/>
          <w:u w:val="single"/>
        </w:rPr>
        <w:t>　　　　　　　　</w:t>
      </w:r>
    </w:p>
    <w:p w14:paraId="7C3EB806">
      <w:pPr>
        <w:spacing w:line="48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（附法定代表人身份证正反两面复印件）</w:t>
      </w:r>
    </w:p>
    <w:p w14:paraId="3330815F">
      <w:pPr>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D0208D5">
      <w:pPr>
        <w:pStyle w:val="42"/>
        <w:numPr>
          <w:ilvl w:val="0"/>
          <w:numId w:val="0"/>
        </w:numPr>
        <w:rPr>
          <w:rFonts w:hint="eastAsia" w:ascii="宋体" w:hAnsi="宋体" w:eastAsia="宋体" w:cs="宋体"/>
          <w:color w:val="auto"/>
          <w:highlight w:val="none"/>
        </w:rPr>
      </w:pPr>
    </w:p>
    <w:p w14:paraId="5E477899">
      <w:pPr>
        <w:spacing w:line="48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被授权人（签字）：</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姓别：</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p>
    <w:p w14:paraId="573AB083">
      <w:pPr>
        <w:spacing w:line="48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14:paraId="30821243">
      <w:pPr>
        <w:tabs>
          <w:tab w:val="left" w:pos="855"/>
        </w:tabs>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授权委托日期：</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日</w:t>
      </w:r>
    </w:p>
    <w:p w14:paraId="27A576DE">
      <w:pPr>
        <w:tabs>
          <w:tab w:val="left" w:pos="855"/>
        </w:tabs>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（附被授权人身份证正反两面复印件）</w:t>
      </w:r>
    </w:p>
    <w:p w14:paraId="651224EE">
      <w:pPr>
        <w:spacing w:line="360" w:lineRule="auto"/>
        <w:textAlignment w:val="baseline"/>
        <w:rPr>
          <w:rFonts w:hint="eastAsia" w:ascii="宋体" w:hAnsi="宋体" w:eastAsia="宋体" w:cs="宋体"/>
          <w:color w:val="auto"/>
          <w:kern w:val="0"/>
          <w:sz w:val="20"/>
          <w:szCs w:val="21"/>
          <w:highlight w:val="none"/>
        </w:rPr>
      </w:pPr>
    </w:p>
    <w:p w14:paraId="04BD6529">
      <w:pPr>
        <w:spacing w:line="360" w:lineRule="auto"/>
        <w:textAlignment w:val="baseline"/>
        <w:rPr>
          <w:rFonts w:hint="eastAsia" w:ascii="宋体" w:hAnsi="宋体" w:eastAsia="宋体" w:cs="宋体"/>
          <w:color w:val="auto"/>
          <w:kern w:val="0"/>
          <w:sz w:val="20"/>
          <w:szCs w:val="21"/>
          <w:highlight w:val="none"/>
        </w:rPr>
      </w:pPr>
    </w:p>
    <w:p w14:paraId="29A97DEB">
      <w:pPr>
        <w:spacing w:line="360" w:lineRule="auto"/>
        <w:textAlignment w:val="baseline"/>
        <w:rPr>
          <w:rFonts w:hint="eastAsia" w:ascii="宋体" w:hAnsi="宋体" w:eastAsia="宋体" w:cs="宋体"/>
          <w:color w:val="auto"/>
          <w:kern w:val="0"/>
          <w:sz w:val="20"/>
          <w:szCs w:val="21"/>
          <w:highlight w:val="none"/>
        </w:rPr>
      </w:pPr>
    </w:p>
    <w:p w14:paraId="5F15EB7D">
      <w:pPr>
        <w:spacing w:line="360" w:lineRule="auto"/>
        <w:jc w:val="left"/>
        <w:textAlignment w:val="baseline"/>
        <w:rPr>
          <w:rFonts w:hint="eastAsia" w:ascii="宋体" w:hAnsi="宋体" w:eastAsia="宋体" w:cs="宋体"/>
          <w:color w:val="auto"/>
          <w:kern w:val="0"/>
          <w:sz w:val="20"/>
          <w:szCs w:val="21"/>
          <w:highlight w:val="none"/>
        </w:rPr>
      </w:pPr>
    </w:p>
    <w:p w14:paraId="503293F8">
      <w:pP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49E3B5D3">
      <w:pPr>
        <w:pStyle w:val="4"/>
        <w:bidi w:val="0"/>
        <w:rPr>
          <w:rFonts w:hint="eastAsia" w:ascii="宋体" w:hAnsi="宋体" w:eastAsia="宋体" w:cs="宋体"/>
          <w:color w:val="auto"/>
          <w:highlight w:val="none"/>
        </w:rPr>
      </w:pPr>
      <w:bookmarkStart w:id="693" w:name="_Toc10782"/>
      <w:bookmarkStart w:id="694" w:name="_Toc9943"/>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、供应商基本情况表</w:t>
      </w:r>
      <w:bookmarkEnd w:id="693"/>
      <w:bookmarkEnd w:id="694"/>
    </w:p>
    <w:tbl>
      <w:tblPr>
        <w:tblStyle w:val="23"/>
        <w:tblW w:w="9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7"/>
        <w:gridCol w:w="1086"/>
        <w:gridCol w:w="1338"/>
        <w:gridCol w:w="1084"/>
        <w:gridCol w:w="413"/>
        <w:gridCol w:w="1050"/>
        <w:gridCol w:w="2510"/>
      </w:tblGrid>
      <w:tr w14:paraId="3637C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47" w:type="dxa"/>
            <w:vAlign w:val="center"/>
          </w:tcPr>
          <w:p w14:paraId="4F05B02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名称</w:t>
            </w:r>
          </w:p>
        </w:tc>
        <w:tc>
          <w:tcPr>
            <w:tcW w:w="7481" w:type="dxa"/>
            <w:gridSpan w:val="6"/>
            <w:vAlign w:val="center"/>
          </w:tcPr>
          <w:p w14:paraId="4D78378E">
            <w:pPr>
              <w:spacing w:line="360" w:lineRule="auto"/>
              <w:rPr>
                <w:rFonts w:hint="eastAsia" w:ascii="宋体" w:hAnsi="宋体" w:eastAsia="宋体" w:cs="宋体"/>
                <w:color w:val="auto"/>
                <w:szCs w:val="21"/>
                <w:highlight w:val="none"/>
              </w:rPr>
            </w:pPr>
          </w:p>
        </w:tc>
      </w:tr>
      <w:tr w14:paraId="2BD5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vAlign w:val="center"/>
          </w:tcPr>
          <w:p w14:paraId="6DA40DB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注册地址</w:t>
            </w:r>
          </w:p>
        </w:tc>
        <w:tc>
          <w:tcPr>
            <w:tcW w:w="3508" w:type="dxa"/>
            <w:gridSpan w:val="3"/>
            <w:vAlign w:val="center"/>
          </w:tcPr>
          <w:p w14:paraId="25FD0DAE">
            <w:pPr>
              <w:spacing w:line="360" w:lineRule="auto"/>
              <w:rPr>
                <w:rFonts w:hint="eastAsia" w:ascii="宋体" w:hAnsi="宋体" w:eastAsia="宋体" w:cs="宋体"/>
                <w:color w:val="auto"/>
                <w:szCs w:val="21"/>
                <w:highlight w:val="none"/>
              </w:rPr>
            </w:pPr>
          </w:p>
        </w:tc>
        <w:tc>
          <w:tcPr>
            <w:tcW w:w="1463" w:type="dxa"/>
            <w:gridSpan w:val="2"/>
            <w:vAlign w:val="center"/>
          </w:tcPr>
          <w:p w14:paraId="639DEAE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2510" w:type="dxa"/>
            <w:vAlign w:val="center"/>
          </w:tcPr>
          <w:p w14:paraId="7B229AE1">
            <w:pPr>
              <w:spacing w:line="360" w:lineRule="auto"/>
              <w:rPr>
                <w:rFonts w:hint="eastAsia" w:ascii="宋体" w:hAnsi="宋体" w:eastAsia="宋体" w:cs="宋体"/>
                <w:color w:val="auto"/>
                <w:szCs w:val="21"/>
                <w:highlight w:val="none"/>
              </w:rPr>
            </w:pPr>
          </w:p>
        </w:tc>
      </w:tr>
      <w:tr w14:paraId="62FB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vMerge w:val="restart"/>
            <w:vAlign w:val="center"/>
          </w:tcPr>
          <w:p w14:paraId="74872B1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p>
        </w:tc>
        <w:tc>
          <w:tcPr>
            <w:tcW w:w="1086" w:type="dxa"/>
            <w:vAlign w:val="center"/>
          </w:tcPr>
          <w:p w14:paraId="06E5C49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p>
        </w:tc>
        <w:tc>
          <w:tcPr>
            <w:tcW w:w="2422" w:type="dxa"/>
            <w:gridSpan w:val="2"/>
            <w:vAlign w:val="center"/>
          </w:tcPr>
          <w:p w14:paraId="6FD96266">
            <w:pPr>
              <w:spacing w:line="360" w:lineRule="auto"/>
              <w:rPr>
                <w:rFonts w:hint="eastAsia" w:ascii="宋体" w:hAnsi="宋体" w:eastAsia="宋体" w:cs="宋体"/>
                <w:color w:val="auto"/>
                <w:szCs w:val="21"/>
                <w:highlight w:val="none"/>
              </w:rPr>
            </w:pPr>
          </w:p>
        </w:tc>
        <w:tc>
          <w:tcPr>
            <w:tcW w:w="1463" w:type="dxa"/>
            <w:gridSpan w:val="2"/>
            <w:vAlign w:val="center"/>
          </w:tcPr>
          <w:p w14:paraId="4FE4310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2510" w:type="dxa"/>
            <w:vAlign w:val="center"/>
          </w:tcPr>
          <w:p w14:paraId="590B991E">
            <w:pPr>
              <w:spacing w:line="360" w:lineRule="auto"/>
              <w:rPr>
                <w:rFonts w:hint="eastAsia" w:ascii="宋体" w:hAnsi="宋体" w:eastAsia="宋体" w:cs="宋体"/>
                <w:color w:val="auto"/>
                <w:szCs w:val="21"/>
                <w:highlight w:val="none"/>
              </w:rPr>
            </w:pPr>
          </w:p>
        </w:tc>
      </w:tr>
      <w:tr w14:paraId="1654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vMerge w:val="continue"/>
            <w:vAlign w:val="center"/>
          </w:tcPr>
          <w:p w14:paraId="1259286C">
            <w:pPr>
              <w:spacing w:line="360" w:lineRule="auto"/>
              <w:jc w:val="center"/>
              <w:rPr>
                <w:rFonts w:hint="eastAsia" w:ascii="宋体" w:hAnsi="宋体" w:eastAsia="宋体" w:cs="宋体"/>
                <w:color w:val="auto"/>
                <w:szCs w:val="21"/>
                <w:highlight w:val="none"/>
              </w:rPr>
            </w:pPr>
          </w:p>
        </w:tc>
        <w:tc>
          <w:tcPr>
            <w:tcW w:w="1086" w:type="dxa"/>
            <w:vAlign w:val="center"/>
          </w:tcPr>
          <w:p w14:paraId="63DDCFA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p>
        </w:tc>
        <w:tc>
          <w:tcPr>
            <w:tcW w:w="2422" w:type="dxa"/>
            <w:gridSpan w:val="2"/>
            <w:vAlign w:val="center"/>
          </w:tcPr>
          <w:p w14:paraId="6E836164">
            <w:pPr>
              <w:spacing w:line="360" w:lineRule="auto"/>
              <w:rPr>
                <w:rFonts w:hint="eastAsia" w:ascii="宋体" w:hAnsi="宋体" w:eastAsia="宋体" w:cs="宋体"/>
                <w:color w:val="auto"/>
                <w:szCs w:val="21"/>
                <w:highlight w:val="none"/>
              </w:rPr>
            </w:pPr>
          </w:p>
        </w:tc>
        <w:tc>
          <w:tcPr>
            <w:tcW w:w="1463" w:type="dxa"/>
            <w:gridSpan w:val="2"/>
            <w:vAlign w:val="center"/>
          </w:tcPr>
          <w:p w14:paraId="74B697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网址</w:t>
            </w:r>
          </w:p>
        </w:tc>
        <w:tc>
          <w:tcPr>
            <w:tcW w:w="2510" w:type="dxa"/>
            <w:vAlign w:val="center"/>
          </w:tcPr>
          <w:p w14:paraId="4CA0F74F">
            <w:pPr>
              <w:spacing w:line="360" w:lineRule="auto"/>
              <w:rPr>
                <w:rFonts w:hint="eastAsia" w:ascii="宋体" w:hAnsi="宋体" w:eastAsia="宋体" w:cs="宋体"/>
                <w:color w:val="auto"/>
                <w:szCs w:val="21"/>
                <w:highlight w:val="none"/>
              </w:rPr>
            </w:pPr>
          </w:p>
        </w:tc>
      </w:tr>
      <w:tr w14:paraId="0AB3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vAlign w:val="center"/>
          </w:tcPr>
          <w:p w14:paraId="7BE105F3">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val="en-US" w:eastAsia="zh-CN"/>
              </w:rPr>
              <w:t>或个体工商户经营者</w:t>
            </w:r>
          </w:p>
        </w:tc>
        <w:tc>
          <w:tcPr>
            <w:tcW w:w="1086" w:type="dxa"/>
            <w:vAlign w:val="center"/>
          </w:tcPr>
          <w:p w14:paraId="1985525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338" w:type="dxa"/>
            <w:vAlign w:val="center"/>
          </w:tcPr>
          <w:p w14:paraId="12EC9543">
            <w:pPr>
              <w:spacing w:line="360" w:lineRule="auto"/>
              <w:rPr>
                <w:rFonts w:hint="eastAsia" w:ascii="宋体" w:hAnsi="宋体" w:eastAsia="宋体" w:cs="宋体"/>
                <w:color w:val="auto"/>
                <w:szCs w:val="21"/>
                <w:highlight w:val="none"/>
              </w:rPr>
            </w:pPr>
          </w:p>
        </w:tc>
        <w:tc>
          <w:tcPr>
            <w:tcW w:w="1497" w:type="dxa"/>
            <w:gridSpan w:val="2"/>
            <w:vAlign w:val="center"/>
          </w:tcPr>
          <w:p w14:paraId="41C9E39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3560" w:type="dxa"/>
            <w:gridSpan w:val="2"/>
            <w:vAlign w:val="center"/>
          </w:tcPr>
          <w:p w14:paraId="1B070668">
            <w:pPr>
              <w:spacing w:line="360" w:lineRule="auto"/>
              <w:rPr>
                <w:rFonts w:hint="eastAsia" w:ascii="宋体" w:hAnsi="宋体" w:eastAsia="宋体" w:cs="宋体"/>
                <w:color w:val="auto"/>
                <w:szCs w:val="21"/>
                <w:highlight w:val="none"/>
              </w:rPr>
            </w:pPr>
          </w:p>
        </w:tc>
      </w:tr>
      <w:tr w14:paraId="542C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vAlign w:val="center"/>
          </w:tcPr>
          <w:p w14:paraId="7637BEB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w:t>
            </w:r>
          </w:p>
        </w:tc>
        <w:tc>
          <w:tcPr>
            <w:tcW w:w="1086" w:type="dxa"/>
            <w:vAlign w:val="center"/>
          </w:tcPr>
          <w:p w14:paraId="71E7A97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338" w:type="dxa"/>
            <w:vAlign w:val="center"/>
          </w:tcPr>
          <w:p w14:paraId="54102EB6">
            <w:pPr>
              <w:spacing w:line="360" w:lineRule="auto"/>
              <w:rPr>
                <w:rFonts w:hint="eastAsia" w:ascii="宋体" w:hAnsi="宋体" w:eastAsia="宋体" w:cs="宋体"/>
                <w:color w:val="auto"/>
                <w:szCs w:val="21"/>
                <w:highlight w:val="none"/>
              </w:rPr>
            </w:pPr>
          </w:p>
        </w:tc>
        <w:tc>
          <w:tcPr>
            <w:tcW w:w="1497" w:type="dxa"/>
            <w:gridSpan w:val="2"/>
            <w:vAlign w:val="center"/>
          </w:tcPr>
          <w:p w14:paraId="164BF16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3560" w:type="dxa"/>
            <w:gridSpan w:val="2"/>
            <w:vAlign w:val="center"/>
          </w:tcPr>
          <w:p w14:paraId="3E1F2BF6">
            <w:pPr>
              <w:spacing w:line="360" w:lineRule="auto"/>
              <w:rPr>
                <w:rFonts w:hint="eastAsia" w:ascii="宋体" w:hAnsi="宋体" w:eastAsia="宋体" w:cs="宋体"/>
                <w:color w:val="auto"/>
                <w:szCs w:val="21"/>
                <w:highlight w:val="none"/>
              </w:rPr>
            </w:pPr>
          </w:p>
        </w:tc>
      </w:tr>
      <w:tr w14:paraId="199D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vAlign w:val="center"/>
          </w:tcPr>
          <w:p w14:paraId="3113E8D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p>
        </w:tc>
        <w:tc>
          <w:tcPr>
            <w:tcW w:w="7481" w:type="dxa"/>
            <w:gridSpan w:val="6"/>
          </w:tcPr>
          <w:p w14:paraId="325D4BF1">
            <w:pPr>
              <w:spacing w:line="360" w:lineRule="auto"/>
              <w:ind w:firstLine="1155" w:firstLineChars="550"/>
              <w:rPr>
                <w:rFonts w:hint="eastAsia" w:ascii="宋体" w:hAnsi="宋体" w:eastAsia="宋体" w:cs="宋体"/>
                <w:color w:val="auto"/>
                <w:szCs w:val="21"/>
                <w:highlight w:val="none"/>
              </w:rPr>
            </w:pPr>
          </w:p>
        </w:tc>
      </w:tr>
      <w:tr w14:paraId="559ED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vAlign w:val="center"/>
          </w:tcPr>
          <w:p w14:paraId="766ECEA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营业执照号</w:t>
            </w:r>
          </w:p>
        </w:tc>
        <w:tc>
          <w:tcPr>
            <w:tcW w:w="7481" w:type="dxa"/>
            <w:gridSpan w:val="6"/>
          </w:tcPr>
          <w:p w14:paraId="193AC93D">
            <w:pPr>
              <w:spacing w:line="360" w:lineRule="auto"/>
              <w:rPr>
                <w:rFonts w:hint="eastAsia" w:ascii="宋体" w:hAnsi="宋体" w:eastAsia="宋体" w:cs="宋体"/>
                <w:color w:val="auto"/>
                <w:szCs w:val="21"/>
                <w:highlight w:val="none"/>
              </w:rPr>
            </w:pPr>
          </w:p>
        </w:tc>
      </w:tr>
      <w:tr w14:paraId="18BF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vAlign w:val="center"/>
          </w:tcPr>
          <w:p w14:paraId="26C016C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注册资金</w:t>
            </w:r>
          </w:p>
        </w:tc>
        <w:tc>
          <w:tcPr>
            <w:tcW w:w="7481" w:type="dxa"/>
            <w:gridSpan w:val="6"/>
          </w:tcPr>
          <w:p w14:paraId="6D8AB8B4">
            <w:pPr>
              <w:spacing w:line="360" w:lineRule="auto"/>
              <w:rPr>
                <w:rFonts w:hint="eastAsia" w:ascii="宋体" w:hAnsi="宋体" w:eastAsia="宋体" w:cs="宋体"/>
                <w:color w:val="auto"/>
                <w:szCs w:val="21"/>
                <w:highlight w:val="none"/>
              </w:rPr>
            </w:pPr>
          </w:p>
        </w:tc>
      </w:tr>
      <w:tr w14:paraId="5A9F7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vAlign w:val="center"/>
          </w:tcPr>
          <w:p w14:paraId="6838D50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基本账户</w:t>
            </w:r>
          </w:p>
          <w:p w14:paraId="18FDA6A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7481" w:type="dxa"/>
            <w:gridSpan w:val="6"/>
          </w:tcPr>
          <w:p w14:paraId="3D517308">
            <w:pPr>
              <w:spacing w:line="360" w:lineRule="auto"/>
              <w:rPr>
                <w:rFonts w:hint="eastAsia" w:ascii="宋体" w:hAnsi="宋体" w:eastAsia="宋体" w:cs="宋体"/>
                <w:color w:val="auto"/>
                <w:szCs w:val="21"/>
                <w:highlight w:val="none"/>
              </w:rPr>
            </w:pPr>
          </w:p>
        </w:tc>
      </w:tr>
      <w:tr w14:paraId="0C7C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vAlign w:val="center"/>
          </w:tcPr>
          <w:p w14:paraId="31E569C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基本账户账号</w:t>
            </w:r>
          </w:p>
        </w:tc>
        <w:tc>
          <w:tcPr>
            <w:tcW w:w="7481" w:type="dxa"/>
            <w:gridSpan w:val="6"/>
          </w:tcPr>
          <w:p w14:paraId="40AAB2B7">
            <w:pPr>
              <w:spacing w:line="360" w:lineRule="auto"/>
              <w:rPr>
                <w:rFonts w:hint="eastAsia" w:ascii="宋体" w:hAnsi="宋体" w:eastAsia="宋体" w:cs="宋体"/>
                <w:color w:val="auto"/>
                <w:szCs w:val="21"/>
                <w:highlight w:val="none"/>
              </w:rPr>
            </w:pPr>
          </w:p>
        </w:tc>
      </w:tr>
      <w:tr w14:paraId="191F5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647" w:type="dxa"/>
            <w:vAlign w:val="center"/>
          </w:tcPr>
          <w:p w14:paraId="2380D73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经营范围</w:t>
            </w:r>
          </w:p>
        </w:tc>
        <w:tc>
          <w:tcPr>
            <w:tcW w:w="7481" w:type="dxa"/>
            <w:gridSpan w:val="6"/>
          </w:tcPr>
          <w:p w14:paraId="42C8ED15">
            <w:pPr>
              <w:spacing w:line="360" w:lineRule="auto"/>
              <w:rPr>
                <w:rFonts w:hint="eastAsia" w:ascii="宋体" w:hAnsi="宋体" w:eastAsia="宋体" w:cs="宋体"/>
                <w:color w:val="auto"/>
                <w:szCs w:val="21"/>
                <w:highlight w:val="none"/>
              </w:rPr>
            </w:pPr>
          </w:p>
          <w:p w14:paraId="67410DC2">
            <w:pPr>
              <w:rPr>
                <w:rFonts w:hint="eastAsia" w:ascii="宋体" w:hAnsi="宋体" w:eastAsia="宋体" w:cs="宋体"/>
                <w:color w:val="auto"/>
                <w:szCs w:val="21"/>
                <w:highlight w:val="none"/>
              </w:rPr>
            </w:pPr>
          </w:p>
        </w:tc>
      </w:tr>
      <w:tr w14:paraId="45E04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1647" w:type="dxa"/>
            <w:vAlign w:val="center"/>
          </w:tcPr>
          <w:p w14:paraId="1DBC0C1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关联企业</w:t>
            </w:r>
          </w:p>
        </w:tc>
        <w:tc>
          <w:tcPr>
            <w:tcW w:w="7481" w:type="dxa"/>
            <w:gridSpan w:val="6"/>
          </w:tcPr>
          <w:p w14:paraId="26AF2EF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与本单位负责人为同一人的单位：</w:t>
            </w:r>
          </w:p>
          <w:p w14:paraId="571D2A8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与本单位存在控股关系的单位：</w:t>
            </w:r>
          </w:p>
          <w:p w14:paraId="38769CD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与本单位存在管理关系的单位：</w:t>
            </w:r>
          </w:p>
        </w:tc>
      </w:tr>
      <w:tr w14:paraId="00181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vAlign w:val="center"/>
          </w:tcPr>
          <w:p w14:paraId="6250614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7481" w:type="dxa"/>
            <w:gridSpan w:val="6"/>
          </w:tcPr>
          <w:p w14:paraId="02BFBA55">
            <w:pPr>
              <w:spacing w:line="360" w:lineRule="auto"/>
              <w:rPr>
                <w:rFonts w:hint="eastAsia" w:ascii="宋体" w:hAnsi="宋体" w:eastAsia="宋体" w:cs="宋体"/>
                <w:color w:val="auto"/>
                <w:szCs w:val="21"/>
                <w:highlight w:val="none"/>
              </w:rPr>
            </w:pPr>
          </w:p>
        </w:tc>
      </w:tr>
    </w:tbl>
    <w:p w14:paraId="7A717982">
      <w:pPr>
        <w:textAlignment w:val="baseline"/>
        <w:rPr>
          <w:rFonts w:hint="eastAsia" w:ascii="宋体" w:hAnsi="宋体" w:eastAsia="宋体" w:cs="宋体"/>
          <w:color w:val="auto"/>
          <w:szCs w:val="21"/>
          <w:highlight w:val="none"/>
        </w:rPr>
        <w:sectPr>
          <w:pgSz w:w="11906" w:h="16838"/>
          <w:pgMar w:top="1440" w:right="1588" w:bottom="1440" w:left="147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85C02B1">
      <w:pPr>
        <w:numPr>
          <w:ilvl w:val="0"/>
          <w:numId w:val="3"/>
        </w:numPr>
        <w:bidi w:val="0"/>
        <w:spacing w:line="360" w:lineRule="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供应商必须为在中华人民共和国境内依法注册成立的法人或其他组织，提供有效证件复印件加盖公章</w:t>
      </w:r>
    </w:p>
    <w:p w14:paraId="4FBE3619">
      <w:pPr>
        <w:numPr>
          <w:ilvl w:val="0"/>
          <w:numId w:val="3"/>
        </w:numPr>
        <w:bidi w:val="0"/>
        <w:spacing w:line="360" w:lineRule="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财务要求：供应商具有良好的商业信誉和健全的财务会计制度，提供2023年财务审计报告或财务报表（利润表、资产负债表、现金流量表）或其基本开户银行出具的资信证明或书面承诺函；</w:t>
      </w:r>
      <w:r>
        <w:rPr>
          <w:rFonts w:hint="eastAsia" w:ascii="宋体" w:hAnsi="宋体" w:eastAsia="宋体" w:cs="宋体"/>
          <w:color w:val="auto"/>
          <w:sz w:val="21"/>
          <w:szCs w:val="21"/>
          <w:highlight w:val="none"/>
          <w:lang w:val="en-US" w:eastAsia="zh-CN"/>
        </w:rPr>
        <w:t>所有标包的供应商承诺能够提供增值税专用发票。（附件一）</w:t>
      </w:r>
    </w:p>
    <w:p w14:paraId="5D5F468D">
      <w:pPr>
        <w:numPr>
          <w:ilvl w:val="0"/>
          <w:numId w:val="3"/>
        </w:numPr>
        <w:bidi w:val="0"/>
        <w:spacing w:line="360" w:lineRule="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供应商依法缴纳税收和社会保险，提供2024年投标截止日前一个月的纳税证明材料和缴纳社保的证明材料或提供依法缴纳税收和社会保险或书面承诺函；依法免税或不需要缴纳社会保障资金的供应商应提供相应的证明材料（附件一）</w:t>
      </w:r>
    </w:p>
    <w:p w14:paraId="77F44155">
      <w:pPr>
        <w:numPr>
          <w:ilvl w:val="0"/>
          <w:numId w:val="3"/>
        </w:numPr>
        <w:bidi w:val="0"/>
        <w:spacing w:line="360" w:lineRule="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供应商必须具备所投标包履行合同所必需的相关产品、人员和服务能力，提供书面承诺函（附件一）</w:t>
      </w:r>
    </w:p>
    <w:p w14:paraId="334BE38C">
      <w:pPr>
        <w:numPr>
          <w:ilvl w:val="0"/>
          <w:numId w:val="3"/>
        </w:numPr>
        <w:bidi w:val="0"/>
        <w:spacing w:line="360" w:lineRule="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单位负责人为同一人或者存在直接控股、管理关系的不同投标人，不得参加本项目同一合同项下的招标活动，提供书面承诺函（附件一）</w:t>
      </w:r>
    </w:p>
    <w:p w14:paraId="0A0279CD">
      <w:pPr>
        <w:numPr>
          <w:ilvl w:val="0"/>
          <w:numId w:val="0"/>
        </w:numPr>
        <w:bidi w:val="0"/>
        <w:spacing w:line="360" w:lineRule="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6、参加本次招标活动前三年内，在经营活动中没有重大违法记录，提供书面承诺函（附件一）</w:t>
      </w:r>
    </w:p>
    <w:p w14:paraId="784C1192">
      <w:pPr>
        <w:numPr>
          <w:ilvl w:val="0"/>
          <w:numId w:val="0"/>
        </w:numPr>
        <w:bidi w:val="0"/>
        <w:spacing w:line="360" w:lineRule="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7、供应商未被“中国执行信息公开网（http://zxgk.court.gov.cn/shixin/）列入“失信被执行人”；未被“信用中国”（http://www.creditchina.gov.cn）网站列入“重大税收违法失信主体”、“政府采购严重违法失信行为记录名单”。（提供加盖供应商鲜章的网页截图或书面承诺函）（附件一）</w:t>
      </w:r>
    </w:p>
    <w:p w14:paraId="5543130D">
      <w:pPr>
        <w:numPr>
          <w:ilvl w:val="0"/>
          <w:numId w:val="0"/>
        </w:numPr>
        <w:bidi w:val="0"/>
        <w:spacing w:line="360" w:lineRule="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8、投标企业、企业法定代表人、个体工商户及个体工商户经营者无行贿犯罪记录，提供在“中国裁判文书网”无“行贿犯罪”的查询结果截图并加盖供应商公章或书面承诺函（附件一）</w:t>
      </w:r>
    </w:p>
    <w:p w14:paraId="70450F3F">
      <w:pPr>
        <w:numPr>
          <w:ilvl w:val="0"/>
          <w:numId w:val="0"/>
        </w:numPr>
        <w:bidi w:val="0"/>
        <w:spacing w:line="360" w:lineRule="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9、特定资格要求：</w:t>
      </w:r>
      <w:r>
        <w:rPr>
          <w:rFonts w:hint="eastAsia" w:ascii="宋体" w:hAnsi="宋体" w:eastAsia="宋体" w:cs="宋体"/>
          <w:color w:val="auto"/>
          <w:sz w:val="21"/>
          <w:szCs w:val="21"/>
          <w:highlight w:val="none"/>
          <w:lang w:val="en-US" w:eastAsia="zh-CN"/>
        </w:rPr>
        <w:t>所投每标包的供应商对应招标公告每标包明确的特定资格要求（详见招标公告中特定资格要求）</w:t>
      </w:r>
    </w:p>
    <w:p w14:paraId="4C608DEE">
      <w:pPr>
        <w:numPr>
          <w:ilvl w:val="0"/>
          <w:numId w:val="0"/>
        </w:numPr>
        <w:bidi w:val="0"/>
        <w:spacing w:line="360" w:lineRule="auto"/>
        <w:rPr>
          <w:rFonts w:hint="eastAsia" w:ascii="宋体" w:hAnsi="宋体" w:eastAsia="宋体" w:cs="宋体"/>
          <w:color w:val="auto"/>
          <w:sz w:val="22"/>
          <w:szCs w:val="28"/>
          <w:highlight w:val="none"/>
          <w:lang w:val="en-US" w:eastAsia="zh-CN"/>
        </w:rPr>
      </w:pPr>
    </w:p>
    <w:p w14:paraId="05056B4F">
      <w:pPr>
        <w:bidi w:val="0"/>
        <w:rPr>
          <w:rFonts w:hint="eastAsia" w:ascii="宋体" w:hAnsi="宋体" w:eastAsia="宋体" w:cs="宋体"/>
          <w:color w:val="auto"/>
          <w:highlight w:val="none"/>
          <w:lang w:val="en-US" w:eastAsia="zh-CN"/>
        </w:rPr>
      </w:pPr>
    </w:p>
    <w:p w14:paraId="78A55C2C">
      <w:pPr>
        <w:bidi w:val="0"/>
        <w:rPr>
          <w:rFonts w:hint="eastAsia" w:ascii="宋体" w:hAnsi="宋体" w:eastAsia="宋体" w:cs="宋体"/>
          <w:color w:val="auto"/>
          <w:highlight w:val="none"/>
          <w:lang w:val="en-US" w:eastAsia="zh-CN"/>
        </w:rPr>
        <w:sectPr>
          <w:pgSz w:w="11906" w:h="16838"/>
          <w:pgMar w:top="1440" w:right="1588" w:bottom="1440" w:left="147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99F463B">
      <w:pPr>
        <w:pStyle w:val="4"/>
        <w:spacing w:before="0" w:after="0" w:line="240" w:lineRule="auto"/>
        <w:jc w:val="center"/>
        <w:rPr>
          <w:rFonts w:hint="eastAsia" w:ascii="宋体" w:hAnsi="宋体" w:eastAsia="宋体" w:cs="宋体"/>
          <w:color w:val="auto"/>
          <w:szCs w:val="28"/>
          <w:highlight w:val="none"/>
        </w:rPr>
      </w:pPr>
      <w:bookmarkStart w:id="695" w:name="_Toc22219"/>
      <w:bookmarkStart w:id="696" w:name="_Toc30539"/>
      <w:bookmarkStart w:id="697" w:name="_Toc25084"/>
      <w:bookmarkStart w:id="698" w:name="_Toc2253"/>
      <w:bookmarkStart w:id="699" w:name="_Toc21723"/>
      <w:r>
        <w:rPr>
          <w:rFonts w:hint="eastAsia" w:ascii="宋体" w:hAnsi="宋体" w:eastAsia="宋体" w:cs="宋体"/>
          <w:color w:val="auto"/>
          <w:szCs w:val="28"/>
          <w:highlight w:val="none"/>
          <w:lang w:val="en-US" w:eastAsia="zh-CN"/>
        </w:rPr>
        <w:t>5</w:t>
      </w:r>
      <w:r>
        <w:rPr>
          <w:rFonts w:hint="eastAsia" w:ascii="宋体" w:hAnsi="宋体" w:eastAsia="宋体" w:cs="宋体"/>
          <w:color w:val="auto"/>
          <w:szCs w:val="28"/>
          <w:highlight w:val="none"/>
        </w:rPr>
        <w:t>、类似业绩表</w:t>
      </w:r>
      <w:bookmarkEnd w:id="695"/>
      <w:bookmarkEnd w:id="696"/>
      <w:bookmarkEnd w:id="697"/>
      <w:bookmarkEnd w:id="698"/>
      <w:bookmarkEnd w:id="699"/>
    </w:p>
    <w:tbl>
      <w:tblPr>
        <w:tblStyle w:val="23"/>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7"/>
        <w:gridCol w:w="1648"/>
        <w:gridCol w:w="2268"/>
        <w:gridCol w:w="3033"/>
      </w:tblGrid>
      <w:tr w14:paraId="258FA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077" w:type="dxa"/>
            <w:vAlign w:val="center"/>
          </w:tcPr>
          <w:p w14:paraId="3F06A362">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648" w:type="dxa"/>
            <w:vAlign w:val="center"/>
          </w:tcPr>
          <w:p w14:paraId="0896403A">
            <w:pPr>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2268" w:type="dxa"/>
            <w:vAlign w:val="center"/>
          </w:tcPr>
          <w:p w14:paraId="34AD7E45">
            <w:pPr>
              <w:jc w:val="center"/>
              <w:rPr>
                <w:rFonts w:hint="eastAsia" w:ascii="宋体" w:hAnsi="宋体" w:eastAsia="宋体" w:cs="宋体"/>
                <w:color w:val="auto"/>
                <w:highlight w:val="none"/>
              </w:rPr>
            </w:pPr>
            <w:r>
              <w:rPr>
                <w:rFonts w:hint="eastAsia" w:ascii="宋体" w:hAnsi="宋体" w:eastAsia="宋体" w:cs="宋体"/>
                <w:color w:val="auto"/>
                <w:highlight w:val="none"/>
              </w:rPr>
              <w:t>委托单位名称</w:t>
            </w:r>
          </w:p>
        </w:tc>
        <w:tc>
          <w:tcPr>
            <w:tcW w:w="3033" w:type="dxa"/>
            <w:vAlign w:val="center"/>
          </w:tcPr>
          <w:p w14:paraId="12389CF9">
            <w:pPr>
              <w:jc w:val="center"/>
              <w:rPr>
                <w:rFonts w:hint="eastAsia" w:ascii="宋体" w:hAnsi="宋体" w:eastAsia="宋体" w:cs="宋体"/>
                <w:color w:val="auto"/>
                <w:highlight w:val="none"/>
              </w:rPr>
            </w:pPr>
            <w:r>
              <w:rPr>
                <w:rFonts w:hint="eastAsia" w:ascii="宋体" w:hAnsi="宋体" w:eastAsia="宋体" w:cs="宋体"/>
                <w:color w:val="auto"/>
                <w:highlight w:val="none"/>
              </w:rPr>
              <w:t>合同金额</w:t>
            </w:r>
          </w:p>
        </w:tc>
      </w:tr>
      <w:tr w14:paraId="43C5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077" w:type="dxa"/>
            <w:vAlign w:val="center"/>
          </w:tcPr>
          <w:p w14:paraId="341A67D4">
            <w:pPr>
              <w:jc w:val="center"/>
              <w:rPr>
                <w:rFonts w:hint="eastAsia" w:ascii="宋体" w:hAnsi="宋体" w:eastAsia="宋体" w:cs="宋体"/>
                <w:color w:val="auto"/>
                <w:highlight w:val="none"/>
              </w:rPr>
            </w:pPr>
          </w:p>
        </w:tc>
        <w:tc>
          <w:tcPr>
            <w:tcW w:w="1648" w:type="dxa"/>
            <w:vAlign w:val="center"/>
          </w:tcPr>
          <w:p w14:paraId="19D5A4D1">
            <w:pPr>
              <w:jc w:val="center"/>
              <w:rPr>
                <w:rFonts w:hint="eastAsia" w:ascii="宋体" w:hAnsi="宋体" w:eastAsia="宋体" w:cs="宋体"/>
                <w:color w:val="auto"/>
                <w:highlight w:val="none"/>
              </w:rPr>
            </w:pPr>
          </w:p>
        </w:tc>
        <w:tc>
          <w:tcPr>
            <w:tcW w:w="2268" w:type="dxa"/>
            <w:vAlign w:val="center"/>
          </w:tcPr>
          <w:p w14:paraId="17E19574">
            <w:pPr>
              <w:jc w:val="center"/>
              <w:rPr>
                <w:rFonts w:hint="eastAsia" w:ascii="宋体" w:hAnsi="宋体" w:eastAsia="宋体" w:cs="宋体"/>
                <w:color w:val="auto"/>
                <w:highlight w:val="none"/>
              </w:rPr>
            </w:pPr>
          </w:p>
        </w:tc>
        <w:tc>
          <w:tcPr>
            <w:tcW w:w="3033" w:type="dxa"/>
            <w:vAlign w:val="center"/>
          </w:tcPr>
          <w:p w14:paraId="0807BFDA">
            <w:pPr>
              <w:jc w:val="center"/>
              <w:rPr>
                <w:rFonts w:hint="eastAsia" w:ascii="宋体" w:hAnsi="宋体" w:eastAsia="宋体" w:cs="宋体"/>
                <w:color w:val="auto"/>
                <w:highlight w:val="none"/>
              </w:rPr>
            </w:pPr>
          </w:p>
        </w:tc>
      </w:tr>
      <w:tr w14:paraId="4B361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077" w:type="dxa"/>
            <w:vAlign w:val="center"/>
          </w:tcPr>
          <w:p w14:paraId="6F819624">
            <w:pPr>
              <w:jc w:val="center"/>
              <w:rPr>
                <w:rFonts w:hint="eastAsia" w:ascii="宋体" w:hAnsi="宋体" w:eastAsia="宋体" w:cs="宋体"/>
                <w:color w:val="auto"/>
                <w:highlight w:val="none"/>
              </w:rPr>
            </w:pPr>
          </w:p>
        </w:tc>
        <w:tc>
          <w:tcPr>
            <w:tcW w:w="1648" w:type="dxa"/>
            <w:vAlign w:val="center"/>
          </w:tcPr>
          <w:p w14:paraId="4EBB1F74">
            <w:pPr>
              <w:jc w:val="center"/>
              <w:rPr>
                <w:rFonts w:hint="eastAsia" w:ascii="宋体" w:hAnsi="宋体" w:eastAsia="宋体" w:cs="宋体"/>
                <w:color w:val="auto"/>
                <w:highlight w:val="none"/>
              </w:rPr>
            </w:pPr>
          </w:p>
        </w:tc>
        <w:tc>
          <w:tcPr>
            <w:tcW w:w="2268" w:type="dxa"/>
            <w:vAlign w:val="center"/>
          </w:tcPr>
          <w:p w14:paraId="724318C7">
            <w:pPr>
              <w:jc w:val="center"/>
              <w:rPr>
                <w:rFonts w:hint="eastAsia" w:ascii="宋体" w:hAnsi="宋体" w:eastAsia="宋体" w:cs="宋体"/>
                <w:color w:val="auto"/>
                <w:highlight w:val="none"/>
              </w:rPr>
            </w:pPr>
          </w:p>
        </w:tc>
        <w:tc>
          <w:tcPr>
            <w:tcW w:w="3033" w:type="dxa"/>
            <w:vAlign w:val="center"/>
          </w:tcPr>
          <w:p w14:paraId="25E66392">
            <w:pPr>
              <w:jc w:val="center"/>
              <w:rPr>
                <w:rFonts w:hint="eastAsia" w:ascii="宋体" w:hAnsi="宋体" w:eastAsia="宋体" w:cs="宋体"/>
                <w:color w:val="auto"/>
                <w:highlight w:val="none"/>
              </w:rPr>
            </w:pPr>
          </w:p>
        </w:tc>
      </w:tr>
      <w:tr w14:paraId="6039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077" w:type="dxa"/>
            <w:vAlign w:val="center"/>
          </w:tcPr>
          <w:p w14:paraId="182BFFF0">
            <w:pPr>
              <w:jc w:val="center"/>
              <w:rPr>
                <w:rFonts w:hint="eastAsia" w:ascii="宋体" w:hAnsi="宋体" w:eastAsia="宋体" w:cs="宋体"/>
                <w:color w:val="auto"/>
                <w:highlight w:val="none"/>
              </w:rPr>
            </w:pPr>
          </w:p>
        </w:tc>
        <w:tc>
          <w:tcPr>
            <w:tcW w:w="1648" w:type="dxa"/>
            <w:vAlign w:val="center"/>
          </w:tcPr>
          <w:p w14:paraId="13C9680D">
            <w:pPr>
              <w:jc w:val="center"/>
              <w:rPr>
                <w:rFonts w:hint="eastAsia" w:ascii="宋体" w:hAnsi="宋体" w:eastAsia="宋体" w:cs="宋体"/>
                <w:color w:val="auto"/>
                <w:highlight w:val="none"/>
              </w:rPr>
            </w:pPr>
          </w:p>
        </w:tc>
        <w:tc>
          <w:tcPr>
            <w:tcW w:w="2268" w:type="dxa"/>
            <w:vAlign w:val="center"/>
          </w:tcPr>
          <w:p w14:paraId="38AE6F88">
            <w:pPr>
              <w:jc w:val="center"/>
              <w:rPr>
                <w:rFonts w:hint="eastAsia" w:ascii="宋体" w:hAnsi="宋体" w:eastAsia="宋体" w:cs="宋体"/>
                <w:color w:val="auto"/>
                <w:highlight w:val="none"/>
              </w:rPr>
            </w:pPr>
          </w:p>
        </w:tc>
        <w:tc>
          <w:tcPr>
            <w:tcW w:w="3033" w:type="dxa"/>
            <w:vAlign w:val="center"/>
          </w:tcPr>
          <w:p w14:paraId="01CFE5C0">
            <w:pPr>
              <w:jc w:val="center"/>
              <w:rPr>
                <w:rFonts w:hint="eastAsia" w:ascii="宋体" w:hAnsi="宋体" w:eastAsia="宋体" w:cs="宋体"/>
                <w:color w:val="auto"/>
                <w:highlight w:val="none"/>
              </w:rPr>
            </w:pPr>
          </w:p>
        </w:tc>
      </w:tr>
      <w:tr w14:paraId="038A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077" w:type="dxa"/>
            <w:vAlign w:val="center"/>
          </w:tcPr>
          <w:p w14:paraId="6A324711">
            <w:pPr>
              <w:jc w:val="center"/>
              <w:rPr>
                <w:rFonts w:hint="eastAsia" w:ascii="宋体" w:hAnsi="宋体" w:eastAsia="宋体" w:cs="宋体"/>
                <w:color w:val="auto"/>
                <w:highlight w:val="none"/>
              </w:rPr>
            </w:pPr>
          </w:p>
        </w:tc>
        <w:tc>
          <w:tcPr>
            <w:tcW w:w="1648" w:type="dxa"/>
            <w:vAlign w:val="center"/>
          </w:tcPr>
          <w:p w14:paraId="17E70A91">
            <w:pPr>
              <w:jc w:val="center"/>
              <w:rPr>
                <w:rFonts w:hint="eastAsia" w:ascii="宋体" w:hAnsi="宋体" w:eastAsia="宋体" w:cs="宋体"/>
                <w:color w:val="auto"/>
                <w:highlight w:val="none"/>
              </w:rPr>
            </w:pPr>
          </w:p>
        </w:tc>
        <w:tc>
          <w:tcPr>
            <w:tcW w:w="2268" w:type="dxa"/>
            <w:vAlign w:val="center"/>
          </w:tcPr>
          <w:p w14:paraId="4895607F">
            <w:pPr>
              <w:jc w:val="center"/>
              <w:rPr>
                <w:rFonts w:hint="eastAsia" w:ascii="宋体" w:hAnsi="宋体" w:eastAsia="宋体" w:cs="宋体"/>
                <w:color w:val="auto"/>
                <w:highlight w:val="none"/>
              </w:rPr>
            </w:pPr>
          </w:p>
        </w:tc>
        <w:tc>
          <w:tcPr>
            <w:tcW w:w="3033" w:type="dxa"/>
            <w:vAlign w:val="center"/>
          </w:tcPr>
          <w:p w14:paraId="3B306430">
            <w:pPr>
              <w:jc w:val="center"/>
              <w:rPr>
                <w:rFonts w:hint="eastAsia" w:ascii="宋体" w:hAnsi="宋体" w:eastAsia="宋体" w:cs="宋体"/>
                <w:color w:val="auto"/>
                <w:highlight w:val="none"/>
              </w:rPr>
            </w:pPr>
          </w:p>
        </w:tc>
      </w:tr>
      <w:tr w14:paraId="13BD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077" w:type="dxa"/>
            <w:vAlign w:val="center"/>
          </w:tcPr>
          <w:p w14:paraId="27B7500C">
            <w:pPr>
              <w:jc w:val="center"/>
              <w:rPr>
                <w:rFonts w:hint="eastAsia" w:ascii="宋体" w:hAnsi="宋体" w:eastAsia="宋体" w:cs="宋体"/>
                <w:color w:val="auto"/>
                <w:highlight w:val="none"/>
              </w:rPr>
            </w:pPr>
          </w:p>
        </w:tc>
        <w:tc>
          <w:tcPr>
            <w:tcW w:w="1648" w:type="dxa"/>
            <w:vAlign w:val="center"/>
          </w:tcPr>
          <w:p w14:paraId="5EA133FE">
            <w:pPr>
              <w:jc w:val="center"/>
              <w:rPr>
                <w:rFonts w:hint="eastAsia" w:ascii="宋体" w:hAnsi="宋体" w:eastAsia="宋体" w:cs="宋体"/>
                <w:color w:val="auto"/>
                <w:highlight w:val="none"/>
              </w:rPr>
            </w:pPr>
          </w:p>
        </w:tc>
        <w:tc>
          <w:tcPr>
            <w:tcW w:w="2268" w:type="dxa"/>
            <w:vAlign w:val="center"/>
          </w:tcPr>
          <w:p w14:paraId="2E15F91C">
            <w:pPr>
              <w:jc w:val="center"/>
              <w:rPr>
                <w:rFonts w:hint="eastAsia" w:ascii="宋体" w:hAnsi="宋体" w:eastAsia="宋体" w:cs="宋体"/>
                <w:color w:val="auto"/>
                <w:highlight w:val="none"/>
              </w:rPr>
            </w:pPr>
          </w:p>
        </w:tc>
        <w:tc>
          <w:tcPr>
            <w:tcW w:w="3033" w:type="dxa"/>
            <w:vAlign w:val="center"/>
          </w:tcPr>
          <w:p w14:paraId="45095E21">
            <w:pPr>
              <w:jc w:val="center"/>
              <w:rPr>
                <w:rFonts w:hint="eastAsia" w:ascii="宋体" w:hAnsi="宋体" w:eastAsia="宋体" w:cs="宋体"/>
                <w:color w:val="auto"/>
                <w:highlight w:val="none"/>
              </w:rPr>
            </w:pPr>
          </w:p>
        </w:tc>
      </w:tr>
      <w:tr w14:paraId="1472C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077" w:type="dxa"/>
            <w:vAlign w:val="center"/>
          </w:tcPr>
          <w:p w14:paraId="261929E4">
            <w:pPr>
              <w:jc w:val="center"/>
              <w:rPr>
                <w:rFonts w:hint="eastAsia" w:ascii="宋体" w:hAnsi="宋体" w:eastAsia="宋体" w:cs="宋体"/>
                <w:color w:val="auto"/>
                <w:highlight w:val="none"/>
              </w:rPr>
            </w:pPr>
          </w:p>
        </w:tc>
        <w:tc>
          <w:tcPr>
            <w:tcW w:w="1648" w:type="dxa"/>
            <w:vAlign w:val="center"/>
          </w:tcPr>
          <w:p w14:paraId="1373C95B">
            <w:pPr>
              <w:jc w:val="center"/>
              <w:rPr>
                <w:rFonts w:hint="eastAsia" w:ascii="宋体" w:hAnsi="宋体" w:eastAsia="宋体" w:cs="宋体"/>
                <w:color w:val="auto"/>
                <w:highlight w:val="none"/>
              </w:rPr>
            </w:pPr>
          </w:p>
        </w:tc>
        <w:tc>
          <w:tcPr>
            <w:tcW w:w="2268" w:type="dxa"/>
            <w:vAlign w:val="center"/>
          </w:tcPr>
          <w:p w14:paraId="4248D97D">
            <w:pPr>
              <w:jc w:val="center"/>
              <w:rPr>
                <w:rFonts w:hint="eastAsia" w:ascii="宋体" w:hAnsi="宋体" w:eastAsia="宋体" w:cs="宋体"/>
                <w:color w:val="auto"/>
                <w:highlight w:val="none"/>
              </w:rPr>
            </w:pPr>
          </w:p>
        </w:tc>
        <w:tc>
          <w:tcPr>
            <w:tcW w:w="3033" w:type="dxa"/>
            <w:vAlign w:val="center"/>
          </w:tcPr>
          <w:p w14:paraId="3180D180">
            <w:pPr>
              <w:jc w:val="center"/>
              <w:rPr>
                <w:rFonts w:hint="eastAsia" w:ascii="宋体" w:hAnsi="宋体" w:eastAsia="宋体" w:cs="宋体"/>
                <w:color w:val="auto"/>
                <w:highlight w:val="none"/>
              </w:rPr>
            </w:pPr>
          </w:p>
        </w:tc>
      </w:tr>
      <w:tr w14:paraId="651F2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077" w:type="dxa"/>
            <w:vAlign w:val="center"/>
          </w:tcPr>
          <w:p w14:paraId="01C97F97">
            <w:pPr>
              <w:jc w:val="center"/>
              <w:rPr>
                <w:rFonts w:hint="eastAsia" w:ascii="宋体" w:hAnsi="宋体" w:eastAsia="宋体" w:cs="宋体"/>
                <w:color w:val="auto"/>
                <w:highlight w:val="none"/>
              </w:rPr>
            </w:pPr>
          </w:p>
        </w:tc>
        <w:tc>
          <w:tcPr>
            <w:tcW w:w="1648" w:type="dxa"/>
            <w:vAlign w:val="center"/>
          </w:tcPr>
          <w:p w14:paraId="5AAD4FE6">
            <w:pPr>
              <w:jc w:val="center"/>
              <w:rPr>
                <w:rFonts w:hint="eastAsia" w:ascii="宋体" w:hAnsi="宋体" w:eastAsia="宋体" w:cs="宋体"/>
                <w:color w:val="auto"/>
                <w:highlight w:val="none"/>
              </w:rPr>
            </w:pPr>
          </w:p>
        </w:tc>
        <w:tc>
          <w:tcPr>
            <w:tcW w:w="2268" w:type="dxa"/>
            <w:vAlign w:val="center"/>
          </w:tcPr>
          <w:p w14:paraId="56F197B2">
            <w:pPr>
              <w:jc w:val="center"/>
              <w:rPr>
                <w:rFonts w:hint="eastAsia" w:ascii="宋体" w:hAnsi="宋体" w:eastAsia="宋体" w:cs="宋体"/>
                <w:color w:val="auto"/>
                <w:highlight w:val="none"/>
              </w:rPr>
            </w:pPr>
          </w:p>
        </w:tc>
        <w:tc>
          <w:tcPr>
            <w:tcW w:w="3033" w:type="dxa"/>
            <w:vAlign w:val="center"/>
          </w:tcPr>
          <w:p w14:paraId="712D156A">
            <w:pPr>
              <w:jc w:val="center"/>
              <w:rPr>
                <w:rFonts w:hint="eastAsia" w:ascii="宋体" w:hAnsi="宋体" w:eastAsia="宋体" w:cs="宋体"/>
                <w:color w:val="auto"/>
                <w:highlight w:val="none"/>
              </w:rPr>
            </w:pPr>
          </w:p>
        </w:tc>
      </w:tr>
      <w:tr w14:paraId="21B31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077" w:type="dxa"/>
            <w:vAlign w:val="center"/>
          </w:tcPr>
          <w:p w14:paraId="4F698A26">
            <w:pPr>
              <w:jc w:val="center"/>
              <w:rPr>
                <w:rFonts w:hint="eastAsia" w:ascii="宋体" w:hAnsi="宋体" w:eastAsia="宋体" w:cs="宋体"/>
                <w:color w:val="auto"/>
                <w:highlight w:val="none"/>
              </w:rPr>
            </w:pPr>
          </w:p>
        </w:tc>
        <w:tc>
          <w:tcPr>
            <w:tcW w:w="1648" w:type="dxa"/>
            <w:vAlign w:val="center"/>
          </w:tcPr>
          <w:p w14:paraId="1A2B127B">
            <w:pPr>
              <w:jc w:val="center"/>
              <w:rPr>
                <w:rFonts w:hint="eastAsia" w:ascii="宋体" w:hAnsi="宋体" w:eastAsia="宋体" w:cs="宋体"/>
                <w:color w:val="auto"/>
                <w:highlight w:val="none"/>
              </w:rPr>
            </w:pPr>
          </w:p>
        </w:tc>
        <w:tc>
          <w:tcPr>
            <w:tcW w:w="2268" w:type="dxa"/>
            <w:vAlign w:val="center"/>
          </w:tcPr>
          <w:p w14:paraId="5AE8FC90">
            <w:pPr>
              <w:jc w:val="center"/>
              <w:rPr>
                <w:rFonts w:hint="eastAsia" w:ascii="宋体" w:hAnsi="宋体" w:eastAsia="宋体" w:cs="宋体"/>
                <w:color w:val="auto"/>
                <w:highlight w:val="none"/>
              </w:rPr>
            </w:pPr>
          </w:p>
        </w:tc>
        <w:tc>
          <w:tcPr>
            <w:tcW w:w="3033" w:type="dxa"/>
            <w:vAlign w:val="center"/>
          </w:tcPr>
          <w:p w14:paraId="02C9789A">
            <w:pPr>
              <w:jc w:val="center"/>
              <w:rPr>
                <w:rFonts w:hint="eastAsia" w:ascii="宋体" w:hAnsi="宋体" w:eastAsia="宋体" w:cs="宋体"/>
                <w:color w:val="auto"/>
                <w:highlight w:val="none"/>
              </w:rPr>
            </w:pPr>
          </w:p>
        </w:tc>
      </w:tr>
      <w:tr w14:paraId="323B1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077" w:type="dxa"/>
            <w:vAlign w:val="center"/>
          </w:tcPr>
          <w:p w14:paraId="44299805">
            <w:pPr>
              <w:jc w:val="center"/>
              <w:rPr>
                <w:rFonts w:hint="eastAsia" w:ascii="宋体" w:hAnsi="宋体" w:eastAsia="宋体" w:cs="宋体"/>
                <w:color w:val="auto"/>
                <w:highlight w:val="none"/>
              </w:rPr>
            </w:pPr>
          </w:p>
        </w:tc>
        <w:tc>
          <w:tcPr>
            <w:tcW w:w="1648" w:type="dxa"/>
            <w:vAlign w:val="center"/>
          </w:tcPr>
          <w:p w14:paraId="4F78AF8B">
            <w:pPr>
              <w:jc w:val="center"/>
              <w:rPr>
                <w:rFonts w:hint="eastAsia" w:ascii="宋体" w:hAnsi="宋体" w:eastAsia="宋体" w:cs="宋体"/>
                <w:color w:val="auto"/>
                <w:highlight w:val="none"/>
              </w:rPr>
            </w:pPr>
          </w:p>
        </w:tc>
        <w:tc>
          <w:tcPr>
            <w:tcW w:w="2268" w:type="dxa"/>
            <w:vAlign w:val="center"/>
          </w:tcPr>
          <w:p w14:paraId="7C0C5711">
            <w:pPr>
              <w:jc w:val="center"/>
              <w:rPr>
                <w:rFonts w:hint="eastAsia" w:ascii="宋体" w:hAnsi="宋体" w:eastAsia="宋体" w:cs="宋体"/>
                <w:color w:val="auto"/>
                <w:highlight w:val="none"/>
              </w:rPr>
            </w:pPr>
          </w:p>
        </w:tc>
        <w:tc>
          <w:tcPr>
            <w:tcW w:w="3033" w:type="dxa"/>
            <w:vAlign w:val="center"/>
          </w:tcPr>
          <w:p w14:paraId="32D5CC8A">
            <w:pPr>
              <w:jc w:val="center"/>
              <w:rPr>
                <w:rFonts w:hint="eastAsia" w:ascii="宋体" w:hAnsi="宋体" w:eastAsia="宋体" w:cs="宋体"/>
                <w:color w:val="auto"/>
                <w:highlight w:val="none"/>
              </w:rPr>
            </w:pPr>
          </w:p>
        </w:tc>
      </w:tr>
      <w:tr w14:paraId="6BFC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077" w:type="dxa"/>
            <w:vAlign w:val="center"/>
          </w:tcPr>
          <w:p w14:paraId="1E600CF4">
            <w:pPr>
              <w:jc w:val="center"/>
              <w:rPr>
                <w:rFonts w:hint="eastAsia" w:ascii="宋体" w:hAnsi="宋体" w:eastAsia="宋体" w:cs="宋体"/>
                <w:color w:val="auto"/>
                <w:highlight w:val="none"/>
              </w:rPr>
            </w:pPr>
          </w:p>
        </w:tc>
        <w:tc>
          <w:tcPr>
            <w:tcW w:w="1648" w:type="dxa"/>
            <w:vAlign w:val="center"/>
          </w:tcPr>
          <w:p w14:paraId="18BD781F">
            <w:pPr>
              <w:jc w:val="center"/>
              <w:rPr>
                <w:rFonts w:hint="eastAsia" w:ascii="宋体" w:hAnsi="宋体" w:eastAsia="宋体" w:cs="宋体"/>
                <w:color w:val="auto"/>
                <w:highlight w:val="none"/>
              </w:rPr>
            </w:pPr>
          </w:p>
        </w:tc>
        <w:tc>
          <w:tcPr>
            <w:tcW w:w="2268" w:type="dxa"/>
            <w:vAlign w:val="center"/>
          </w:tcPr>
          <w:p w14:paraId="6740455F">
            <w:pPr>
              <w:jc w:val="center"/>
              <w:rPr>
                <w:rFonts w:hint="eastAsia" w:ascii="宋体" w:hAnsi="宋体" w:eastAsia="宋体" w:cs="宋体"/>
                <w:color w:val="auto"/>
                <w:highlight w:val="none"/>
              </w:rPr>
            </w:pPr>
          </w:p>
        </w:tc>
        <w:tc>
          <w:tcPr>
            <w:tcW w:w="3033" w:type="dxa"/>
            <w:vAlign w:val="center"/>
          </w:tcPr>
          <w:p w14:paraId="39C996EB">
            <w:pPr>
              <w:jc w:val="center"/>
              <w:rPr>
                <w:rFonts w:hint="eastAsia" w:ascii="宋体" w:hAnsi="宋体" w:eastAsia="宋体" w:cs="宋体"/>
                <w:color w:val="auto"/>
                <w:highlight w:val="none"/>
              </w:rPr>
            </w:pPr>
          </w:p>
        </w:tc>
      </w:tr>
      <w:tr w14:paraId="5E3B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077" w:type="dxa"/>
            <w:vAlign w:val="center"/>
          </w:tcPr>
          <w:p w14:paraId="37474D80">
            <w:pPr>
              <w:jc w:val="center"/>
              <w:rPr>
                <w:rFonts w:hint="eastAsia" w:ascii="宋体" w:hAnsi="宋体" w:eastAsia="宋体" w:cs="宋体"/>
                <w:color w:val="auto"/>
                <w:highlight w:val="none"/>
              </w:rPr>
            </w:pPr>
          </w:p>
        </w:tc>
        <w:tc>
          <w:tcPr>
            <w:tcW w:w="1648" w:type="dxa"/>
            <w:vAlign w:val="center"/>
          </w:tcPr>
          <w:p w14:paraId="1D767E6E">
            <w:pPr>
              <w:jc w:val="center"/>
              <w:rPr>
                <w:rFonts w:hint="eastAsia" w:ascii="宋体" w:hAnsi="宋体" w:eastAsia="宋体" w:cs="宋体"/>
                <w:color w:val="auto"/>
                <w:highlight w:val="none"/>
              </w:rPr>
            </w:pPr>
          </w:p>
        </w:tc>
        <w:tc>
          <w:tcPr>
            <w:tcW w:w="2268" w:type="dxa"/>
            <w:vAlign w:val="center"/>
          </w:tcPr>
          <w:p w14:paraId="04E8F5A3">
            <w:pPr>
              <w:jc w:val="center"/>
              <w:rPr>
                <w:rFonts w:hint="eastAsia" w:ascii="宋体" w:hAnsi="宋体" w:eastAsia="宋体" w:cs="宋体"/>
                <w:color w:val="auto"/>
                <w:highlight w:val="none"/>
              </w:rPr>
            </w:pPr>
          </w:p>
        </w:tc>
        <w:tc>
          <w:tcPr>
            <w:tcW w:w="3033" w:type="dxa"/>
            <w:vAlign w:val="center"/>
          </w:tcPr>
          <w:p w14:paraId="066460C6">
            <w:pPr>
              <w:jc w:val="center"/>
              <w:rPr>
                <w:rFonts w:hint="eastAsia" w:ascii="宋体" w:hAnsi="宋体" w:eastAsia="宋体" w:cs="宋体"/>
                <w:color w:val="auto"/>
                <w:highlight w:val="none"/>
              </w:rPr>
            </w:pPr>
          </w:p>
        </w:tc>
      </w:tr>
      <w:tr w14:paraId="6FEF0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077" w:type="dxa"/>
            <w:vAlign w:val="center"/>
          </w:tcPr>
          <w:p w14:paraId="20769728">
            <w:pPr>
              <w:jc w:val="center"/>
              <w:rPr>
                <w:rFonts w:hint="eastAsia" w:ascii="宋体" w:hAnsi="宋体" w:eastAsia="宋体" w:cs="宋体"/>
                <w:color w:val="auto"/>
                <w:highlight w:val="none"/>
              </w:rPr>
            </w:pPr>
          </w:p>
        </w:tc>
        <w:tc>
          <w:tcPr>
            <w:tcW w:w="1648" w:type="dxa"/>
            <w:vAlign w:val="center"/>
          </w:tcPr>
          <w:p w14:paraId="40475537">
            <w:pPr>
              <w:jc w:val="center"/>
              <w:rPr>
                <w:rFonts w:hint="eastAsia" w:ascii="宋体" w:hAnsi="宋体" w:eastAsia="宋体" w:cs="宋体"/>
                <w:color w:val="auto"/>
                <w:highlight w:val="none"/>
              </w:rPr>
            </w:pPr>
          </w:p>
        </w:tc>
        <w:tc>
          <w:tcPr>
            <w:tcW w:w="2268" w:type="dxa"/>
            <w:vAlign w:val="center"/>
          </w:tcPr>
          <w:p w14:paraId="0305E459">
            <w:pPr>
              <w:jc w:val="center"/>
              <w:rPr>
                <w:rFonts w:hint="eastAsia" w:ascii="宋体" w:hAnsi="宋体" w:eastAsia="宋体" w:cs="宋体"/>
                <w:color w:val="auto"/>
                <w:highlight w:val="none"/>
              </w:rPr>
            </w:pPr>
          </w:p>
        </w:tc>
        <w:tc>
          <w:tcPr>
            <w:tcW w:w="3033" w:type="dxa"/>
            <w:vAlign w:val="center"/>
          </w:tcPr>
          <w:p w14:paraId="46F2AB3A">
            <w:pPr>
              <w:jc w:val="center"/>
              <w:rPr>
                <w:rFonts w:hint="eastAsia" w:ascii="宋体" w:hAnsi="宋体" w:eastAsia="宋体" w:cs="宋体"/>
                <w:color w:val="auto"/>
                <w:highlight w:val="none"/>
              </w:rPr>
            </w:pPr>
          </w:p>
        </w:tc>
      </w:tr>
      <w:tr w14:paraId="550FD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077" w:type="dxa"/>
            <w:vAlign w:val="center"/>
          </w:tcPr>
          <w:p w14:paraId="54216DE6">
            <w:pPr>
              <w:jc w:val="center"/>
              <w:rPr>
                <w:rFonts w:hint="eastAsia" w:ascii="宋体" w:hAnsi="宋体" w:eastAsia="宋体" w:cs="宋体"/>
                <w:color w:val="auto"/>
                <w:highlight w:val="none"/>
              </w:rPr>
            </w:pPr>
            <w:r>
              <w:rPr>
                <w:rFonts w:hint="eastAsia" w:ascii="宋体" w:hAnsi="宋体" w:eastAsia="宋体" w:cs="宋体"/>
                <w:color w:val="auto"/>
                <w:highlight w:val="none"/>
              </w:rPr>
              <w:t>合计</w:t>
            </w:r>
          </w:p>
        </w:tc>
        <w:tc>
          <w:tcPr>
            <w:tcW w:w="1648" w:type="dxa"/>
            <w:vAlign w:val="center"/>
          </w:tcPr>
          <w:p w14:paraId="4307F9F8">
            <w:pPr>
              <w:jc w:val="center"/>
              <w:rPr>
                <w:rFonts w:hint="eastAsia" w:ascii="宋体" w:hAnsi="宋体" w:eastAsia="宋体" w:cs="宋体"/>
                <w:color w:val="auto"/>
                <w:highlight w:val="none"/>
              </w:rPr>
            </w:pPr>
          </w:p>
        </w:tc>
        <w:tc>
          <w:tcPr>
            <w:tcW w:w="2268" w:type="dxa"/>
            <w:vAlign w:val="center"/>
          </w:tcPr>
          <w:p w14:paraId="01E656C6">
            <w:pPr>
              <w:jc w:val="center"/>
              <w:rPr>
                <w:rFonts w:hint="eastAsia" w:ascii="宋体" w:hAnsi="宋体" w:eastAsia="宋体" w:cs="宋体"/>
                <w:color w:val="auto"/>
                <w:highlight w:val="none"/>
              </w:rPr>
            </w:pPr>
          </w:p>
        </w:tc>
        <w:tc>
          <w:tcPr>
            <w:tcW w:w="3033" w:type="dxa"/>
            <w:vAlign w:val="center"/>
          </w:tcPr>
          <w:p w14:paraId="0B2F63F9">
            <w:pPr>
              <w:jc w:val="center"/>
              <w:rPr>
                <w:rFonts w:hint="eastAsia" w:ascii="宋体" w:hAnsi="宋体" w:eastAsia="宋体" w:cs="宋体"/>
                <w:color w:val="auto"/>
                <w:highlight w:val="none"/>
              </w:rPr>
            </w:pPr>
          </w:p>
        </w:tc>
      </w:tr>
    </w:tbl>
    <w:p w14:paraId="21C85801">
      <w:pPr>
        <w:spacing w:line="360" w:lineRule="auto"/>
        <w:textAlignment w:val="baseline"/>
        <w:rPr>
          <w:rFonts w:hint="eastAsia" w:ascii="宋体" w:hAnsi="宋体" w:eastAsia="宋体" w:cs="宋体"/>
          <w:color w:val="auto"/>
          <w:sz w:val="20"/>
          <w:szCs w:val="21"/>
          <w:highlight w:val="none"/>
        </w:rPr>
      </w:pPr>
      <w:r>
        <w:rPr>
          <w:rFonts w:hint="eastAsia" w:ascii="宋体" w:hAnsi="宋体" w:eastAsia="宋体" w:cs="宋体"/>
          <w:color w:val="auto"/>
          <w:spacing w:val="20"/>
          <w:szCs w:val="21"/>
          <w:highlight w:val="none"/>
        </w:rPr>
        <w:t>备注：</w:t>
      </w:r>
      <w:r>
        <w:rPr>
          <w:rFonts w:hint="eastAsia" w:ascii="宋体" w:hAnsi="宋体" w:eastAsia="宋体" w:cs="宋体"/>
          <w:color w:val="auto"/>
          <w:spacing w:val="20"/>
          <w:szCs w:val="21"/>
          <w:highlight w:val="none"/>
          <w:lang w:val="en-US" w:eastAsia="zh-CN"/>
        </w:rPr>
        <w:t>按照评分标准中的要求</w:t>
      </w:r>
      <w:r>
        <w:rPr>
          <w:rFonts w:hint="eastAsia" w:ascii="宋体" w:hAnsi="宋体" w:eastAsia="宋体" w:cs="宋体"/>
          <w:color w:val="auto"/>
          <w:spacing w:val="20"/>
          <w:szCs w:val="21"/>
          <w:highlight w:val="none"/>
        </w:rPr>
        <w:t>提供合同</w:t>
      </w:r>
      <w:r>
        <w:rPr>
          <w:rFonts w:hint="eastAsia" w:ascii="宋体" w:hAnsi="宋体" w:eastAsia="宋体" w:cs="宋体"/>
          <w:color w:val="auto"/>
          <w:spacing w:val="20"/>
          <w:szCs w:val="21"/>
          <w:highlight w:val="none"/>
          <w:lang w:val="en-US" w:eastAsia="zh-CN"/>
        </w:rPr>
        <w:t>或中标通知书</w:t>
      </w:r>
    </w:p>
    <w:p w14:paraId="25C5C9D9">
      <w:pPr>
        <w:spacing w:line="480" w:lineRule="auto"/>
        <w:ind w:firstLine="480"/>
        <w:textAlignment w:val="baseline"/>
        <w:rPr>
          <w:rFonts w:hint="eastAsia" w:ascii="宋体" w:hAnsi="宋体" w:eastAsia="宋体" w:cs="宋体"/>
          <w:bCs/>
          <w:color w:val="auto"/>
          <w:sz w:val="24"/>
          <w:highlight w:val="none"/>
        </w:rPr>
      </w:pPr>
    </w:p>
    <w:p w14:paraId="37E3254D">
      <w:pPr>
        <w:spacing w:line="360" w:lineRule="auto"/>
        <w:jc w:val="left"/>
        <w:textAlignment w:val="baseline"/>
        <w:rPr>
          <w:rFonts w:hint="eastAsia" w:ascii="宋体" w:hAnsi="宋体" w:eastAsia="宋体" w:cs="宋体"/>
          <w:b/>
          <w:bCs/>
          <w:color w:val="auto"/>
          <w:szCs w:val="21"/>
          <w:highlight w:val="none"/>
          <w:lang w:val="en-US"/>
        </w:rPr>
      </w:pPr>
      <w:r>
        <w:rPr>
          <w:rFonts w:hint="eastAsia" w:ascii="宋体" w:hAnsi="宋体" w:eastAsia="宋体" w:cs="宋体"/>
          <w:bCs/>
          <w:color w:val="auto"/>
          <w:sz w:val="24"/>
          <w:highlight w:val="none"/>
        </w:rPr>
        <w:br w:type="page"/>
      </w:r>
    </w:p>
    <w:p w14:paraId="7E9916DE">
      <w:pPr>
        <w:pStyle w:val="4"/>
        <w:bidi w:val="0"/>
        <w:rPr>
          <w:rFonts w:hint="eastAsia" w:ascii="宋体" w:hAnsi="宋体" w:eastAsia="宋体" w:cs="宋体"/>
          <w:color w:val="auto"/>
          <w:highlight w:val="none"/>
          <w:lang w:val="en-US"/>
        </w:rPr>
      </w:pPr>
      <w:bookmarkStart w:id="700" w:name="_Toc24359"/>
      <w:bookmarkStart w:id="701" w:name="_Toc24203"/>
      <w:bookmarkStart w:id="702" w:name="_Toc11394"/>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val="en-US"/>
        </w:rPr>
        <w:t>技术文件</w:t>
      </w:r>
      <w:bookmarkEnd w:id="700"/>
      <w:bookmarkEnd w:id="701"/>
      <w:bookmarkEnd w:id="702"/>
    </w:p>
    <w:p w14:paraId="145588E0">
      <w:pPr>
        <w:tabs>
          <w:tab w:val="left" w:pos="1365"/>
        </w:tabs>
        <w:spacing w:line="360" w:lineRule="auto"/>
        <w:ind w:firstLine="117" w:firstLineChars="49"/>
        <w:textAlignment w:val="baseline"/>
        <w:rPr>
          <w:rFonts w:hint="eastAsia" w:ascii="宋体" w:hAnsi="宋体" w:eastAsia="宋体" w:cs="宋体"/>
          <w:color w:val="auto"/>
          <w:kern w:val="0"/>
          <w:sz w:val="24"/>
          <w:szCs w:val="32"/>
          <w:highlight w:val="none"/>
        </w:rPr>
      </w:pPr>
    </w:p>
    <w:p w14:paraId="65964548">
      <w:pPr>
        <w:spacing w:line="400" w:lineRule="exact"/>
        <w:ind w:left="2520" w:leftChars="1200" w:firstLine="700" w:firstLineChars="350"/>
        <w:textAlignment w:val="baseline"/>
        <w:rPr>
          <w:rFonts w:hint="eastAsia" w:ascii="宋体" w:hAnsi="宋体" w:eastAsia="宋体" w:cs="宋体"/>
          <w:bCs/>
          <w:color w:val="auto"/>
          <w:sz w:val="20"/>
          <w:szCs w:val="21"/>
          <w:highlight w:val="none"/>
        </w:rPr>
      </w:pPr>
    </w:p>
    <w:p w14:paraId="0022BE13">
      <w:pPr>
        <w:jc w:val="center"/>
        <w:textAlignment w:val="baseline"/>
        <w:rPr>
          <w:rFonts w:hint="eastAsia" w:ascii="宋体" w:hAnsi="宋体" w:eastAsia="宋体" w:cs="宋体"/>
          <w:b/>
          <w:color w:val="auto"/>
          <w:sz w:val="20"/>
          <w:highlight w:val="none"/>
          <w:lang w:val="zh-CN"/>
        </w:rPr>
      </w:pPr>
    </w:p>
    <w:p w14:paraId="1144C82C">
      <w:pPr>
        <w:pStyle w:val="7"/>
        <w:rPr>
          <w:rFonts w:hint="eastAsia" w:ascii="宋体" w:hAnsi="宋体" w:eastAsia="宋体" w:cs="宋体"/>
          <w:b/>
          <w:color w:val="auto"/>
          <w:sz w:val="20"/>
          <w:highlight w:val="none"/>
          <w:lang w:val="zh-CN"/>
        </w:rPr>
      </w:pPr>
    </w:p>
    <w:p w14:paraId="5D4FE673">
      <w:pPr>
        <w:pStyle w:val="7"/>
        <w:rPr>
          <w:rFonts w:hint="eastAsia" w:ascii="宋体" w:hAnsi="宋体" w:eastAsia="宋体" w:cs="宋体"/>
          <w:b/>
          <w:color w:val="auto"/>
          <w:sz w:val="20"/>
          <w:highlight w:val="none"/>
          <w:lang w:val="zh-CN"/>
        </w:rPr>
      </w:pPr>
    </w:p>
    <w:p w14:paraId="41B5CBAB">
      <w:pPr>
        <w:pStyle w:val="7"/>
        <w:rPr>
          <w:rFonts w:hint="eastAsia" w:ascii="宋体" w:hAnsi="宋体" w:eastAsia="宋体" w:cs="宋体"/>
          <w:b/>
          <w:color w:val="auto"/>
          <w:sz w:val="20"/>
          <w:highlight w:val="none"/>
          <w:lang w:val="zh-CN"/>
        </w:rPr>
      </w:pPr>
    </w:p>
    <w:p w14:paraId="182B2F52">
      <w:pPr>
        <w:pStyle w:val="7"/>
        <w:rPr>
          <w:rFonts w:hint="eastAsia" w:ascii="宋体" w:hAnsi="宋体" w:eastAsia="宋体" w:cs="宋体"/>
          <w:b/>
          <w:color w:val="auto"/>
          <w:sz w:val="20"/>
          <w:highlight w:val="none"/>
          <w:lang w:val="zh-CN"/>
        </w:rPr>
      </w:pPr>
    </w:p>
    <w:p w14:paraId="71A718DA">
      <w:pPr>
        <w:pStyle w:val="7"/>
        <w:rPr>
          <w:rFonts w:hint="eastAsia" w:ascii="宋体" w:hAnsi="宋体" w:eastAsia="宋体" w:cs="宋体"/>
          <w:b/>
          <w:color w:val="auto"/>
          <w:sz w:val="20"/>
          <w:highlight w:val="none"/>
          <w:lang w:val="zh-CN"/>
        </w:rPr>
      </w:pPr>
    </w:p>
    <w:p w14:paraId="09B8740A">
      <w:pPr>
        <w:pStyle w:val="7"/>
        <w:rPr>
          <w:rFonts w:hint="eastAsia" w:ascii="宋体" w:hAnsi="宋体" w:eastAsia="宋体" w:cs="宋体"/>
          <w:b/>
          <w:color w:val="auto"/>
          <w:sz w:val="20"/>
          <w:highlight w:val="none"/>
          <w:lang w:val="zh-CN"/>
        </w:rPr>
      </w:pPr>
    </w:p>
    <w:p w14:paraId="37D17972">
      <w:pPr>
        <w:pStyle w:val="7"/>
        <w:rPr>
          <w:rFonts w:hint="eastAsia" w:ascii="宋体" w:hAnsi="宋体" w:eastAsia="宋体" w:cs="宋体"/>
          <w:b/>
          <w:color w:val="auto"/>
          <w:sz w:val="20"/>
          <w:highlight w:val="none"/>
          <w:lang w:val="zh-CN"/>
        </w:rPr>
      </w:pPr>
    </w:p>
    <w:p w14:paraId="1CF55F66">
      <w:pPr>
        <w:pStyle w:val="7"/>
        <w:rPr>
          <w:rFonts w:hint="eastAsia" w:ascii="宋体" w:hAnsi="宋体" w:eastAsia="宋体" w:cs="宋体"/>
          <w:b/>
          <w:color w:val="auto"/>
          <w:sz w:val="20"/>
          <w:highlight w:val="none"/>
          <w:lang w:val="zh-CN"/>
        </w:rPr>
      </w:pPr>
    </w:p>
    <w:p w14:paraId="20D992CC">
      <w:pPr>
        <w:pStyle w:val="7"/>
        <w:rPr>
          <w:rFonts w:hint="eastAsia" w:ascii="宋体" w:hAnsi="宋体" w:eastAsia="宋体" w:cs="宋体"/>
          <w:b/>
          <w:color w:val="auto"/>
          <w:sz w:val="20"/>
          <w:highlight w:val="none"/>
          <w:lang w:val="zh-CN"/>
        </w:rPr>
      </w:pPr>
    </w:p>
    <w:p w14:paraId="6750EA41">
      <w:pPr>
        <w:pStyle w:val="7"/>
        <w:rPr>
          <w:rFonts w:hint="eastAsia" w:ascii="宋体" w:hAnsi="宋体" w:eastAsia="宋体" w:cs="宋体"/>
          <w:b/>
          <w:color w:val="auto"/>
          <w:sz w:val="20"/>
          <w:highlight w:val="none"/>
          <w:lang w:val="zh-CN"/>
        </w:rPr>
      </w:pPr>
    </w:p>
    <w:p w14:paraId="1CA35BEE">
      <w:pPr>
        <w:pStyle w:val="7"/>
        <w:rPr>
          <w:rFonts w:hint="eastAsia" w:ascii="宋体" w:hAnsi="宋体" w:eastAsia="宋体" w:cs="宋体"/>
          <w:b/>
          <w:color w:val="auto"/>
          <w:sz w:val="20"/>
          <w:highlight w:val="none"/>
          <w:lang w:val="zh-CN"/>
        </w:rPr>
      </w:pPr>
    </w:p>
    <w:p w14:paraId="1DCA5C28">
      <w:pPr>
        <w:pStyle w:val="7"/>
        <w:rPr>
          <w:rFonts w:hint="eastAsia" w:ascii="宋体" w:hAnsi="宋体" w:eastAsia="宋体" w:cs="宋体"/>
          <w:b/>
          <w:color w:val="auto"/>
          <w:sz w:val="20"/>
          <w:highlight w:val="none"/>
          <w:lang w:val="zh-CN"/>
        </w:rPr>
      </w:pPr>
    </w:p>
    <w:p w14:paraId="6F42E4D9">
      <w:pPr>
        <w:pStyle w:val="7"/>
        <w:rPr>
          <w:rFonts w:hint="eastAsia" w:ascii="宋体" w:hAnsi="宋体" w:eastAsia="宋体" w:cs="宋体"/>
          <w:b/>
          <w:color w:val="auto"/>
          <w:sz w:val="20"/>
          <w:highlight w:val="none"/>
          <w:lang w:val="zh-CN"/>
        </w:rPr>
      </w:pPr>
    </w:p>
    <w:p w14:paraId="7DD2EBFE">
      <w:pPr>
        <w:pStyle w:val="7"/>
        <w:rPr>
          <w:rFonts w:hint="eastAsia" w:ascii="宋体" w:hAnsi="宋体" w:eastAsia="宋体" w:cs="宋体"/>
          <w:b/>
          <w:color w:val="auto"/>
          <w:sz w:val="20"/>
          <w:highlight w:val="none"/>
          <w:lang w:val="zh-CN"/>
        </w:rPr>
      </w:pPr>
    </w:p>
    <w:p w14:paraId="2335B2CB">
      <w:pPr>
        <w:pStyle w:val="7"/>
        <w:rPr>
          <w:rFonts w:hint="eastAsia" w:ascii="宋体" w:hAnsi="宋体" w:eastAsia="宋体" w:cs="宋体"/>
          <w:b/>
          <w:color w:val="auto"/>
          <w:sz w:val="20"/>
          <w:highlight w:val="none"/>
          <w:lang w:val="zh-CN"/>
        </w:rPr>
      </w:pPr>
    </w:p>
    <w:p w14:paraId="5B6EEDB6">
      <w:pPr>
        <w:pStyle w:val="7"/>
        <w:rPr>
          <w:rFonts w:hint="eastAsia" w:ascii="宋体" w:hAnsi="宋体" w:eastAsia="宋体" w:cs="宋体"/>
          <w:b/>
          <w:color w:val="auto"/>
          <w:sz w:val="20"/>
          <w:highlight w:val="none"/>
          <w:lang w:val="zh-CN"/>
        </w:rPr>
      </w:pPr>
    </w:p>
    <w:p w14:paraId="58AA3D08">
      <w:pPr>
        <w:pStyle w:val="7"/>
        <w:rPr>
          <w:rFonts w:hint="eastAsia" w:ascii="宋体" w:hAnsi="宋体" w:eastAsia="宋体" w:cs="宋体"/>
          <w:b/>
          <w:color w:val="auto"/>
          <w:sz w:val="20"/>
          <w:highlight w:val="none"/>
          <w:lang w:val="zh-CN"/>
        </w:rPr>
      </w:pPr>
    </w:p>
    <w:p w14:paraId="3ABFD677">
      <w:pPr>
        <w:pStyle w:val="7"/>
        <w:rPr>
          <w:rFonts w:hint="eastAsia" w:ascii="宋体" w:hAnsi="宋体" w:eastAsia="宋体" w:cs="宋体"/>
          <w:b/>
          <w:color w:val="auto"/>
          <w:sz w:val="20"/>
          <w:highlight w:val="none"/>
          <w:lang w:val="zh-CN"/>
        </w:rPr>
      </w:pPr>
    </w:p>
    <w:p w14:paraId="7EC82F67">
      <w:pPr>
        <w:pStyle w:val="7"/>
        <w:rPr>
          <w:rFonts w:hint="eastAsia" w:ascii="宋体" w:hAnsi="宋体" w:eastAsia="宋体" w:cs="宋体"/>
          <w:b/>
          <w:color w:val="auto"/>
          <w:sz w:val="20"/>
          <w:highlight w:val="none"/>
          <w:lang w:val="zh-CN"/>
        </w:rPr>
      </w:pPr>
    </w:p>
    <w:p w14:paraId="2957E4B1">
      <w:pPr>
        <w:pStyle w:val="7"/>
        <w:rPr>
          <w:rFonts w:hint="eastAsia" w:ascii="宋体" w:hAnsi="宋体" w:eastAsia="宋体" w:cs="宋体"/>
          <w:b/>
          <w:color w:val="auto"/>
          <w:sz w:val="20"/>
          <w:highlight w:val="none"/>
          <w:lang w:val="zh-CN"/>
        </w:rPr>
      </w:pPr>
    </w:p>
    <w:p w14:paraId="4C436367">
      <w:pPr>
        <w:pStyle w:val="7"/>
        <w:rPr>
          <w:rFonts w:hint="eastAsia" w:ascii="宋体" w:hAnsi="宋体" w:eastAsia="宋体" w:cs="宋体"/>
          <w:b/>
          <w:color w:val="auto"/>
          <w:sz w:val="20"/>
          <w:highlight w:val="none"/>
          <w:lang w:val="zh-CN"/>
        </w:rPr>
      </w:pPr>
    </w:p>
    <w:p w14:paraId="1F1744CC">
      <w:pPr>
        <w:pStyle w:val="7"/>
        <w:rPr>
          <w:rFonts w:hint="eastAsia" w:ascii="宋体" w:hAnsi="宋体" w:eastAsia="宋体" w:cs="宋体"/>
          <w:b/>
          <w:color w:val="auto"/>
          <w:sz w:val="20"/>
          <w:highlight w:val="none"/>
          <w:lang w:val="zh-CN"/>
        </w:rPr>
      </w:pPr>
    </w:p>
    <w:p w14:paraId="403BA350">
      <w:pPr>
        <w:pStyle w:val="7"/>
        <w:rPr>
          <w:rFonts w:hint="eastAsia" w:ascii="宋体" w:hAnsi="宋体" w:eastAsia="宋体" w:cs="宋体"/>
          <w:b/>
          <w:color w:val="auto"/>
          <w:sz w:val="20"/>
          <w:highlight w:val="none"/>
          <w:lang w:val="zh-CN"/>
        </w:rPr>
      </w:pPr>
    </w:p>
    <w:p w14:paraId="493DFF74">
      <w:pPr>
        <w:pStyle w:val="7"/>
        <w:rPr>
          <w:rFonts w:hint="eastAsia" w:ascii="宋体" w:hAnsi="宋体" w:eastAsia="宋体" w:cs="宋体"/>
          <w:b/>
          <w:color w:val="auto"/>
          <w:sz w:val="20"/>
          <w:highlight w:val="none"/>
          <w:lang w:val="zh-CN"/>
        </w:rPr>
      </w:pPr>
    </w:p>
    <w:p w14:paraId="0EA611A1">
      <w:pPr>
        <w:pStyle w:val="7"/>
        <w:rPr>
          <w:rFonts w:hint="eastAsia" w:ascii="宋体" w:hAnsi="宋体" w:eastAsia="宋体" w:cs="宋体"/>
          <w:b/>
          <w:color w:val="auto"/>
          <w:sz w:val="20"/>
          <w:highlight w:val="none"/>
          <w:lang w:val="zh-CN"/>
        </w:rPr>
      </w:pPr>
    </w:p>
    <w:p w14:paraId="5A256266">
      <w:pPr>
        <w:pStyle w:val="7"/>
        <w:rPr>
          <w:rFonts w:hint="eastAsia" w:ascii="宋体" w:hAnsi="宋体" w:eastAsia="宋体" w:cs="宋体"/>
          <w:b/>
          <w:color w:val="auto"/>
          <w:sz w:val="20"/>
          <w:highlight w:val="none"/>
          <w:lang w:val="zh-CN"/>
        </w:rPr>
      </w:pPr>
    </w:p>
    <w:p w14:paraId="218B0495">
      <w:pPr>
        <w:pStyle w:val="7"/>
        <w:rPr>
          <w:rFonts w:hint="eastAsia" w:ascii="宋体" w:hAnsi="宋体" w:eastAsia="宋体" w:cs="宋体"/>
          <w:b/>
          <w:color w:val="auto"/>
          <w:sz w:val="20"/>
          <w:highlight w:val="none"/>
          <w:lang w:val="zh-CN"/>
        </w:rPr>
      </w:pPr>
    </w:p>
    <w:p w14:paraId="74C8D071">
      <w:pPr>
        <w:pStyle w:val="7"/>
        <w:rPr>
          <w:rFonts w:hint="eastAsia" w:ascii="宋体" w:hAnsi="宋体" w:eastAsia="宋体" w:cs="宋体"/>
          <w:b/>
          <w:color w:val="auto"/>
          <w:sz w:val="20"/>
          <w:highlight w:val="none"/>
          <w:lang w:val="zh-CN"/>
        </w:rPr>
      </w:pPr>
    </w:p>
    <w:p w14:paraId="0FFCB9A5">
      <w:pPr>
        <w:pStyle w:val="7"/>
        <w:rPr>
          <w:rFonts w:hint="eastAsia" w:ascii="宋体" w:hAnsi="宋体" w:eastAsia="宋体" w:cs="宋体"/>
          <w:b/>
          <w:color w:val="auto"/>
          <w:sz w:val="20"/>
          <w:highlight w:val="none"/>
          <w:lang w:val="zh-CN"/>
        </w:rPr>
      </w:pPr>
    </w:p>
    <w:p w14:paraId="09FB8C72">
      <w:pPr>
        <w:pStyle w:val="7"/>
        <w:rPr>
          <w:rFonts w:hint="eastAsia" w:ascii="宋体" w:hAnsi="宋体" w:eastAsia="宋体" w:cs="宋体"/>
          <w:b/>
          <w:color w:val="auto"/>
          <w:sz w:val="20"/>
          <w:highlight w:val="none"/>
          <w:lang w:val="zh-CN"/>
        </w:rPr>
      </w:pPr>
    </w:p>
    <w:p w14:paraId="27C8E884">
      <w:pPr>
        <w:pStyle w:val="7"/>
        <w:rPr>
          <w:rFonts w:hint="eastAsia" w:ascii="宋体" w:hAnsi="宋体" w:eastAsia="宋体" w:cs="宋体"/>
          <w:b/>
          <w:color w:val="auto"/>
          <w:sz w:val="20"/>
          <w:highlight w:val="none"/>
          <w:lang w:val="zh-CN"/>
        </w:rPr>
      </w:pPr>
    </w:p>
    <w:p w14:paraId="77FC5358">
      <w:pPr>
        <w:pStyle w:val="7"/>
        <w:rPr>
          <w:rFonts w:hint="eastAsia" w:ascii="宋体" w:hAnsi="宋体" w:eastAsia="宋体" w:cs="宋体"/>
          <w:b/>
          <w:color w:val="auto"/>
          <w:sz w:val="20"/>
          <w:highlight w:val="none"/>
          <w:lang w:val="zh-CN"/>
        </w:rPr>
      </w:pPr>
    </w:p>
    <w:p w14:paraId="7130C43F">
      <w:pPr>
        <w:pStyle w:val="7"/>
        <w:rPr>
          <w:rFonts w:hint="eastAsia" w:ascii="宋体" w:hAnsi="宋体" w:eastAsia="宋体" w:cs="宋体"/>
          <w:b/>
          <w:color w:val="auto"/>
          <w:sz w:val="20"/>
          <w:highlight w:val="none"/>
          <w:lang w:val="zh-CN"/>
        </w:rPr>
      </w:pPr>
    </w:p>
    <w:p w14:paraId="7FE06065">
      <w:pPr>
        <w:pStyle w:val="7"/>
        <w:rPr>
          <w:rFonts w:hint="eastAsia" w:ascii="宋体" w:hAnsi="宋体" w:eastAsia="宋体" w:cs="宋体"/>
          <w:b/>
          <w:color w:val="auto"/>
          <w:sz w:val="20"/>
          <w:highlight w:val="none"/>
          <w:lang w:val="zh-CN"/>
        </w:rPr>
      </w:pPr>
    </w:p>
    <w:p w14:paraId="1E3EF613">
      <w:pPr>
        <w:pStyle w:val="7"/>
        <w:rPr>
          <w:rFonts w:hint="eastAsia" w:ascii="宋体" w:hAnsi="宋体" w:eastAsia="宋体" w:cs="宋体"/>
          <w:b/>
          <w:color w:val="auto"/>
          <w:sz w:val="20"/>
          <w:highlight w:val="none"/>
          <w:lang w:val="zh-CN"/>
        </w:rPr>
      </w:pPr>
    </w:p>
    <w:p w14:paraId="2721BA4D">
      <w:pPr>
        <w:pStyle w:val="7"/>
        <w:rPr>
          <w:rFonts w:hint="eastAsia" w:ascii="宋体" w:hAnsi="宋体" w:eastAsia="宋体" w:cs="宋体"/>
          <w:b/>
          <w:color w:val="auto"/>
          <w:sz w:val="20"/>
          <w:highlight w:val="none"/>
          <w:lang w:val="zh-CN"/>
        </w:rPr>
      </w:pPr>
    </w:p>
    <w:p w14:paraId="59900714">
      <w:pPr>
        <w:pStyle w:val="7"/>
        <w:rPr>
          <w:rFonts w:hint="eastAsia" w:ascii="宋体" w:hAnsi="宋体" w:eastAsia="宋体" w:cs="宋体"/>
          <w:b/>
          <w:color w:val="auto"/>
          <w:sz w:val="20"/>
          <w:highlight w:val="none"/>
          <w:lang w:val="zh-CN"/>
        </w:rPr>
      </w:pPr>
    </w:p>
    <w:p w14:paraId="652E6513">
      <w:pPr>
        <w:pStyle w:val="7"/>
        <w:ind w:left="0" w:leftChars="0" w:firstLine="0" w:firstLineChars="0"/>
        <w:rPr>
          <w:rFonts w:hint="eastAsia" w:ascii="宋体" w:hAnsi="宋体" w:eastAsia="宋体" w:cs="宋体"/>
          <w:b/>
          <w:color w:val="auto"/>
          <w:sz w:val="20"/>
          <w:highlight w:val="none"/>
          <w:lang w:val="en-US" w:eastAsia="zh-CN"/>
        </w:rPr>
      </w:pPr>
    </w:p>
    <w:p w14:paraId="50B9FA4B">
      <w:pPr>
        <w:pStyle w:val="4"/>
        <w:bidi w:val="0"/>
        <w:rPr>
          <w:rFonts w:hint="eastAsia" w:ascii="宋体" w:hAnsi="宋体" w:eastAsia="宋体" w:cs="宋体"/>
          <w:color w:val="auto"/>
          <w:highlight w:val="none"/>
          <w:lang w:val="en-US" w:eastAsia="zh-CN"/>
        </w:rPr>
        <w:sectPr>
          <w:pgSz w:w="11906" w:h="16838"/>
          <w:pgMar w:top="1440" w:right="1588" w:bottom="1440" w:left="1474"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703" w:name="_Toc13655"/>
      <w:bookmarkStart w:id="704" w:name="_Toc2531"/>
      <w:bookmarkStart w:id="705" w:name="_Toc5980"/>
      <w:r>
        <w:rPr>
          <w:rFonts w:hint="eastAsia" w:ascii="宋体" w:hAnsi="宋体" w:eastAsia="宋体" w:cs="宋体"/>
          <w:color w:val="auto"/>
          <w:highlight w:val="none"/>
          <w:lang w:val="en-US" w:eastAsia="zh-CN"/>
        </w:rPr>
        <w:t>7、其他</w:t>
      </w:r>
      <w:bookmarkEnd w:id="703"/>
      <w:bookmarkEnd w:id="704"/>
      <w:bookmarkEnd w:id="705"/>
    </w:p>
    <w:p w14:paraId="5534116C">
      <w:pPr>
        <w:snapToGrid w:val="0"/>
        <w:spacing w:line="48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附件一 关于资格条件的有关承诺及声明</w:t>
      </w:r>
    </w:p>
    <w:p w14:paraId="6C5767C5">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代理机构：</w:t>
      </w:r>
    </w:p>
    <w:p w14:paraId="24F332A5">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一、我方在此郑重承诺，我方满足</w:t>
      </w:r>
      <w:r>
        <w:rPr>
          <w:rFonts w:hint="eastAsia" w:ascii="宋体" w:hAnsi="宋体" w:eastAsia="宋体" w:cs="宋体"/>
          <w:color w:val="auto"/>
          <w:sz w:val="24"/>
          <w:highlight w:val="none"/>
          <w:lang w:eastAsia="zh-CN"/>
        </w:rPr>
        <w:t>：</w:t>
      </w:r>
    </w:p>
    <w:p w14:paraId="1B1F3214">
      <w:pPr>
        <w:pStyle w:val="22"/>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firstLine="555"/>
        <w:jc w:val="both"/>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1、</w:t>
      </w:r>
      <w:r>
        <w:rPr>
          <w:rFonts w:hint="eastAsia" w:ascii="宋体" w:hAnsi="宋体" w:eastAsia="宋体" w:cs="宋体"/>
          <w:color w:val="auto"/>
          <w:sz w:val="24"/>
          <w:highlight w:val="none"/>
        </w:rPr>
        <w:t>具有独立承担民事责任的能力；</w:t>
      </w:r>
    </w:p>
    <w:p w14:paraId="4076C686">
      <w:pPr>
        <w:pStyle w:val="22"/>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firstLine="555"/>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2、具有良好的商业信誉和健全的财务会计制度；</w:t>
      </w:r>
      <w:r>
        <w:rPr>
          <w:rFonts w:hint="eastAsia" w:ascii="宋体" w:hAnsi="宋体" w:eastAsia="宋体" w:cs="宋体"/>
          <w:color w:val="auto"/>
          <w:highlight w:val="none"/>
          <w:lang w:val="en-US" w:eastAsia="zh-CN"/>
        </w:rPr>
        <w:t>能够提供增值税专用发票</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 </w:t>
      </w:r>
    </w:p>
    <w:p w14:paraId="76F3459D">
      <w:pPr>
        <w:pStyle w:val="22"/>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firstLine="555"/>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、有依法缴纳税收和社会保障资金的良好记录； </w:t>
      </w:r>
    </w:p>
    <w:p w14:paraId="4E53827D">
      <w:pPr>
        <w:pStyle w:val="22"/>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firstLine="555"/>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具备所投标包履行合同所必需的相关产品、人员和服务能力；</w:t>
      </w:r>
    </w:p>
    <w:p w14:paraId="4C180DB4">
      <w:pPr>
        <w:pStyle w:val="22"/>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firstLine="555"/>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5、未与单位负责人为同一人或者存在直接控股、管理关系的不同投标人，参加本项目同一合同项下的招标活动；</w:t>
      </w:r>
    </w:p>
    <w:p w14:paraId="639891BA">
      <w:pPr>
        <w:pStyle w:val="22"/>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firstLine="555"/>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6、参加本项目招标活动前三年内，本单位未因违法经营受到刑事处罚或者责令停产停业、吊销许可证或者执照、较大数额罚款（根据各地方、各部门明确的听证范围确定较大数额罚款的额度）等行政处罚；参加本项目招标活动前三年内，在经营活动中没有重大违法记录； </w:t>
      </w:r>
    </w:p>
    <w:p w14:paraId="48D12F3F">
      <w:pPr>
        <w:pStyle w:val="22"/>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firstLine="555"/>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我单位未被“中国执行信息公开网（http://zxgk.court.gov.cn/shixin/）列入“失信被执行人”；未被“信用中国”（http://www.creditchina.gov.cn）网站列入“重大税收违法失信主体”、“政府采购严重违法失信行为记录名单”；</w:t>
      </w:r>
    </w:p>
    <w:p w14:paraId="5FB8FE06">
      <w:pPr>
        <w:pStyle w:val="22"/>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firstLine="555"/>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8、承诺我单位</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、企业法定代表人或个体工商户经营者</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无行贿犯罪记录； 未被“中国裁判文书网”列入“行贿犯罪”记录名单。</w:t>
      </w:r>
    </w:p>
    <w:p w14:paraId="2FDBF2FE">
      <w:pPr>
        <w:pStyle w:val="22"/>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firstLine="555"/>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9、我单位符合第三章招标需求中的相关内容：</w:t>
      </w:r>
    </w:p>
    <w:p w14:paraId="24916E03">
      <w:pPr>
        <w:pStyle w:val="22"/>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firstLine="555"/>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9.1符合招标内容中建库的内容，满足服务年限；</w:t>
      </w:r>
    </w:p>
    <w:p w14:paraId="6F38BDEB">
      <w:pPr>
        <w:pStyle w:val="22"/>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firstLine="555"/>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9.2符合各标包中明确的供货技术及服务要求；</w:t>
      </w:r>
    </w:p>
    <w:p w14:paraId="6A5EA6E4">
      <w:pPr>
        <w:pStyle w:val="22"/>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firstLine="555"/>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9.3满足对入围供应商的要求；</w:t>
      </w:r>
    </w:p>
    <w:p w14:paraId="3FC073C3">
      <w:pPr>
        <w:pStyle w:val="22"/>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firstLine="555"/>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9.4满足食品类责任要求；</w:t>
      </w:r>
    </w:p>
    <w:p w14:paraId="5AB06787">
      <w:pPr>
        <w:pStyle w:val="22"/>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firstLine="555"/>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9.5满足其他要求。</w:t>
      </w:r>
    </w:p>
    <w:p w14:paraId="29D92546">
      <w:pPr>
        <w:keepNext w:val="0"/>
        <w:keepLines w:val="0"/>
        <w:pageBreakBefore w:val="0"/>
        <w:widowControl w:val="0"/>
        <w:kinsoku/>
        <w:wordWrap/>
        <w:overflowPunct/>
        <w:topLinePunct w:val="0"/>
        <w:autoSpaceDE/>
        <w:autoSpaceDN/>
        <w:bidi w:val="0"/>
        <w:adjustRightInd/>
        <w:snapToGrid w:val="0"/>
        <w:spacing w:line="360" w:lineRule="exact"/>
        <w:ind w:left="0" w:leftChars="0" w:firstLine="420" w:firstLineChars="1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shd w:val="clear" w:color="auto" w:fill="FFFFFF"/>
          <w:lang w:eastAsia="zh-CN"/>
        </w:rPr>
        <w:t>我方保证上述承诺或声明内容的客观、真实、准确，并愿意承担我方因</w:t>
      </w:r>
      <w:r>
        <w:rPr>
          <w:rFonts w:hint="eastAsia" w:ascii="宋体" w:hAnsi="宋体" w:eastAsia="宋体" w:cs="宋体"/>
          <w:color w:val="auto"/>
          <w:sz w:val="24"/>
          <w:highlight w:val="none"/>
          <w:shd w:val="clear" w:color="auto" w:fill="FFFFFF"/>
        </w:rPr>
        <w:t>提供虚假承诺或声明谋骗取中标、成交所引起的一切法律后果。</w:t>
      </w:r>
    </w:p>
    <w:p w14:paraId="2EDAB7F3">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eastAsia="宋体" w:cs="宋体"/>
          <w:color w:val="auto"/>
          <w:sz w:val="24"/>
          <w:highlight w:val="none"/>
          <w:shd w:val="clear" w:color="auto" w:fill="FFFFFF"/>
        </w:rPr>
      </w:pPr>
    </w:p>
    <w:p w14:paraId="526C5F1F">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shd w:val="clear" w:color="auto" w:fill="FFFFFF"/>
        </w:rPr>
        <w:t>特此声明！</w:t>
      </w:r>
    </w:p>
    <w:p w14:paraId="21DD9FBB">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4"/>
          <w:highlight w:val="none"/>
          <w:shd w:val="clear" w:color="auto" w:fill="FFFFFF"/>
        </w:rPr>
      </w:pPr>
    </w:p>
    <w:p w14:paraId="2A4EB5BB">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供应商名称（</w:t>
      </w:r>
      <w:r>
        <w:rPr>
          <w:rFonts w:hint="eastAsia" w:ascii="宋体" w:hAnsi="宋体" w:eastAsia="宋体" w:cs="宋体"/>
          <w:color w:val="auto"/>
          <w:sz w:val="24"/>
          <w:highlight w:val="none"/>
          <w:shd w:val="clear" w:color="auto" w:fill="FFFFFF"/>
          <w:lang w:eastAsia="zh-CN"/>
        </w:rPr>
        <w:t>盖</w:t>
      </w:r>
      <w:r>
        <w:rPr>
          <w:rFonts w:hint="eastAsia" w:ascii="宋体" w:hAnsi="宋体" w:eastAsia="宋体" w:cs="宋体"/>
          <w:color w:val="auto"/>
          <w:sz w:val="24"/>
          <w:highlight w:val="none"/>
          <w:shd w:val="clear" w:color="auto" w:fill="FFFFFF"/>
        </w:rPr>
        <w:t>章）：</w:t>
      </w:r>
      <w:r>
        <w:rPr>
          <w:rFonts w:hint="eastAsia" w:ascii="宋体" w:hAnsi="宋体" w:eastAsia="宋体" w:cs="宋体"/>
          <w:color w:val="auto"/>
          <w:sz w:val="24"/>
          <w:highlight w:val="none"/>
          <w:shd w:val="clear" w:color="auto" w:fill="FFFFFF"/>
          <w:lang w:val="en-US" w:eastAsia="zh-CN"/>
        </w:rPr>
        <w:t xml:space="preserve">            </w:t>
      </w:r>
    </w:p>
    <w:p w14:paraId="7AF1A81A">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法定代表人或</w:t>
      </w:r>
      <w:r>
        <w:rPr>
          <w:rFonts w:hint="eastAsia" w:ascii="宋体" w:hAnsi="宋体" w:eastAsia="宋体" w:cs="宋体"/>
          <w:color w:val="auto"/>
          <w:sz w:val="24"/>
          <w:highlight w:val="none"/>
          <w:shd w:val="clear" w:color="auto" w:fill="FFFFFF"/>
          <w:lang w:val="en-US" w:eastAsia="zh-CN"/>
        </w:rPr>
        <w:t>个体工商户经营者</w:t>
      </w:r>
      <w:r>
        <w:rPr>
          <w:rFonts w:hint="eastAsia" w:ascii="宋体" w:hAnsi="宋体" w:eastAsia="宋体" w:cs="宋体"/>
          <w:color w:val="auto"/>
          <w:sz w:val="24"/>
          <w:highlight w:val="none"/>
          <w:shd w:val="clear" w:color="auto" w:fill="FFFFFF"/>
          <w:lang w:eastAsia="zh-CN"/>
        </w:rPr>
        <w:t>其</w:t>
      </w:r>
      <w:r>
        <w:rPr>
          <w:rFonts w:hint="eastAsia" w:ascii="宋体" w:hAnsi="宋体" w:eastAsia="宋体" w:cs="宋体"/>
          <w:color w:val="auto"/>
          <w:sz w:val="24"/>
          <w:highlight w:val="none"/>
          <w:shd w:val="clear" w:color="auto" w:fill="FFFFFF"/>
        </w:rPr>
        <w:t>委托代理人（签字或盖章）:</w:t>
      </w:r>
      <w:r>
        <w:rPr>
          <w:rFonts w:hint="eastAsia" w:ascii="宋体" w:hAnsi="宋体" w:eastAsia="宋体" w:cs="宋体"/>
          <w:color w:val="auto"/>
          <w:sz w:val="24"/>
          <w:highlight w:val="none"/>
          <w:shd w:val="clear" w:color="auto" w:fill="FFFFFF"/>
          <w:lang w:val="en-US" w:eastAsia="zh-CN"/>
        </w:rPr>
        <w:t xml:space="preserve">            </w:t>
      </w:r>
    </w:p>
    <w:p w14:paraId="3AD3F0B4">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 xml:space="preserve">日期：                 </w:t>
      </w:r>
    </w:p>
    <w:p w14:paraId="045CA0D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highlight w:val="none"/>
          <w:lang w:val="en-US" w:eastAsia="zh-CN"/>
        </w:rPr>
      </w:pPr>
    </w:p>
    <w:sectPr>
      <w:pgSz w:w="11906" w:h="16838"/>
      <w:pgMar w:top="1440" w:right="1588" w:bottom="1440" w:left="1474"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168B0">
    <w:pPr>
      <w:pStyle w:val="16"/>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A5AF18">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0A5AF18">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5409C">
    <w:pPr>
      <w:ind w:right="2"/>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9A50E9">
                          <w:pPr>
                            <w:pStyle w:val="1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39A50E9">
                    <w:pPr>
                      <w:pStyle w:val="16"/>
                    </w:pPr>
                    <w:r>
                      <w:fldChar w:fldCharType="begin"/>
                    </w:r>
                    <w:r>
                      <w:instrText xml:space="preserve"> PAGE  \* MERGEFORMAT </w:instrText>
                    </w:r>
                    <w:r>
                      <w:fldChar w:fldCharType="separate"/>
                    </w:r>
                    <w:r>
                      <w:t>39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57E62">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934EDD"/>
    <w:multiLevelType w:val="singleLevel"/>
    <w:tmpl w:val="38934EDD"/>
    <w:lvl w:ilvl="0" w:tentative="0">
      <w:start w:val="4"/>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69B62203"/>
    <w:multiLevelType w:val="singleLevel"/>
    <w:tmpl w:val="69B62203"/>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lMDU3MWRhNjgzZGU4YTVhYjBkNjRjNzhhN2E3YzkifQ=="/>
  </w:docVars>
  <w:rsids>
    <w:rsidRoot w:val="7E2817F4"/>
    <w:rsid w:val="013A00A8"/>
    <w:rsid w:val="02233182"/>
    <w:rsid w:val="023B0973"/>
    <w:rsid w:val="049A0A2E"/>
    <w:rsid w:val="04BA4613"/>
    <w:rsid w:val="04FA2D68"/>
    <w:rsid w:val="053E2C54"/>
    <w:rsid w:val="06471083"/>
    <w:rsid w:val="065B7836"/>
    <w:rsid w:val="06F537E7"/>
    <w:rsid w:val="082541DA"/>
    <w:rsid w:val="08B879A0"/>
    <w:rsid w:val="0A622F41"/>
    <w:rsid w:val="0AEF6D5F"/>
    <w:rsid w:val="0B187AA4"/>
    <w:rsid w:val="0C945850"/>
    <w:rsid w:val="0CC21B05"/>
    <w:rsid w:val="0D0D0706"/>
    <w:rsid w:val="0D70348F"/>
    <w:rsid w:val="0EAA095B"/>
    <w:rsid w:val="10146BC5"/>
    <w:rsid w:val="10867E48"/>
    <w:rsid w:val="10993435"/>
    <w:rsid w:val="10B9043D"/>
    <w:rsid w:val="11C6075A"/>
    <w:rsid w:val="11E84674"/>
    <w:rsid w:val="125218B4"/>
    <w:rsid w:val="174F5145"/>
    <w:rsid w:val="175956CC"/>
    <w:rsid w:val="175C6B1B"/>
    <w:rsid w:val="17E94CA2"/>
    <w:rsid w:val="186D4576"/>
    <w:rsid w:val="19FC15BF"/>
    <w:rsid w:val="1A534654"/>
    <w:rsid w:val="1C297D63"/>
    <w:rsid w:val="1DAC0C4B"/>
    <w:rsid w:val="1DC835AB"/>
    <w:rsid w:val="1DF11505"/>
    <w:rsid w:val="1F8E4BE3"/>
    <w:rsid w:val="1FB03F29"/>
    <w:rsid w:val="1FE87F35"/>
    <w:rsid w:val="210E7527"/>
    <w:rsid w:val="21494A03"/>
    <w:rsid w:val="21690C01"/>
    <w:rsid w:val="21B53E47"/>
    <w:rsid w:val="22600256"/>
    <w:rsid w:val="227B4008"/>
    <w:rsid w:val="23173DB9"/>
    <w:rsid w:val="23B03DDA"/>
    <w:rsid w:val="23BC15CA"/>
    <w:rsid w:val="243A6408"/>
    <w:rsid w:val="248040C9"/>
    <w:rsid w:val="24F72435"/>
    <w:rsid w:val="284F6B12"/>
    <w:rsid w:val="28680BEA"/>
    <w:rsid w:val="29712D49"/>
    <w:rsid w:val="29A13308"/>
    <w:rsid w:val="2AD12FC8"/>
    <w:rsid w:val="2B604E23"/>
    <w:rsid w:val="2CBF3DCB"/>
    <w:rsid w:val="2CD75527"/>
    <w:rsid w:val="2E861045"/>
    <w:rsid w:val="2ED7796B"/>
    <w:rsid w:val="2F853586"/>
    <w:rsid w:val="2FBE036A"/>
    <w:rsid w:val="320429F4"/>
    <w:rsid w:val="320A1536"/>
    <w:rsid w:val="326C6B5A"/>
    <w:rsid w:val="335E6A6C"/>
    <w:rsid w:val="353A3989"/>
    <w:rsid w:val="36984C8E"/>
    <w:rsid w:val="37F4701F"/>
    <w:rsid w:val="38043910"/>
    <w:rsid w:val="395E0244"/>
    <w:rsid w:val="397E37A3"/>
    <w:rsid w:val="39C80763"/>
    <w:rsid w:val="3B9B512B"/>
    <w:rsid w:val="3BCD484A"/>
    <w:rsid w:val="3C7A386B"/>
    <w:rsid w:val="3E653604"/>
    <w:rsid w:val="3E9B3D45"/>
    <w:rsid w:val="3EA6303D"/>
    <w:rsid w:val="3F1E0E69"/>
    <w:rsid w:val="3F6266E0"/>
    <w:rsid w:val="3F8A0269"/>
    <w:rsid w:val="3FE94F8F"/>
    <w:rsid w:val="403856B4"/>
    <w:rsid w:val="4057639D"/>
    <w:rsid w:val="40771448"/>
    <w:rsid w:val="40B31F4A"/>
    <w:rsid w:val="415D3E87"/>
    <w:rsid w:val="41EE0F83"/>
    <w:rsid w:val="427B20EB"/>
    <w:rsid w:val="4302227B"/>
    <w:rsid w:val="44366C11"/>
    <w:rsid w:val="4550160D"/>
    <w:rsid w:val="459040FF"/>
    <w:rsid w:val="46A240EA"/>
    <w:rsid w:val="47B24801"/>
    <w:rsid w:val="48B63E7D"/>
    <w:rsid w:val="48C06AA9"/>
    <w:rsid w:val="494D658F"/>
    <w:rsid w:val="4AC94D08"/>
    <w:rsid w:val="4B1718CB"/>
    <w:rsid w:val="4B3C2D5F"/>
    <w:rsid w:val="4C441FDC"/>
    <w:rsid w:val="4EF86FCD"/>
    <w:rsid w:val="4F5D7122"/>
    <w:rsid w:val="50207F98"/>
    <w:rsid w:val="50324731"/>
    <w:rsid w:val="50C00736"/>
    <w:rsid w:val="5193035F"/>
    <w:rsid w:val="51A72505"/>
    <w:rsid w:val="52E02222"/>
    <w:rsid w:val="53455796"/>
    <w:rsid w:val="545E2347"/>
    <w:rsid w:val="54C0055D"/>
    <w:rsid w:val="5520724E"/>
    <w:rsid w:val="55BE25C3"/>
    <w:rsid w:val="568B23F4"/>
    <w:rsid w:val="5B997B43"/>
    <w:rsid w:val="5D7E2D63"/>
    <w:rsid w:val="5D8A2534"/>
    <w:rsid w:val="5E76514B"/>
    <w:rsid w:val="5ED32EBB"/>
    <w:rsid w:val="5F8A6579"/>
    <w:rsid w:val="5FD0361E"/>
    <w:rsid w:val="60002155"/>
    <w:rsid w:val="601102DB"/>
    <w:rsid w:val="603B7A5E"/>
    <w:rsid w:val="606C3347"/>
    <w:rsid w:val="61A30FEA"/>
    <w:rsid w:val="61CF0031"/>
    <w:rsid w:val="61F42691"/>
    <w:rsid w:val="62265A2C"/>
    <w:rsid w:val="62C03E1E"/>
    <w:rsid w:val="631B1054"/>
    <w:rsid w:val="638D1C7C"/>
    <w:rsid w:val="641B0E8A"/>
    <w:rsid w:val="64436AB5"/>
    <w:rsid w:val="64947650"/>
    <w:rsid w:val="64CC2B2E"/>
    <w:rsid w:val="655126DB"/>
    <w:rsid w:val="6578278E"/>
    <w:rsid w:val="66881B63"/>
    <w:rsid w:val="670A481B"/>
    <w:rsid w:val="69020094"/>
    <w:rsid w:val="69132EFA"/>
    <w:rsid w:val="69E45E52"/>
    <w:rsid w:val="69F04FE9"/>
    <w:rsid w:val="6B256F14"/>
    <w:rsid w:val="6B646F64"/>
    <w:rsid w:val="6BEC5C84"/>
    <w:rsid w:val="6DEB7D10"/>
    <w:rsid w:val="6F286FD3"/>
    <w:rsid w:val="6FB1078E"/>
    <w:rsid w:val="70044405"/>
    <w:rsid w:val="70426567"/>
    <w:rsid w:val="706C1141"/>
    <w:rsid w:val="72F64BB1"/>
    <w:rsid w:val="73FE0302"/>
    <w:rsid w:val="745F3497"/>
    <w:rsid w:val="74811823"/>
    <w:rsid w:val="75F47C0F"/>
    <w:rsid w:val="767113D8"/>
    <w:rsid w:val="7746449A"/>
    <w:rsid w:val="77A64316"/>
    <w:rsid w:val="78EF46BD"/>
    <w:rsid w:val="79F44681"/>
    <w:rsid w:val="7A392094"/>
    <w:rsid w:val="7A4153ED"/>
    <w:rsid w:val="7B862210"/>
    <w:rsid w:val="7BA2010D"/>
    <w:rsid w:val="7D406FA6"/>
    <w:rsid w:val="7E2817F4"/>
    <w:rsid w:val="7F7064DF"/>
    <w:rsid w:val="7F884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rFonts w:cs="Times New Roman"/>
      <w:b/>
      <w:bCs/>
      <w:kern w:val="44"/>
      <w:sz w:val="44"/>
      <w:szCs w:val="44"/>
    </w:rPr>
  </w:style>
  <w:style w:type="paragraph" w:styleId="4">
    <w:name w:val="heading 2"/>
    <w:basedOn w:val="1"/>
    <w:next w:val="1"/>
    <w:unhideWhenUsed/>
    <w:qFormat/>
    <w:uiPriority w:val="0"/>
    <w:pPr>
      <w:keepNext/>
      <w:keepLines/>
      <w:spacing w:before="260" w:after="260" w:line="416" w:lineRule="auto"/>
      <w:ind w:left="0" w:firstLine="0"/>
      <w:jc w:val="center"/>
      <w:outlineLvl w:val="1"/>
    </w:pPr>
    <w:rPr>
      <w:rFonts w:ascii="Cambria" w:hAnsi="Cambria" w:eastAsia="宋体" w:cs="Cambria"/>
      <w:b/>
      <w:bCs/>
      <w:sz w:val="28"/>
      <w:szCs w:val="28"/>
    </w:rPr>
  </w:style>
  <w:style w:type="paragraph" w:styleId="5">
    <w:name w:val="heading 3"/>
    <w:basedOn w:val="1"/>
    <w:next w:val="1"/>
    <w:qFormat/>
    <w:uiPriority w:val="99"/>
    <w:pPr>
      <w:keepNext/>
      <w:keepLines/>
      <w:autoSpaceDE w:val="0"/>
      <w:autoSpaceDN w:val="0"/>
      <w:adjustRightInd w:val="0"/>
      <w:spacing w:before="120" w:after="120" w:line="416" w:lineRule="atLeast"/>
      <w:outlineLvl w:val="2"/>
    </w:pPr>
    <w:rPr>
      <w:rFonts w:ascii="黑体" w:hAnsi="黑体" w:eastAsiaTheme="minorEastAsia"/>
      <w:kern w:val="0"/>
      <w:sz w:val="24"/>
    </w:rPr>
  </w:style>
  <w:style w:type="paragraph" w:styleId="6">
    <w:name w:val="heading 4"/>
    <w:basedOn w:val="1"/>
    <w:next w:val="1"/>
    <w:link w:val="29"/>
    <w:semiHidden/>
    <w:unhideWhenUsed/>
    <w:qFormat/>
    <w:uiPriority w:val="0"/>
    <w:pPr>
      <w:keepNext/>
      <w:keepLines/>
      <w:spacing w:beforeLines="0" w:beforeAutospacing="0" w:afterLines="0" w:afterAutospacing="0" w:line="360" w:lineRule="auto"/>
      <w:ind w:firstLine="402"/>
      <w:outlineLvl w:val="3"/>
    </w:pPr>
    <w:rPr>
      <w:rFonts w:ascii="宋体" w:hAnsi="宋体" w:eastAsia="宋体" w:cs="Times New Roman"/>
      <w:b/>
      <w:sz w:val="24"/>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style>
  <w:style w:type="paragraph" w:styleId="7">
    <w:name w:val="Normal Indent"/>
    <w:basedOn w:val="1"/>
    <w:qFormat/>
    <w:uiPriority w:val="0"/>
    <w:pPr>
      <w:ind w:firstLine="420" w:firstLineChars="200"/>
    </w:pPr>
  </w:style>
  <w:style w:type="paragraph" w:styleId="8">
    <w:name w:val="index 5"/>
    <w:basedOn w:val="1"/>
    <w:next w:val="1"/>
    <w:qFormat/>
    <w:uiPriority w:val="2"/>
    <w:pPr>
      <w:ind w:left="1680"/>
    </w:pPr>
  </w:style>
  <w:style w:type="paragraph" w:styleId="9">
    <w:name w:val="Body Text 3"/>
    <w:basedOn w:val="1"/>
    <w:qFormat/>
    <w:uiPriority w:val="99"/>
    <w:pPr>
      <w:spacing w:after="120"/>
    </w:pPr>
    <w:rPr>
      <w:sz w:val="16"/>
      <w:szCs w:val="16"/>
    </w:rPr>
  </w:style>
  <w:style w:type="paragraph" w:styleId="10">
    <w:name w:val="Body Text Indent"/>
    <w:basedOn w:val="1"/>
    <w:next w:val="11"/>
    <w:qFormat/>
    <w:uiPriority w:val="0"/>
    <w:pPr>
      <w:adjustRightInd w:val="0"/>
      <w:snapToGrid w:val="0"/>
      <w:spacing w:line="460" w:lineRule="exact"/>
      <w:ind w:firstLine="480" w:firstLineChars="200"/>
    </w:pPr>
    <w:rPr>
      <w:rFonts w:ascii="宋体" w:hAnsi="宋体"/>
      <w:sz w:val="24"/>
    </w:rPr>
  </w:style>
  <w:style w:type="paragraph" w:styleId="11">
    <w:name w:val="envelope return"/>
    <w:basedOn w:val="1"/>
    <w:qFormat/>
    <w:uiPriority w:val="99"/>
    <w:pPr>
      <w:snapToGrid w:val="0"/>
    </w:pPr>
    <w:rPr>
      <w:rFonts w:ascii="Arial" w:hAnsi="Arial"/>
    </w:r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rPr>
  </w:style>
  <w:style w:type="paragraph" w:styleId="14">
    <w:name w:val="Date"/>
    <w:basedOn w:val="1"/>
    <w:next w:val="1"/>
    <w:qFormat/>
    <w:uiPriority w:val="0"/>
    <w:rPr>
      <w:rFonts w:ascii="楷体_GB2312" w:eastAsia="楷体_GB2312"/>
      <w:color w:val="000000"/>
      <w:kern w:val="0"/>
      <w:sz w:val="32"/>
      <w:szCs w:val="32"/>
    </w:rPr>
  </w:style>
  <w:style w:type="paragraph" w:styleId="15">
    <w:name w:val="Body Text Indent 2"/>
    <w:basedOn w:val="1"/>
    <w:qFormat/>
    <w:uiPriority w:val="0"/>
    <w:pPr>
      <w:ind w:firstLine="600" w:firstLineChars="200"/>
    </w:pPr>
    <w:rPr>
      <w:kern w:val="0"/>
      <w:sz w:val="30"/>
    </w:rPr>
  </w:style>
  <w:style w:type="paragraph" w:styleId="16">
    <w:name w:val="footer"/>
    <w:basedOn w:val="1"/>
    <w:next w:val="8"/>
    <w:qFormat/>
    <w:uiPriority w:val="99"/>
    <w:pPr>
      <w:tabs>
        <w:tab w:val="center" w:pos="4320"/>
        <w:tab w:val="right" w:pos="8640"/>
      </w:tabs>
      <w:autoSpaceDE w:val="0"/>
      <w:autoSpaceDN w:val="0"/>
      <w:adjustRightInd w:val="0"/>
      <w:spacing w:line="315" w:lineRule="atLeast"/>
      <w:jc w:val="left"/>
    </w:pPr>
    <w:rPr>
      <w:rFonts w:ascii="楷体_GB2312" w:eastAsia="楷体_GB2312"/>
      <w:kern w:val="0"/>
      <w:sz w:val="28"/>
    </w:rPr>
  </w:style>
  <w:style w:type="paragraph" w:styleId="17">
    <w:name w:val="header"/>
    <w:basedOn w:val="1"/>
    <w:next w:val="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Body Text Indent 3"/>
    <w:basedOn w:val="1"/>
    <w:qFormat/>
    <w:uiPriority w:val="99"/>
    <w:pPr>
      <w:spacing w:after="120" w:line="360" w:lineRule="atLeast"/>
      <w:ind w:firstLine="720" w:firstLineChars="300"/>
    </w:pPr>
    <w:rPr>
      <w:sz w:val="24"/>
    </w:rPr>
  </w:style>
  <w:style w:type="paragraph" w:styleId="20">
    <w:name w:val="index 7"/>
    <w:basedOn w:val="1"/>
    <w:next w:val="1"/>
    <w:qFormat/>
    <w:uiPriority w:val="0"/>
    <w:pPr>
      <w:ind w:left="2520"/>
    </w:pPr>
  </w:style>
  <w:style w:type="paragraph" w:styleId="21">
    <w:name w:val="toc 2"/>
    <w:basedOn w:val="1"/>
    <w:next w:val="1"/>
    <w:qFormat/>
    <w:uiPriority w:val="0"/>
    <w:pPr>
      <w:ind w:left="420" w:leftChars="200"/>
    </w:pPr>
  </w:style>
  <w:style w:type="paragraph" w:styleId="22">
    <w:name w:val="Normal (Web)"/>
    <w:basedOn w:val="1"/>
    <w:qFormat/>
    <w:uiPriority w:val="0"/>
    <w:pPr>
      <w:spacing w:before="0" w:beforeAutospacing="1" w:after="0" w:afterAutospacing="1"/>
      <w:ind w:left="0" w:right="0"/>
      <w:jc w:val="left"/>
    </w:pPr>
    <w:rPr>
      <w:kern w:val="0"/>
      <w:sz w:val="24"/>
      <w:lang w:val="en-US" w:eastAsia="zh-CN" w:bidi="ar"/>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Hyperlink"/>
    <w:basedOn w:val="25"/>
    <w:qFormat/>
    <w:uiPriority w:val="0"/>
    <w:rPr>
      <w:color w:val="0000FF"/>
      <w:u w:val="single"/>
    </w:rPr>
  </w:style>
  <w:style w:type="paragraph" w:customStyle="1" w:styleId="28">
    <w:name w:val="Char2 Char Char Char Char Char Char"/>
    <w:basedOn w:val="1"/>
    <w:next w:val="16"/>
    <w:unhideWhenUsed/>
    <w:qFormat/>
    <w:uiPriority w:val="0"/>
    <w:pPr>
      <w:autoSpaceDE w:val="0"/>
      <w:autoSpaceDN w:val="0"/>
      <w:adjustRightInd w:val="0"/>
      <w:snapToGrid w:val="0"/>
      <w:spacing w:before="50" w:after="50" w:line="360" w:lineRule="auto"/>
      <w:ind w:firstLine="200" w:firstLineChars="200"/>
    </w:pPr>
    <w:rPr>
      <w:color w:val="000000"/>
      <w:sz w:val="24"/>
    </w:rPr>
  </w:style>
  <w:style w:type="character" w:customStyle="1" w:styleId="29">
    <w:name w:val="标题 4 Char"/>
    <w:link w:val="6"/>
    <w:qFormat/>
    <w:uiPriority w:val="0"/>
    <w:rPr>
      <w:rFonts w:ascii="宋体" w:hAnsi="宋体" w:eastAsia="宋体" w:cs="Times New Roman"/>
      <w:b/>
      <w:sz w:val="24"/>
    </w:rPr>
  </w:style>
  <w:style w:type="paragraph" w:styleId="30">
    <w:name w:val="List Paragraph"/>
    <w:basedOn w:val="1"/>
    <w:qFormat/>
    <w:uiPriority w:val="0"/>
    <w:pPr>
      <w:ind w:firstLine="420" w:firstLineChars="200"/>
    </w:pPr>
    <w:rPr>
      <w:szCs w:val="20"/>
    </w:rPr>
  </w:style>
  <w:style w:type="paragraph" w:customStyle="1" w:styleId="31">
    <w:name w:val="TOC1"/>
    <w:basedOn w:val="1"/>
    <w:next w:val="1"/>
    <w:qFormat/>
    <w:uiPriority w:val="0"/>
    <w:pPr>
      <w:spacing w:before="120" w:after="120"/>
      <w:jc w:val="left"/>
    </w:pPr>
    <w:rPr>
      <w:b/>
      <w:bCs/>
      <w:caps/>
      <w:sz w:val="20"/>
    </w:rPr>
  </w:style>
  <w:style w:type="paragraph" w:customStyle="1" w:styleId="32">
    <w:name w:val="规范文本"/>
    <w:basedOn w:val="13"/>
    <w:qFormat/>
    <w:uiPriority w:val="99"/>
    <w:pPr>
      <w:adjustRightInd w:val="0"/>
      <w:snapToGrid w:val="0"/>
      <w:spacing w:line="360" w:lineRule="exact"/>
      <w:ind w:firstLine="420"/>
    </w:pPr>
    <w:rPr>
      <w:rFonts w:cs="Courier New"/>
      <w:kern w:val="0"/>
      <w:szCs w:val="21"/>
    </w:rPr>
  </w:style>
  <w:style w:type="character" w:customStyle="1" w:styleId="33">
    <w:name w:val="fontstyle01"/>
    <w:qFormat/>
    <w:uiPriority w:val="0"/>
    <w:rPr>
      <w:rFonts w:ascii="宋体" w:hAnsi="宋体"/>
      <w:color w:val="000000"/>
      <w:sz w:val="24"/>
      <w:szCs w:val="24"/>
    </w:rPr>
  </w:style>
  <w:style w:type="paragraph" w:customStyle="1" w:styleId="34">
    <w:name w:val="正文 首行缩进:  2 字符"/>
    <w:basedOn w:val="1"/>
    <w:qFormat/>
    <w:uiPriority w:val="0"/>
    <w:pPr>
      <w:ind w:firstLine="579" w:firstLineChars="200"/>
    </w:pPr>
    <w:rPr>
      <w:sz w:val="28"/>
      <w:szCs w:val="20"/>
    </w:rPr>
  </w:style>
  <w:style w:type="paragraph" w:customStyle="1" w:styleId="35">
    <w:name w:val="样式 标题 3 + (中文) 黑体 小四 非加粗 段前: 7.8 磅 段后: 0 磅 行距: 固定值 20 磅"/>
    <w:basedOn w:val="5"/>
    <w:qFormat/>
    <w:uiPriority w:val="99"/>
    <w:pPr>
      <w:autoSpaceDE/>
      <w:autoSpaceDN/>
      <w:adjustRightInd/>
      <w:spacing w:before="0" w:after="0" w:line="400" w:lineRule="exact"/>
    </w:pPr>
    <w:rPr>
      <w:rFonts w:ascii="Times New Roman"/>
      <w:kern w:val="2"/>
    </w:rPr>
  </w:style>
  <w:style w:type="paragraph" w:customStyle="1" w:styleId="36">
    <w:name w:val="Default"/>
    <w:next w:val="10"/>
    <w:qFormat/>
    <w:uiPriority w:val="0"/>
    <w:pPr>
      <w:widowControl w:val="0"/>
      <w:autoSpaceDE w:val="0"/>
      <w:autoSpaceDN w:val="0"/>
      <w:adjustRightInd w:val="0"/>
      <w:spacing w:line="360" w:lineRule="auto"/>
      <w:ind w:firstLine="221" w:firstLineChars="221"/>
      <w:jc w:val="both"/>
    </w:pPr>
    <w:rPr>
      <w:rFonts w:ascii="宋体" w:hAnsi="Times New Roman" w:eastAsia="宋体" w:cs="宋体"/>
      <w:color w:val="000000"/>
      <w:sz w:val="24"/>
      <w:szCs w:val="24"/>
      <w:lang w:val="en-US" w:eastAsia="zh-CN" w:bidi="ar-SA"/>
    </w:rPr>
  </w:style>
  <w:style w:type="paragraph" w:customStyle="1" w:styleId="37">
    <w:name w:val="标题 5（有编号）（绿盟科技）"/>
    <w:basedOn w:val="1"/>
    <w:next w:val="38"/>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8">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9">
    <w:name w:val="Table Paragraph"/>
    <w:basedOn w:val="40"/>
    <w:qFormat/>
    <w:uiPriority w:val="0"/>
    <w:rPr>
      <w:rFonts w:ascii="Calibri" w:hAnsi="Calibri"/>
    </w:rPr>
  </w:style>
  <w:style w:type="paragraph" w:customStyle="1" w:styleId="40">
    <w:name w:val="正文1"/>
    <w:qFormat/>
    <w:uiPriority w:val="0"/>
    <w:pPr>
      <w:jc w:val="both"/>
    </w:pPr>
    <w:rPr>
      <w:rFonts w:ascii="Times New Roman" w:hAnsiTheme="minorHAnsi" w:eastAsiaTheme="minorEastAsia" w:cstheme="minorBidi"/>
      <w:sz w:val="21"/>
      <w:szCs w:val="24"/>
      <w:lang w:val="en-US" w:eastAsia="zh-CN" w:bidi="ar-SA"/>
    </w:rPr>
  </w:style>
  <w:style w:type="table" w:customStyle="1" w:styleId="41">
    <w:name w:val="普通表格1"/>
    <w:qFormat/>
    <w:uiPriority w:val="0"/>
    <w:rPr>
      <w:rFonts w:hAnsi="Times New Roman"/>
    </w:rPr>
    <w:tblPr>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
  </w:style>
  <w:style w:type="paragraph" w:customStyle="1" w:styleId="42">
    <w:name w:val="TOC 标题1"/>
    <w:basedOn w:val="3"/>
    <w:next w:val="1"/>
    <w:qFormat/>
    <w:uiPriority w:val="99"/>
    <w:pPr>
      <w:keepNext/>
      <w:keepLines/>
      <w:spacing w:before="480" w:beforeAutospacing="0" w:after="330" w:afterAutospacing="0" w:line="276" w:lineRule="auto"/>
      <w:jc w:val="both"/>
      <w:outlineLvl w:val="9"/>
    </w:pPr>
    <w:rPr>
      <w:rFonts w:hint="default" w:ascii="仿宋" w:hAnsi="仿宋" w:eastAsia="仿宋"/>
      <w:color w:val="00000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2074</Words>
  <Characters>2423</Characters>
  <Lines>0</Lines>
  <Paragraphs>0</Paragraphs>
  <TotalTime>1</TotalTime>
  <ScaleCrop>false</ScaleCrop>
  <LinksUpToDate>false</LinksUpToDate>
  <CharactersWithSpaces>2633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2024-11-07T07:08:00Z</dcterms:created>
  <dc:creator>招投标部</dc:creator>
  <cp:lastModifiedBy>一片青瓦</cp:lastModifiedBy>
  <dcterms:modified xsi:type="dcterms:W3CDTF">2024-12-13T03:44:44Z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45B941DB1EAF4EDC83EA446391BFAB98_13</vt:lpwstr>
  </property>
</Properties>
</file>