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rStyle w:val="45"/>
          <w:rFonts w:hint="eastAsia" w:ascii="仿宋" w:hAnsi="仿宋" w:eastAsia="仿宋" w:cs="仿宋"/>
          <w:b/>
          <w:color w:val="auto"/>
          <w:sz w:val="24"/>
          <w:highlight w:val="none"/>
          <w:u w:val="none"/>
        </w:rPr>
      </w:pPr>
      <w:r>
        <w:rPr>
          <w:rStyle w:val="45"/>
          <w:rFonts w:hint="eastAsia" w:ascii="仿宋" w:hAnsi="仿宋" w:eastAsia="仿宋" w:cs="仿宋"/>
          <w:b/>
          <w:color w:val="auto"/>
          <w:sz w:val="30"/>
          <w:szCs w:val="30"/>
          <w:highlight w:val="none"/>
          <w:u w:val="none"/>
        </w:rPr>
        <w:t xml:space="preserve">                                  </w:t>
      </w:r>
    </w:p>
    <w:p>
      <w:pPr>
        <w:jc w:val="left"/>
        <w:rPr>
          <w:rStyle w:val="45"/>
          <w:rFonts w:hint="eastAsia" w:ascii="仿宋" w:hAnsi="仿宋" w:eastAsia="仿宋" w:cs="仿宋"/>
          <w:b/>
          <w:color w:val="auto"/>
          <w:sz w:val="24"/>
          <w:highlight w:val="none"/>
          <w:u w:val="none"/>
        </w:rPr>
      </w:pP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竞</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争</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性</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磋</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商</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文</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件</w:t>
      </w:r>
    </w:p>
    <w:p>
      <w:pPr>
        <w:spacing w:line="500" w:lineRule="exact"/>
        <w:rPr>
          <w:rFonts w:hint="eastAsia" w:ascii="仿宋" w:hAnsi="仿宋" w:eastAsia="仿宋" w:cs="仿宋"/>
          <w:bCs/>
          <w:color w:val="auto"/>
          <w:sz w:val="28"/>
          <w:szCs w:val="28"/>
          <w:highlight w:val="none"/>
        </w:rPr>
      </w:pPr>
    </w:p>
    <w:p>
      <w:pPr>
        <w:pStyle w:val="7"/>
        <w:rPr>
          <w:rFonts w:hint="eastAsia" w:ascii="仿宋" w:hAnsi="仿宋" w:eastAsia="仿宋" w:cs="仿宋"/>
          <w:bCs/>
          <w:color w:val="auto"/>
          <w:sz w:val="28"/>
          <w:szCs w:val="28"/>
          <w:highlight w:val="none"/>
        </w:rPr>
      </w:pPr>
    </w:p>
    <w:p>
      <w:pPr>
        <w:pStyle w:val="7"/>
        <w:rPr>
          <w:rFonts w:hint="eastAsia" w:ascii="仿宋" w:hAnsi="仿宋" w:eastAsia="仿宋" w:cs="仿宋"/>
          <w:bCs/>
          <w:color w:val="auto"/>
          <w:sz w:val="28"/>
          <w:szCs w:val="28"/>
          <w:highlight w:val="none"/>
        </w:rPr>
      </w:pPr>
    </w:p>
    <w:p>
      <w:pPr>
        <w:pStyle w:val="7"/>
        <w:rPr>
          <w:rFonts w:hint="eastAsia"/>
          <w:color w:val="auto"/>
          <w:highlight w:val="none"/>
        </w:rPr>
      </w:pPr>
    </w:p>
    <w:p>
      <w:pPr>
        <w:spacing w:line="360" w:lineRule="auto"/>
        <w:ind w:firstLine="964" w:firstLineChars="300"/>
        <w:rPr>
          <w:rFonts w:hint="eastAsia"/>
          <w:color w:val="auto"/>
          <w:highlight w:val="none"/>
        </w:rPr>
      </w:pPr>
      <w:r>
        <w:rPr>
          <w:rFonts w:hint="eastAsia" w:ascii="仿宋" w:hAnsi="仿宋" w:eastAsia="仿宋" w:cs="仿宋"/>
          <w:b/>
          <w:bCs/>
          <w:color w:val="auto"/>
          <w:sz w:val="32"/>
          <w:szCs w:val="32"/>
          <w:highlight w:val="none"/>
          <w:u w:val="none"/>
          <w:lang w:val="en-US" w:eastAsia="zh-CN"/>
        </w:rPr>
        <w:t>采 购 人：</w:t>
      </w:r>
      <w:r>
        <w:rPr>
          <w:rFonts w:hint="eastAsia" w:ascii="仿宋" w:hAnsi="仿宋" w:eastAsia="仿宋" w:cs="仿宋"/>
          <w:b/>
          <w:bCs/>
          <w:color w:val="auto"/>
          <w:sz w:val="32"/>
          <w:szCs w:val="32"/>
          <w:highlight w:val="none"/>
          <w:u w:val="none"/>
          <w:lang w:eastAsia="zh-CN"/>
        </w:rPr>
        <w:t>惠州市农业农村局</w:t>
      </w:r>
    </w:p>
    <w:p>
      <w:pPr>
        <w:spacing w:line="360" w:lineRule="auto"/>
        <w:ind w:firstLine="964" w:firstLineChars="3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采购项目编号：</w:t>
      </w:r>
      <w:r>
        <w:rPr>
          <w:rFonts w:hint="eastAsia" w:ascii="仿宋" w:hAnsi="仿宋" w:eastAsia="仿宋" w:cs="仿宋"/>
          <w:b/>
          <w:bCs/>
          <w:color w:val="auto"/>
          <w:sz w:val="32"/>
          <w:szCs w:val="32"/>
          <w:highlight w:val="none"/>
          <w:lang w:eastAsia="zh-CN"/>
        </w:rPr>
        <w:t>HZGX-2023P032</w:t>
      </w:r>
    </w:p>
    <w:p>
      <w:pPr>
        <w:pStyle w:val="7"/>
        <w:spacing w:line="360" w:lineRule="auto"/>
        <w:ind w:left="3207" w:leftChars="456" w:hanging="2249" w:hangingChars="7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采购项目名称：</w:t>
      </w:r>
      <w:r>
        <w:rPr>
          <w:rFonts w:hint="eastAsia" w:ascii="仿宋" w:hAnsi="仿宋" w:eastAsia="仿宋" w:cs="仿宋"/>
          <w:b/>
          <w:bCs/>
          <w:color w:val="auto"/>
          <w:sz w:val="32"/>
          <w:szCs w:val="32"/>
          <w:highlight w:val="none"/>
          <w:u w:val="none"/>
          <w:lang w:val="en-US" w:eastAsia="zh-CN"/>
        </w:rPr>
        <w:t>惠州市2023年红火蚁应急防控专业服务和建立市级防控示范点项目</w:t>
      </w:r>
    </w:p>
    <w:p>
      <w:pPr>
        <w:pStyle w:val="7"/>
        <w:ind w:left="1050" w:leftChars="500" w:firstLine="0" w:firstLineChars="0"/>
        <w:rPr>
          <w:rFonts w:hint="eastAsia" w:ascii="仿宋" w:hAnsi="仿宋" w:eastAsia="仿宋" w:cs="仿宋"/>
          <w:b/>
          <w:color w:val="auto"/>
          <w:sz w:val="32"/>
          <w:szCs w:val="32"/>
          <w:highlight w:val="none"/>
        </w:rPr>
      </w:pPr>
    </w:p>
    <w:p>
      <w:pPr>
        <w:pStyle w:val="7"/>
        <w:ind w:left="0" w:leftChars="0" w:firstLine="0" w:firstLineChars="0"/>
        <w:rPr>
          <w:rFonts w:hint="eastAsia" w:ascii="仿宋" w:hAnsi="仿宋" w:eastAsia="仿宋" w:cs="仿宋"/>
          <w:b/>
          <w:color w:val="auto"/>
          <w:sz w:val="32"/>
          <w:szCs w:val="32"/>
          <w:highlight w:val="none"/>
        </w:rPr>
      </w:pPr>
    </w:p>
    <w:p>
      <w:pPr>
        <w:rPr>
          <w:rFonts w:hint="eastAsia"/>
          <w:color w:val="auto"/>
          <w:highlight w:val="none"/>
        </w:rPr>
      </w:pPr>
    </w:p>
    <w:p>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b/>
          <w:bCs/>
          <w:color w:val="auto"/>
          <w:sz w:val="30"/>
          <w:szCs w:val="30"/>
          <w:highlight w:val="none"/>
        </w:rPr>
        <w:t>惠州公信项目管理有限公司编制</w:t>
      </w:r>
    </w:p>
    <w:p>
      <w:pPr>
        <w:spacing w:line="360" w:lineRule="auto"/>
        <w:ind w:firstLine="3614" w:firstLineChars="1200"/>
        <w:jc w:val="both"/>
        <w:rPr>
          <w:rFonts w:hint="eastAsia" w:ascii="仿宋" w:hAnsi="仿宋" w:eastAsia="仿宋" w:cs="仿宋"/>
          <w:b/>
          <w:bCs/>
          <w:color w:val="auto"/>
          <w:sz w:val="30"/>
          <w:szCs w:val="30"/>
          <w:highlight w:val="none"/>
        </w:rPr>
        <w:sectPr>
          <w:footerReference r:id="rId3" w:type="default"/>
          <w:pgSz w:w="11906" w:h="16838"/>
          <w:pgMar w:top="1418" w:right="1418" w:bottom="720" w:left="1418" w:header="851" w:footer="851" w:gutter="0"/>
          <w:pgNumType w:fmt="decimal" w:start="1"/>
          <w:cols w:space="720" w:num="1"/>
          <w:docGrid w:linePitch="312" w:charSpace="0"/>
        </w:sectPr>
      </w:pPr>
      <w:r>
        <w:rPr>
          <w:rFonts w:hint="eastAsia" w:ascii="仿宋" w:hAnsi="仿宋" w:eastAsia="仿宋" w:cs="仿宋"/>
          <w:b/>
          <w:bCs/>
          <w:color w:val="auto"/>
          <w:sz w:val="30"/>
          <w:szCs w:val="30"/>
          <w:highlight w:val="none"/>
        </w:rPr>
        <w:t>202</w:t>
      </w:r>
      <w:r>
        <w:rPr>
          <w:rFonts w:hint="eastAsia" w:ascii="仿宋" w:hAnsi="仿宋" w:eastAsia="仿宋" w:cs="仿宋"/>
          <w:b/>
          <w:bCs/>
          <w:color w:val="auto"/>
          <w:sz w:val="30"/>
          <w:szCs w:val="30"/>
          <w:highlight w:val="none"/>
          <w:lang w:val="en-US" w:eastAsia="zh-CN"/>
        </w:rPr>
        <w:t>3</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4</w:t>
      </w:r>
      <w:r>
        <w:rPr>
          <w:rFonts w:hint="eastAsia" w:ascii="仿宋" w:hAnsi="仿宋" w:eastAsia="仿宋" w:cs="仿宋"/>
          <w:b/>
          <w:bCs/>
          <w:color w:val="auto"/>
          <w:sz w:val="30"/>
          <w:szCs w:val="30"/>
          <w:highlight w:val="none"/>
        </w:rPr>
        <w:t>月</w:t>
      </w:r>
    </w:p>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color w:val="auto"/>
          <w:sz w:val="32"/>
          <w:szCs w:val="32"/>
          <w:highlight w:val="none"/>
        </w:rPr>
        <w:t>温馨提示</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网络公示的采购文件仅供浏览用，以响应供应商报名并购买后版本为准。</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投标文件格式为通用版，请按招标项目实际需要填写。</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购买招标文件后，响应供应商应密切关注相关</w:t>
      </w:r>
      <w:r>
        <w:rPr>
          <w:rFonts w:hint="eastAsia" w:ascii="仿宋" w:hAnsi="仿宋" w:eastAsia="仿宋"/>
          <w:color w:val="auto"/>
          <w:sz w:val="28"/>
          <w:szCs w:val="28"/>
          <w:highlight w:val="none"/>
          <w:lang w:val="en-US" w:eastAsia="zh-CN"/>
        </w:rPr>
        <w:t>网</w:t>
      </w:r>
      <w:r>
        <w:rPr>
          <w:rFonts w:hint="eastAsia" w:ascii="仿宋" w:hAnsi="仿宋" w:eastAsia="仿宋" w:cs="仿宋"/>
          <w:color w:val="auto"/>
          <w:sz w:val="28"/>
          <w:szCs w:val="28"/>
          <w:highlight w:val="none"/>
          <w:lang w:val="en-US" w:eastAsia="zh-CN"/>
        </w:rPr>
        <w:t>站</w:t>
      </w:r>
      <w:r>
        <w:rPr>
          <w:rFonts w:hint="eastAsia" w:ascii="仿宋" w:hAnsi="仿宋" w:eastAsia="仿宋" w:cs="仿宋"/>
          <w:color w:val="auto"/>
          <w:sz w:val="28"/>
          <w:szCs w:val="28"/>
          <w:highlight w:val="none"/>
        </w:rPr>
        <w:t>上发布的澄清公告。</w:t>
      </w:r>
    </w:p>
    <w:p>
      <w:pPr>
        <w:numPr>
          <w:ilvl w:val="0"/>
          <w:numId w:val="1"/>
        </w:numPr>
        <w:tabs>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投标/响应供应商请注意区分投标保证金及中标/成交服务费收款账号的区别，务必将保证金按采购文件的要求存入指定的保证金专用账户，中标/成交服务费存入中标/成交通知书中指定的服务费账户。</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如无另行说明，投标/报价文件递交时间为投标/报价文件递交截止时间之前30分钟内。</w:t>
      </w:r>
    </w:p>
    <w:p>
      <w:pPr>
        <w:numPr>
          <w:ilvl w:val="0"/>
          <w:numId w:val="1"/>
        </w:numPr>
        <w:tabs>
          <w:tab w:val="left" w:pos="720"/>
          <w:tab w:val="clear" w:pos="980"/>
        </w:tabs>
        <w:spacing w:line="360" w:lineRule="auto"/>
        <w:ind w:left="720" w:right="-290" w:rightChars="-138"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投标截止时间后，本公司不接收任何投标文件，因此，请适当提前到达。</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了提高政府采购效率，节约社会交易成本与时间，希望购买了采购文件而决定不参加本次投标/报价的供应商，在投标/报价文件递交截止时间的3日前，按《投标/报价邀请函》中的联系方式，以书面形式告知我司。对您的支持与配合，谨此致谢。</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招标代理机构的法律地位决定了其对供应商购买招标文件时提交的相关资料的真伪不做出判断，如供应商发现相关资料被盗用或复制，建议供应商遵循法律途径解决，追究侵权者责任。</w:t>
      </w:r>
    </w:p>
    <w:p>
      <w:pPr>
        <w:spacing w:line="360" w:lineRule="auto"/>
        <w:rPr>
          <w:rFonts w:hint="eastAsia" w:ascii="仿宋" w:hAnsi="仿宋" w:eastAsia="仿宋" w:cs="仿宋"/>
          <w:color w:val="auto"/>
          <w:sz w:val="28"/>
          <w:szCs w:val="28"/>
          <w:highlight w:val="none"/>
        </w:rPr>
        <w:sectPr>
          <w:footerReference r:id="rId4" w:type="default"/>
          <w:pgSz w:w="11906" w:h="16838"/>
          <w:pgMar w:top="1418" w:right="1418" w:bottom="720" w:left="1418" w:header="851" w:footer="851" w:gutter="0"/>
          <w:pgNumType w:fmt="decimal" w:start="1"/>
          <w:cols w:space="720" w:num="1"/>
          <w:docGrid w:linePitch="312" w:charSpace="0"/>
        </w:sectPr>
      </w:pPr>
      <w:r>
        <w:rPr>
          <w:rFonts w:hint="eastAsia" w:ascii="仿宋" w:hAnsi="仿宋" w:eastAsia="仿宋" w:cs="仿宋"/>
          <w:color w:val="auto"/>
          <w:sz w:val="28"/>
          <w:szCs w:val="28"/>
          <w:highlight w:val="none"/>
        </w:rPr>
        <w:t>（本提示内容非采购文件的组成部分，仅为善意提醒。如有不一致，以采购文件为准）</w:t>
      </w:r>
    </w:p>
    <w:p>
      <w:pPr>
        <w:spacing w:before="0" w:beforeLines="0" w:after="0" w:afterLines="0" w:line="240" w:lineRule="auto"/>
        <w:ind w:left="0" w:leftChars="0" w:right="0" w:rightChars="0" w:firstLine="0" w:firstLineChars="0"/>
        <w:jc w:val="center"/>
        <w:rPr>
          <w:rFonts w:ascii="宋体" w:hAnsi="宋体" w:eastAsia="宋体"/>
          <w:color w:val="auto"/>
          <w:sz w:val="32"/>
          <w:szCs w:val="40"/>
          <w:highlight w:val="none"/>
        </w:rPr>
      </w:pPr>
    </w:p>
    <w:p>
      <w:pPr>
        <w:spacing w:before="0" w:beforeLines="0" w:after="0" w:afterLines="0" w:line="240" w:lineRule="auto"/>
        <w:ind w:left="0" w:leftChars="0" w:right="0" w:rightChars="0" w:firstLine="0" w:firstLineChars="0"/>
        <w:jc w:val="center"/>
        <w:rPr>
          <w:rFonts w:ascii="宋体" w:hAnsi="宋体" w:eastAsia="宋体"/>
          <w:b/>
          <w:bCs/>
          <w:color w:val="auto"/>
          <w:sz w:val="44"/>
          <w:szCs w:val="44"/>
          <w:highlight w:val="none"/>
        </w:rPr>
      </w:pPr>
      <w:r>
        <w:rPr>
          <w:rFonts w:ascii="宋体" w:hAnsi="宋体" w:eastAsia="宋体"/>
          <w:b/>
          <w:bCs/>
          <w:color w:val="auto"/>
          <w:sz w:val="44"/>
          <w:szCs w:val="44"/>
          <w:highlight w:val="none"/>
        </w:rPr>
        <w:t>目</w:t>
      </w:r>
      <w:r>
        <w:rPr>
          <w:rFonts w:hint="default" w:ascii="宋体" w:hAnsi="宋体"/>
          <w:b/>
          <w:bCs/>
          <w:color w:val="auto"/>
          <w:sz w:val="44"/>
          <w:szCs w:val="44"/>
          <w:highlight w:val="none"/>
          <w:lang w:val="en-US"/>
        </w:rPr>
        <w:t xml:space="preserve"> </w:t>
      </w:r>
      <w:r>
        <w:rPr>
          <w:rFonts w:ascii="宋体" w:hAnsi="宋体" w:eastAsia="宋体"/>
          <w:b/>
          <w:bCs/>
          <w:color w:val="auto"/>
          <w:sz w:val="44"/>
          <w:szCs w:val="44"/>
          <w:highlight w:val="none"/>
        </w:rPr>
        <w:t>录</w:t>
      </w:r>
    </w:p>
    <w:p>
      <w:pPr>
        <w:pStyle w:val="14"/>
        <w:rPr>
          <w:rFonts w:ascii="宋体" w:hAnsi="宋体" w:eastAsia="宋体"/>
          <w:b/>
          <w:bCs/>
          <w:color w:val="auto"/>
          <w:sz w:val="44"/>
          <w:szCs w:val="44"/>
          <w:highlight w:val="none"/>
        </w:rPr>
      </w:pPr>
    </w:p>
    <w:p>
      <w:pPr>
        <w:pStyle w:val="269"/>
        <w:tabs>
          <w:tab w:val="right" w:leader="dot" w:pos="8845"/>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_Toc28567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第一部分 磋商邀请函</w:t>
      </w:r>
      <w:r>
        <w:rPr>
          <w:rFonts w:hint="default" w:ascii="Arial" w:hAnsi="Arial" w:eastAsia="黑体" w:cs="Arial"/>
          <w:color w:val="auto"/>
          <w:sz w:val="32"/>
          <w:szCs w:val="32"/>
          <w:highlight w:val="none"/>
        </w:rPr>
        <w:t>……………………………………………</w:t>
      </w:r>
      <w:r>
        <w:rPr>
          <w:rFonts w:hint="eastAsia" w:ascii="Arial" w:hAnsi="Arial" w:eastAsia="黑体" w:cs="Arial"/>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fldChar w:fldCharType="end"/>
      </w:r>
    </w:p>
    <w:p>
      <w:pPr>
        <w:pStyle w:val="269"/>
        <w:tabs>
          <w:tab w:val="right" w:leader="dot" w:pos="8845"/>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_Toc16151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第二部分 采购项目内容</w:t>
      </w:r>
      <w:r>
        <w:rPr>
          <w:rFonts w:hint="default" w:ascii="Arial" w:hAnsi="Arial" w:eastAsia="黑体" w:cs="Arial"/>
          <w:color w:val="auto"/>
          <w:sz w:val="32"/>
          <w:szCs w:val="32"/>
          <w:highlight w:val="none"/>
        </w:rPr>
        <w:t>…………………………………………</w:t>
      </w:r>
      <w:r>
        <w:rPr>
          <w:rFonts w:hint="eastAsia" w:ascii="Arial" w:hAnsi="Arial" w:eastAsia="黑体" w:cs="Arial"/>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fldChar w:fldCharType="end"/>
      </w:r>
    </w:p>
    <w:p>
      <w:pPr>
        <w:pStyle w:val="269"/>
        <w:tabs>
          <w:tab w:val="right" w:leader="dot" w:pos="8845"/>
        </w:tabs>
        <w:spacing w:line="360" w:lineRule="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_Toc20892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第三部分 </w:t>
      </w:r>
      <w:r>
        <w:rPr>
          <w:rFonts w:hint="eastAsia" w:ascii="黑体" w:hAnsi="黑体" w:eastAsia="黑体" w:cs="黑体"/>
          <w:color w:val="auto"/>
          <w:sz w:val="32"/>
          <w:szCs w:val="32"/>
          <w:highlight w:val="none"/>
          <w:lang w:val="en-US" w:eastAsia="zh-CN"/>
        </w:rPr>
        <w:t>报价人</w:t>
      </w:r>
      <w:r>
        <w:rPr>
          <w:rFonts w:hint="eastAsia" w:ascii="黑体" w:hAnsi="黑体" w:eastAsia="黑体" w:cs="黑体"/>
          <w:color w:val="auto"/>
          <w:sz w:val="32"/>
          <w:szCs w:val="32"/>
          <w:highlight w:val="none"/>
        </w:rPr>
        <w:t>须知</w:t>
      </w:r>
      <w:r>
        <w:rPr>
          <w:rFonts w:hint="default" w:ascii="Arial" w:hAnsi="Arial" w:eastAsia="黑体" w:cs="Arial"/>
          <w:color w:val="auto"/>
          <w:sz w:val="32"/>
          <w:szCs w:val="32"/>
          <w:highlight w:val="none"/>
        </w:rPr>
        <w:t>……………………………………………</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lang w:val="en-US" w:eastAsia="zh-CN"/>
        </w:rPr>
        <w:t>10</w:t>
      </w:r>
    </w:p>
    <w:p>
      <w:pPr>
        <w:pStyle w:val="269"/>
        <w:tabs>
          <w:tab w:val="right" w:leader="dot" w:pos="8845"/>
        </w:tabs>
        <w:spacing w:line="360" w:lineRule="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_Toc23402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第四部分 合同书格式</w:t>
      </w:r>
      <w:r>
        <w:rPr>
          <w:rFonts w:hint="default" w:ascii="Arial" w:hAnsi="Arial" w:eastAsia="黑体" w:cs="Arial"/>
          <w:color w:val="auto"/>
          <w:sz w:val="32"/>
          <w:szCs w:val="32"/>
          <w:highlight w:val="none"/>
        </w:rPr>
        <w:t>……………………………………………</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lang w:val="en-US" w:eastAsia="zh-CN"/>
        </w:rPr>
        <w:t>30</w:t>
      </w:r>
    </w:p>
    <w:p>
      <w:pPr>
        <w:rPr>
          <w:rFonts w:hint="eastAsia" w:ascii="宋体" w:hAnsi="宋体" w:eastAsia="黑体"/>
          <w:b/>
          <w:bCs/>
          <w:color w:val="auto"/>
          <w:sz w:val="44"/>
          <w:szCs w:val="44"/>
          <w:highlight w:val="none"/>
          <w:lang w:val="en-US" w:eastAsia="zh-CN"/>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_Toc27802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第五部分 响应文件格式</w:t>
      </w:r>
      <w:r>
        <w:rPr>
          <w:rFonts w:hint="default" w:ascii="Arial" w:hAnsi="Arial" w:eastAsia="黑体" w:cs="Arial"/>
          <w:color w:val="auto"/>
          <w:sz w:val="32"/>
          <w:szCs w:val="32"/>
          <w:highlight w:val="none"/>
        </w:rPr>
        <w:t>…………………………………………</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lang w:val="en-US" w:eastAsia="zh-CN"/>
        </w:rPr>
        <w:t>6</w:t>
      </w:r>
    </w:p>
    <w:p>
      <w:pPr>
        <w:pStyle w:val="14"/>
        <w:rPr>
          <w:rFonts w:ascii="宋体" w:hAnsi="宋体" w:eastAsia="宋体"/>
          <w:b/>
          <w:bCs/>
          <w:color w:val="auto"/>
          <w:sz w:val="44"/>
          <w:szCs w:val="44"/>
          <w:highlight w:val="none"/>
        </w:rPr>
      </w:pPr>
    </w:p>
    <w:p>
      <w:pPr>
        <w:rPr>
          <w:rFonts w:ascii="Times New Roman" w:hAnsi="Times New Roman" w:eastAsia="宋体"/>
          <w:b w:val="0"/>
          <w:bCs w:val="0"/>
          <w:color w:val="auto"/>
          <w:sz w:val="21"/>
          <w:szCs w:val="24"/>
          <w:highlight w:val="none"/>
        </w:rPr>
      </w:pPr>
    </w:p>
    <w:p>
      <w:pPr>
        <w:spacing w:before="0" w:after="0" w:line="360" w:lineRule="auto"/>
        <w:ind w:left="0" w:leftChars="0" w:firstLine="0" w:firstLineChars="0"/>
        <w:jc w:val="center"/>
        <w:rPr>
          <w:color w:val="auto"/>
          <w:highlight w:val="none"/>
        </w:rPr>
      </w:pPr>
      <w:bookmarkStart w:id="0" w:name="_Toc274896489"/>
      <w:bookmarkStart w:id="1" w:name="_Toc5230"/>
      <w:bookmarkStart w:id="2" w:name="_Toc30648"/>
      <w:bookmarkStart w:id="3" w:name="_Toc24506"/>
      <w:bookmarkStart w:id="4" w:name="_Toc274896623"/>
      <w:bookmarkStart w:id="5" w:name="_Toc2774"/>
    </w:p>
    <w:p>
      <w:pPr>
        <w:pStyle w:val="7"/>
        <w:ind w:firstLine="0"/>
        <w:rPr>
          <w:color w:val="auto"/>
          <w:highlight w:val="none"/>
        </w:rPr>
      </w:pPr>
    </w:p>
    <w:p>
      <w:pPr>
        <w:pStyle w:val="7"/>
        <w:rPr>
          <w:rFonts w:hint="eastAsia"/>
          <w:color w:val="auto"/>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第一部分 </w:t>
      </w:r>
      <w:r>
        <w:rPr>
          <w:rFonts w:hint="eastAsia" w:ascii="仿宋" w:hAnsi="仿宋" w:eastAsia="仿宋" w:cs="仿宋"/>
          <w:b/>
          <w:bCs/>
          <w:color w:val="auto"/>
          <w:sz w:val="32"/>
          <w:szCs w:val="32"/>
          <w:highlight w:val="none"/>
          <w:lang w:val="en-US" w:eastAsia="zh-CN"/>
        </w:rPr>
        <w:t>投标</w:t>
      </w:r>
      <w:r>
        <w:rPr>
          <w:rFonts w:hint="eastAsia" w:ascii="仿宋" w:hAnsi="仿宋" w:eastAsia="仿宋" w:cs="仿宋"/>
          <w:b/>
          <w:bCs/>
          <w:color w:val="auto"/>
          <w:sz w:val="32"/>
          <w:szCs w:val="32"/>
          <w:highlight w:val="none"/>
        </w:rPr>
        <w:t>邀请函</w:t>
      </w:r>
      <w:bookmarkEnd w:id="0"/>
      <w:bookmarkEnd w:id="1"/>
      <w:bookmarkEnd w:id="2"/>
      <w:bookmarkEnd w:id="3"/>
      <w:bookmarkEnd w:id="4"/>
      <w:bookmarkEnd w:id="5"/>
    </w:p>
    <w:p>
      <w:pPr>
        <w:spacing w:beforeLines="0" w:afterLines="0" w:line="500" w:lineRule="exact"/>
        <w:ind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各（潜在）供应商:</w:t>
      </w:r>
    </w:p>
    <w:p>
      <w:pPr>
        <w:spacing w:beforeLines="0" w:afterLines="0"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惠州公信项目管理有限公司</w:t>
      </w:r>
      <w:r>
        <w:rPr>
          <w:rFonts w:hint="eastAsia" w:ascii="仿宋" w:hAnsi="仿宋" w:eastAsia="仿宋" w:cs="仿宋"/>
          <w:color w:val="auto"/>
          <w:sz w:val="28"/>
          <w:szCs w:val="28"/>
          <w:highlight w:val="none"/>
        </w:rPr>
        <w:t>受</w:t>
      </w:r>
      <w:r>
        <w:rPr>
          <w:rFonts w:hint="eastAsia" w:ascii="仿宋" w:hAnsi="仿宋" w:eastAsia="仿宋" w:cs="仿宋"/>
          <w:color w:val="auto"/>
          <w:sz w:val="28"/>
          <w:szCs w:val="28"/>
          <w:highlight w:val="none"/>
          <w:u w:val="single"/>
          <w:lang w:eastAsia="zh-CN"/>
        </w:rPr>
        <w:t>惠州市农业农村局</w:t>
      </w:r>
      <w:r>
        <w:rPr>
          <w:rFonts w:hint="eastAsia" w:ascii="仿宋" w:hAnsi="仿宋" w:eastAsia="仿宋" w:cs="仿宋"/>
          <w:color w:val="auto"/>
          <w:sz w:val="28"/>
          <w:szCs w:val="28"/>
          <w:highlight w:val="none"/>
        </w:rPr>
        <w:t>的委托，对</w:t>
      </w:r>
      <w:r>
        <w:rPr>
          <w:rFonts w:hint="eastAsia" w:ascii="仿宋" w:hAnsi="仿宋" w:eastAsia="仿宋" w:cs="仿宋"/>
          <w:color w:val="auto"/>
          <w:sz w:val="28"/>
          <w:szCs w:val="28"/>
          <w:highlight w:val="none"/>
          <w:u w:val="single"/>
          <w:lang w:eastAsia="zh-CN"/>
        </w:rPr>
        <w:t>惠州市2023年红火蚁应急防控专业服务和建立市级防控示范点项目</w:t>
      </w:r>
      <w:r>
        <w:rPr>
          <w:rFonts w:hint="eastAsia" w:ascii="仿宋" w:hAnsi="仿宋" w:eastAsia="仿宋" w:cs="仿宋"/>
          <w:color w:val="auto"/>
          <w:sz w:val="28"/>
          <w:szCs w:val="28"/>
          <w:highlight w:val="none"/>
        </w:rPr>
        <w:t>进行</w:t>
      </w:r>
      <w:r>
        <w:rPr>
          <w:rFonts w:hint="eastAsia" w:ascii="仿宋" w:hAnsi="仿宋" w:eastAsia="仿宋" w:cs="仿宋"/>
          <w:color w:val="auto"/>
          <w:kern w:val="0"/>
          <w:sz w:val="28"/>
          <w:szCs w:val="28"/>
          <w:highlight w:val="none"/>
        </w:rPr>
        <w:t>竞争性磋商</w:t>
      </w:r>
      <w:r>
        <w:rPr>
          <w:rFonts w:hint="eastAsia" w:ascii="仿宋" w:hAnsi="仿宋" w:eastAsia="仿宋" w:cs="仿宋"/>
          <w:color w:val="auto"/>
          <w:sz w:val="28"/>
          <w:szCs w:val="28"/>
          <w:highlight w:val="none"/>
        </w:rPr>
        <w:t>采购，欢迎符合资格条件的供应商投标。</w:t>
      </w:r>
    </w:p>
    <w:p>
      <w:pPr>
        <w:spacing w:beforeLines="0" w:afterLines="0"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文件公示时间为：202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4月28</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供应商认为</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文件的内容损害其权益的，向采购人或者我公司提出质疑，供应商对采购文件提出质疑的，应当按照国家有关规定附送有关证明材料。</w:t>
      </w:r>
    </w:p>
    <w:p>
      <w:pPr>
        <w:autoSpaceDE w:val="0"/>
        <w:autoSpaceDN w:val="0"/>
        <w:spacing w:beforeLines="0" w:afterLines="0" w:line="500" w:lineRule="exact"/>
        <w:ind w:firstLine="560" w:firstLineChars="200"/>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lang w:val="zh-CN"/>
        </w:rPr>
        <w:t>一、采购项目编号：</w:t>
      </w:r>
      <w:r>
        <w:rPr>
          <w:rFonts w:hint="eastAsia" w:ascii="仿宋" w:hAnsi="仿宋" w:eastAsia="仿宋" w:cs="仿宋"/>
          <w:color w:val="auto"/>
          <w:sz w:val="28"/>
          <w:szCs w:val="28"/>
          <w:highlight w:val="none"/>
          <w:u w:val="none"/>
          <w:lang w:val="zh-CN"/>
        </w:rPr>
        <w:t>HZGX-2023P032</w:t>
      </w:r>
    </w:p>
    <w:p>
      <w:pPr>
        <w:spacing w:beforeLines="0" w:afterLines="0" w:line="500" w:lineRule="exact"/>
        <w:ind w:firstLine="560"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rPr>
        <w:t>二、采购项目名称：</w:t>
      </w:r>
      <w:r>
        <w:rPr>
          <w:rFonts w:hint="eastAsia" w:ascii="仿宋" w:hAnsi="仿宋" w:eastAsia="仿宋" w:cs="仿宋"/>
          <w:color w:val="auto"/>
          <w:sz w:val="28"/>
          <w:szCs w:val="28"/>
          <w:highlight w:val="none"/>
          <w:u w:val="none"/>
          <w:lang w:eastAsia="zh-CN"/>
        </w:rPr>
        <w:t>惠州市2023年红火蚁应急防控专业服务和建立市级防控示范点项目</w:t>
      </w:r>
    </w:p>
    <w:p>
      <w:pPr>
        <w:spacing w:beforeLines="-2147483648" w:afterLines="-2147483648" w:line="3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三、采购预算（</w:t>
      </w:r>
      <w:r>
        <w:rPr>
          <w:rFonts w:hint="eastAsia" w:ascii="仿宋" w:hAnsi="仿宋" w:eastAsia="仿宋" w:cs="仿宋"/>
          <w:color w:val="auto"/>
          <w:sz w:val="28"/>
          <w:szCs w:val="28"/>
          <w:highlight w:val="none"/>
          <w:lang w:val="en-US" w:eastAsia="zh-CN"/>
        </w:rPr>
        <w:t>最高限价</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50万元</w:t>
      </w:r>
    </w:p>
    <w:p>
      <w:pPr>
        <w:autoSpaceDE w:val="0"/>
        <w:autoSpaceDN w:val="0"/>
        <w:spacing w:beforeLines="0" w:afterLines="0" w:line="50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四、</w:t>
      </w:r>
      <w:r>
        <w:rPr>
          <w:rFonts w:hint="eastAsia" w:ascii="仿宋" w:hAnsi="仿宋" w:eastAsia="仿宋" w:cs="仿宋"/>
          <w:color w:val="auto"/>
          <w:sz w:val="28"/>
          <w:szCs w:val="28"/>
          <w:highlight w:val="none"/>
        </w:rPr>
        <w:t>供应商资格:</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val="zh-CN"/>
        </w:rPr>
        <w:t>具有独立承担民事责任的能力：在中华人民共和国境内注册的法人或其他组织，投标（</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）时提交有效的营业执照</w:t>
      </w:r>
      <w:r>
        <w:rPr>
          <w:rFonts w:hint="eastAsia" w:ascii="仿宋" w:hAnsi="仿宋" w:eastAsia="仿宋" w:cs="仿宋"/>
          <w:color w:val="auto"/>
          <w:sz w:val="28"/>
          <w:szCs w:val="28"/>
          <w:highlight w:val="none"/>
          <w:lang w:val="en-US" w:eastAsia="zh-CN"/>
        </w:rPr>
        <w:t>副本</w:t>
      </w:r>
      <w:r>
        <w:rPr>
          <w:rFonts w:hint="eastAsia" w:ascii="仿宋" w:hAnsi="仿宋" w:eastAsia="仿宋" w:cs="仿宋"/>
          <w:color w:val="auto"/>
          <w:sz w:val="28"/>
          <w:szCs w:val="28"/>
          <w:highlight w:val="none"/>
          <w:lang w:val="zh-CN"/>
        </w:rPr>
        <w:t>（或事业法人登记证或身份证等相关证明）复印件。</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（二）有依法缴纳税收和社会保障资金的良好记录：提供投标截止日前6个月内任意1个月依法缴纳税收和社会保障资金的相关材料。如依法免税或不需要缴纳社会保障资金的，提供相应证明材料。</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val="zh-CN"/>
        </w:rPr>
        <w:t>具有良好的商业信誉和健全的财务会计制度：供应商必须具有良好的商业信誉和健全的财务会计制度（提供</w:t>
      </w:r>
      <w:r>
        <w:rPr>
          <w:rFonts w:hint="eastAsia" w:ascii="仿宋" w:hAnsi="仿宋" w:eastAsia="仿宋" w:cs="仿宋"/>
          <w:color w:val="auto"/>
          <w:sz w:val="28"/>
          <w:szCs w:val="28"/>
          <w:highlight w:val="none"/>
          <w:lang w:val="en-US" w:eastAsia="zh-CN"/>
        </w:rPr>
        <w:t>2021年度</w:t>
      </w:r>
      <w:r>
        <w:rPr>
          <w:rFonts w:hint="eastAsia" w:ascii="仿宋" w:hAnsi="仿宋" w:eastAsia="仿宋" w:cs="仿宋"/>
          <w:color w:val="auto"/>
          <w:sz w:val="28"/>
          <w:szCs w:val="28"/>
          <w:highlight w:val="none"/>
          <w:lang w:val="zh-CN"/>
        </w:rPr>
        <w:t>财务状况报告，新成立公司提供成立至今的月或季度财务报表复印件或银行出具的资信证明）。</w:t>
      </w:r>
    </w:p>
    <w:p>
      <w:pPr>
        <w:tabs>
          <w:tab w:val="left" w:pos="993"/>
        </w:tabs>
        <w:autoSpaceDE/>
        <w:autoSpaceDN/>
        <w:spacing w:beforeLines="-2147483648" w:afterLines="-2147483648" w:line="520" w:lineRule="exact"/>
        <w:ind w:left="0" w:leftChars="0" w:right="-158" w:rightChars="-75"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（四）具有</w:t>
      </w:r>
      <w:r>
        <w:rPr>
          <w:rFonts w:hint="eastAsia" w:ascii="仿宋" w:hAnsi="仿宋" w:eastAsia="仿宋" w:cs="仿宋"/>
          <w:color w:val="auto"/>
          <w:sz w:val="28"/>
          <w:szCs w:val="28"/>
          <w:highlight w:val="none"/>
          <w:lang w:val="zh-CN"/>
        </w:rPr>
        <w:t>履行合同所必须的设备和专业技术能力（提供承诺函，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lang w:val="zh-CN"/>
        </w:rPr>
        <w:t>）。</w:t>
      </w:r>
    </w:p>
    <w:p>
      <w:pPr>
        <w:autoSpaceDE w:val="0"/>
        <w:autoSpaceDN w:val="0"/>
        <w:spacing w:beforeLines="0" w:afterLines="0" w:line="52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val="zh-CN"/>
        </w:rPr>
        <w:t>参加采购活动前三年内，在经营活动中没有重大违法记录（提供书面声明</w:t>
      </w:r>
      <w:r>
        <w:rPr>
          <w:rFonts w:hint="eastAsia" w:ascii="仿宋" w:hAnsi="仿宋" w:eastAsia="仿宋" w:cs="仿宋"/>
          <w:color w:val="auto"/>
          <w:sz w:val="28"/>
          <w:szCs w:val="28"/>
          <w:highlight w:val="none"/>
          <w:lang w:val="en-US" w:eastAsia="zh-CN"/>
        </w:rPr>
        <w:t>函，格式自拟</w:t>
      </w:r>
      <w:r>
        <w:rPr>
          <w:rFonts w:hint="eastAsia" w:ascii="仿宋" w:hAnsi="仿宋" w:eastAsia="仿宋" w:cs="仿宋"/>
          <w:color w:val="auto"/>
          <w:sz w:val="28"/>
          <w:szCs w:val="28"/>
          <w:highlight w:val="none"/>
          <w:lang w:val="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utoSpaceDE w:val="0"/>
        <w:autoSpaceDN w:val="0"/>
        <w:spacing w:beforeLines="0" w:afterLines="0" w:line="5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val="zh-CN"/>
        </w:rPr>
        <w:t>信用记录：供应商未被列入“信用中国”网站(www.creditchina.gov.cn)“记录失信被执行人或重大税收违法失信主体”；不处于中国政府采购网(www.ccgp.gov.cn)“政府采购严重违法失信行为信息记录”中的禁止参加政府采购活动期间。请供应商提供查询结果截图（以资格审查人员于投标（响应）截止时间当天在“信用中国”网站（www.creditchina.gov.cn）及中国政府采购网（http://www.ccgp.gov.cn/）查询结果为准，如相关失信记录已失效，供应商需提供相关证明资料）。</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val="zh-CN"/>
        </w:rPr>
        <w:t>供应商必须符合法律、行政法规规定的其他条件：单位负责人为同一人或者存在直接控股、管理关系的不同供应商，不得同时参加本采购项目（</w:t>
      </w:r>
      <w:r>
        <w:rPr>
          <w:rFonts w:hint="eastAsia" w:ascii="仿宋" w:hAnsi="仿宋" w:eastAsia="仿宋" w:cs="仿宋"/>
          <w:color w:val="auto"/>
          <w:sz w:val="28"/>
          <w:szCs w:val="28"/>
          <w:highlight w:val="none"/>
          <w:lang w:val="en-US" w:eastAsia="zh-CN"/>
        </w:rPr>
        <w:t>或采购包</w:t>
      </w:r>
      <w:r>
        <w:rPr>
          <w:rFonts w:hint="eastAsia" w:ascii="仿宋" w:hAnsi="仿宋" w:eastAsia="仿宋" w:cs="仿宋"/>
          <w:color w:val="auto"/>
          <w:sz w:val="28"/>
          <w:szCs w:val="28"/>
          <w:highlight w:val="none"/>
          <w:lang w:val="zh-CN"/>
        </w:rPr>
        <w:t>）投标（</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）；为本项目提供整体设计、规范编制或者项目管理、监理、检测等服务的供应商，不得再参与本项目投标（</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）（提供书面声明</w:t>
      </w:r>
      <w:r>
        <w:rPr>
          <w:rFonts w:hint="eastAsia" w:ascii="仿宋" w:hAnsi="仿宋" w:eastAsia="仿宋" w:cs="仿宋"/>
          <w:color w:val="auto"/>
          <w:sz w:val="28"/>
          <w:szCs w:val="28"/>
          <w:highlight w:val="none"/>
          <w:lang w:val="en-US" w:eastAsia="zh-CN"/>
        </w:rPr>
        <w:t>函，格式自拟</w:t>
      </w:r>
      <w:r>
        <w:rPr>
          <w:rFonts w:hint="eastAsia" w:ascii="仿宋" w:hAnsi="仿宋" w:eastAsia="仿宋" w:cs="仿宋"/>
          <w:color w:val="auto"/>
          <w:sz w:val="28"/>
          <w:szCs w:val="28"/>
          <w:highlight w:val="none"/>
          <w:lang w:val="zh-CN"/>
        </w:rPr>
        <w:t>）。</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lang w:val="zh-CN"/>
        </w:rPr>
        <w:t>本项目不接受联合体投标，不允许</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对本</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val="zh-CN"/>
        </w:rPr>
        <w:t>内容进行分包和转包。</w:t>
      </w:r>
    </w:p>
    <w:p>
      <w:pPr>
        <w:pStyle w:val="122"/>
        <w:numPr>
          <w:ilvl w:val="0"/>
          <w:numId w:val="0"/>
        </w:numPr>
        <w:tabs>
          <w:tab w:val="left" w:pos="540"/>
        </w:tabs>
        <w:adjustRightInd w:val="0"/>
        <w:snapToGrid w:val="0"/>
        <w:spacing w:line="560" w:lineRule="exact"/>
        <w:ind w:leftChars="0"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 xml:space="preserve"> （九）</w:t>
      </w:r>
      <w:r>
        <w:rPr>
          <w:rFonts w:hint="eastAsia" w:ascii="仿宋" w:hAnsi="仿宋" w:eastAsia="仿宋" w:cs="仿宋"/>
          <w:bCs/>
          <w:color w:val="auto"/>
          <w:sz w:val="28"/>
          <w:szCs w:val="28"/>
          <w:highlight w:val="none"/>
        </w:rPr>
        <w:t xml:space="preserve">本项目专门面向中小企业采购：参与的供应商服务全部由符合政策要求的中小企业承接。监狱企业、残疾人福利单位视同小型、微型企业。供应商响应时提供《中小企业声明函》。（注：中小企业以供应商填写的《中小企业声明函》（见第五部分 响应文件格式）为判定标准，残疾人福利性单位以供应商填写的《残疾人福利性单位声明函》（见第五部分 响应文件格式）为判定标准，监狱企业须供应商提供由省级以上监狱管理局、戒毒管理局（含新疆生产建设兵团）出具的属于监狱企业的证明文件，否则不予认定。） </w:t>
      </w:r>
    </w:p>
    <w:p>
      <w:pPr>
        <w:pStyle w:val="2"/>
        <w:rPr>
          <w:rFonts w:hint="default" w:eastAsia="仿宋"/>
          <w:color w:val="auto"/>
          <w:highlight w:val="none"/>
          <w:lang w:val="en-US" w:eastAsia="zh-CN"/>
        </w:rPr>
      </w:pPr>
    </w:p>
    <w:p>
      <w:pPr>
        <w:autoSpaceDE w:val="0"/>
        <w:autoSpaceDN w:val="0"/>
        <w:spacing w:beforeLines="0" w:afterLines="0" w:line="50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五、现场</w:t>
      </w:r>
      <w:r>
        <w:rPr>
          <w:rFonts w:hint="eastAsia" w:ascii="仿宋" w:hAnsi="仿宋" w:eastAsia="仿宋" w:cs="仿宋"/>
          <w:color w:val="auto"/>
          <w:sz w:val="28"/>
          <w:szCs w:val="28"/>
          <w:highlight w:val="none"/>
          <w:lang w:val="en-US" w:eastAsia="zh-CN"/>
        </w:rPr>
        <w:t>报名</w:t>
      </w:r>
      <w:r>
        <w:rPr>
          <w:rFonts w:hint="eastAsia" w:ascii="仿宋" w:hAnsi="仿宋" w:eastAsia="仿宋" w:cs="仿宋"/>
          <w:b w:val="0"/>
          <w:bCs w:val="0"/>
          <w:color w:val="auto"/>
          <w:sz w:val="28"/>
          <w:szCs w:val="28"/>
          <w:highlight w:val="none"/>
        </w:rPr>
        <w:t>（或邮寄）</w:t>
      </w:r>
      <w:r>
        <w:rPr>
          <w:rFonts w:hint="eastAsia" w:ascii="仿宋" w:hAnsi="仿宋" w:eastAsia="仿宋" w:cs="仿宋"/>
          <w:b w:val="0"/>
          <w:bCs w:val="0"/>
          <w:color w:val="auto"/>
          <w:sz w:val="28"/>
          <w:szCs w:val="28"/>
          <w:highlight w:val="none"/>
          <w:lang w:val="en-US" w:eastAsia="zh-CN"/>
        </w:rPr>
        <w:t>报名资料</w:t>
      </w:r>
      <w:r>
        <w:rPr>
          <w:rFonts w:hint="eastAsia" w:ascii="仿宋" w:hAnsi="仿宋" w:eastAsia="仿宋" w:cs="仿宋"/>
          <w:color w:val="auto"/>
          <w:sz w:val="28"/>
          <w:szCs w:val="28"/>
          <w:highlight w:val="none"/>
        </w:rPr>
        <w:t>：</w:t>
      </w:r>
    </w:p>
    <w:p>
      <w:pPr>
        <w:spacing w:beforeLines="0" w:afterLines="0" w:line="500" w:lineRule="exact"/>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lang w:val="en-US" w:eastAsia="zh-CN"/>
        </w:rPr>
        <w:t>一</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rPr>
        <w:t>符合资格的供应商应当在202</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年</w:t>
      </w:r>
      <w:r>
        <w:rPr>
          <w:rFonts w:hint="eastAsia" w:ascii="仿宋" w:hAnsi="仿宋" w:eastAsia="仿宋" w:cs="仿宋"/>
          <w:color w:val="auto"/>
          <w:spacing w:val="-6"/>
          <w:sz w:val="28"/>
          <w:szCs w:val="28"/>
          <w:highlight w:val="none"/>
          <w:lang w:val="en-US" w:eastAsia="zh-CN"/>
        </w:rPr>
        <w:t>4</w:t>
      </w:r>
      <w:r>
        <w:rPr>
          <w:rFonts w:hint="eastAsia" w:ascii="仿宋" w:hAnsi="仿宋" w:eastAsia="仿宋" w:cs="仿宋"/>
          <w:color w:val="auto"/>
          <w:spacing w:val="-6"/>
          <w:sz w:val="28"/>
          <w:szCs w:val="28"/>
          <w:highlight w:val="none"/>
        </w:rPr>
        <w:t>月</w:t>
      </w:r>
      <w:r>
        <w:rPr>
          <w:rFonts w:hint="eastAsia" w:ascii="仿宋" w:hAnsi="仿宋" w:eastAsia="仿宋" w:cs="仿宋"/>
          <w:color w:val="auto"/>
          <w:spacing w:val="-6"/>
          <w:sz w:val="28"/>
          <w:szCs w:val="28"/>
          <w:highlight w:val="none"/>
          <w:lang w:val="en-US" w:eastAsia="zh-CN"/>
        </w:rPr>
        <w:t>28日</w:t>
      </w:r>
      <w:r>
        <w:rPr>
          <w:rFonts w:hint="eastAsia" w:ascii="仿宋" w:hAnsi="仿宋" w:eastAsia="仿宋" w:cs="仿宋"/>
          <w:color w:val="auto"/>
          <w:spacing w:val="-6"/>
          <w:sz w:val="28"/>
          <w:szCs w:val="28"/>
          <w:highlight w:val="none"/>
        </w:rPr>
        <w:t>至202</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年</w:t>
      </w:r>
      <w:r>
        <w:rPr>
          <w:rFonts w:hint="eastAsia" w:ascii="仿宋" w:hAnsi="仿宋" w:eastAsia="仿宋" w:cs="仿宋"/>
          <w:color w:val="auto"/>
          <w:spacing w:val="-6"/>
          <w:sz w:val="28"/>
          <w:szCs w:val="28"/>
          <w:highlight w:val="none"/>
          <w:lang w:val="en-US" w:eastAsia="zh-CN"/>
        </w:rPr>
        <w:t>5</w:t>
      </w:r>
      <w:r>
        <w:rPr>
          <w:rFonts w:hint="eastAsia" w:ascii="仿宋" w:hAnsi="仿宋" w:eastAsia="仿宋" w:cs="仿宋"/>
          <w:color w:val="auto"/>
          <w:spacing w:val="-6"/>
          <w:sz w:val="28"/>
          <w:szCs w:val="28"/>
          <w:highlight w:val="none"/>
        </w:rPr>
        <w:t>月</w:t>
      </w:r>
      <w:r>
        <w:rPr>
          <w:rFonts w:hint="eastAsia" w:ascii="仿宋" w:hAnsi="仿宋" w:eastAsia="仿宋" w:cs="仿宋"/>
          <w:color w:val="auto"/>
          <w:spacing w:val="-6"/>
          <w:sz w:val="28"/>
          <w:szCs w:val="28"/>
          <w:highlight w:val="none"/>
          <w:lang w:val="en-US" w:eastAsia="zh-CN"/>
        </w:rPr>
        <w:t>9</w:t>
      </w:r>
      <w:r>
        <w:rPr>
          <w:rFonts w:hint="eastAsia" w:ascii="仿宋" w:hAnsi="仿宋" w:eastAsia="仿宋" w:cs="仿宋"/>
          <w:color w:val="auto"/>
          <w:spacing w:val="-6"/>
          <w:sz w:val="28"/>
          <w:szCs w:val="28"/>
          <w:highlight w:val="none"/>
        </w:rPr>
        <w:t>日期间09时00分至12时00分，14时30分至17时30分止（法定节假日除外）到惠州公信项目管理有限公司购买</w:t>
      </w:r>
      <w:r>
        <w:rPr>
          <w:rFonts w:hint="eastAsia" w:ascii="仿宋" w:hAnsi="仿宋" w:eastAsia="仿宋" w:cs="仿宋"/>
          <w:color w:val="auto"/>
          <w:spacing w:val="-6"/>
          <w:sz w:val="28"/>
          <w:szCs w:val="28"/>
          <w:highlight w:val="none"/>
          <w:lang w:val="en-US" w:eastAsia="zh-CN"/>
        </w:rPr>
        <w:t>磋商</w:t>
      </w:r>
      <w:r>
        <w:rPr>
          <w:rFonts w:hint="eastAsia" w:ascii="仿宋" w:hAnsi="仿宋" w:eastAsia="仿宋" w:cs="仿宋"/>
          <w:color w:val="auto"/>
          <w:spacing w:val="-6"/>
          <w:sz w:val="28"/>
          <w:szCs w:val="28"/>
          <w:highlight w:val="none"/>
        </w:rPr>
        <w:t>文件</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rPr>
        <w:t>每套售价人民币</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00元，售后不退。</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符合资格的响应供应商应携带以下资料并加盖公章至采购代理机构现场报名并获取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 xml:space="preserve">文件： </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1、领取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文件登记表（现场</w:t>
      </w:r>
      <w:r>
        <w:rPr>
          <w:rFonts w:hint="eastAsia" w:ascii="仿宋" w:hAnsi="仿宋" w:eastAsia="仿宋" w:cs="仿宋"/>
          <w:color w:val="auto"/>
          <w:sz w:val="28"/>
          <w:szCs w:val="28"/>
          <w:highlight w:val="none"/>
          <w:lang w:val="en-US" w:eastAsia="zh-CN"/>
        </w:rPr>
        <w:t>报名</w:t>
      </w:r>
      <w:r>
        <w:rPr>
          <w:rFonts w:hint="eastAsia" w:ascii="仿宋" w:hAnsi="仿宋" w:eastAsia="仿宋" w:cs="仿宋"/>
          <w:color w:val="auto"/>
          <w:sz w:val="28"/>
          <w:szCs w:val="28"/>
          <w:highlight w:val="none"/>
        </w:rPr>
        <w:t>打印</w:t>
      </w:r>
      <w:r>
        <w:rPr>
          <w:rFonts w:hint="eastAsia" w:ascii="仿宋" w:hAnsi="仿宋" w:eastAsia="仿宋" w:cs="仿宋"/>
          <w:color w:val="auto"/>
          <w:sz w:val="28"/>
          <w:szCs w:val="28"/>
          <w:highlight w:val="none"/>
          <w:lang w:val="en-US" w:eastAsia="zh-CN"/>
        </w:rPr>
        <w:t>填写或邮箱获取</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2、营业执照副本</w:t>
      </w:r>
      <w:r>
        <w:rPr>
          <w:rFonts w:hint="eastAsia" w:ascii="仿宋" w:hAnsi="仿宋" w:eastAsia="仿宋" w:cs="仿宋"/>
          <w:color w:val="auto"/>
          <w:sz w:val="28"/>
          <w:szCs w:val="28"/>
          <w:highlight w:val="none"/>
          <w:lang w:eastAsia="zh-CN"/>
        </w:rPr>
        <w:t>或相关证明材料</w:t>
      </w:r>
      <w:r>
        <w:rPr>
          <w:rFonts w:hint="eastAsia" w:ascii="仿宋" w:hAnsi="仿宋" w:eastAsia="仿宋" w:cs="仿宋"/>
          <w:color w:val="auto"/>
          <w:sz w:val="28"/>
          <w:szCs w:val="28"/>
          <w:highlight w:val="none"/>
          <w:lang w:val="en-US" w:eastAsia="zh-CN"/>
        </w:rPr>
        <w:t>;</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3、法定代表人证明书、法人授权报名委托证明书（含法定代表人及被授权人身份证复印件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lang w:val="en-US" w:eastAsia="zh-CN"/>
        </w:rPr>
        <w:t>报名的，</w:t>
      </w:r>
      <w:r>
        <w:rPr>
          <w:rFonts w:hint="eastAsia" w:ascii="仿宋" w:hAnsi="仿宋" w:eastAsia="仿宋" w:cs="仿宋"/>
          <w:color w:val="auto"/>
          <w:sz w:val="28"/>
          <w:szCs w:val="28"/>
          <w:highlight w:val="none"/>
          <w:lang w:eastAsia="zh-CN"/>
        </w:rPr>
        <w:t>仅需提供法定代表人证明书及其身份证复印件</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lang w:eastAsia="zh-CN"/>
        </w:rPr>
        <w:t>加盖公章及加盖法定代表人</w:t>
      </w:r>
      <w:r>
        <w:rPr>
          <w:rFonts w:hint="eastAsia" w:ascii="仿宋" w:hAnsi="仿宋" w:eastAsia="仿宋" w:cs="仿宋"/>
          <w:color w:val="auto"/>
          <w:sz w:val="28"/>
          <w:szCs w:val="28"/>
          <w:highlight w:val="none"/>
          <w:lang w:val="en-US" w:eastAsia="zh-CN"/>
        </w:rPr>
        <w:t>私</w:t>
      </w:r>
      <w:r>
        <w:rPr>
          <w:rFonts w:hint="eastAsia" w:ascii="仿宋" w:hAnsi="仿宋" w:eastAsia="仿宋" w:cs="仿宋"/>
          <w:color w:val="auto"/>
          <w:sz w:val="28"/>
          <w:szCs w:val="28"/>
          <w:highlight w:val="none"/>
          <w:lang w:eastAsia="zh-CN"/>
        </w:rPr>
        <w:t>章或签名</w:t>
      </w:r>
      <w:r>
        <w:rPr>
          <w:rFonts w:hint="eastAsia" w:ascii="仿宋" w:hAnsi="仿宋" w:eastAsia="仿宋" w:cs="仿宋"/>
          <w:color w:val="auto"/>
          <w:sz w:val="28"/>
          <w:szCs w:val="28"/>
          <w:highlight w:val="none"/>
        </w:rPr>
        <w:t>）；</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备注：所有报名资料均用A4纸张进行复印装订</w:t>
      </w:r>
      <w:r>
        <w:rPr>
          <w:rFonts w:hint="eastAsia" w:ascii="仿宋" w:hAnsi="仿宋" w:eastAsia="仿宋" w:cs="仿宋"/>
          <w:b w:val="0"/>
          <w:bCs w:val="0"/>
          <w:color w:val="auto"/>
          <w:sz w:val="28"/>
          <w:szCs w:val="28"/>
          <w:highlight w:val="none"/>
        </w:rPr>
        <w:t>一式两份</w:t>
      </w:r>
      <w:r>
        <w:rPr>
          <w:rFonts w:hint="eastAsia" w:ascii="仿宋" w:hAnsi="仿宋" w:eastAsia="仿宋" w:cs="仿宋"/>
          <w:color w:val="auto"/>
          <w:sz w:val="28"/>
          <w:szCs w:val="28"/>
          <w:highlight w:val="none"/>
        </w:rPr>
        <w:t>，复印件加盖公章，采购代理机构对响应供应商提交的</w:t>
      </w:r>
      <w:r>
        <w:rPr>
          <w:rFonts w:hint="eastAsia" w:ascii="仿宋" w:hAnsi="仿宋" w:eastAsia="仿宋" w:cs="仿宋"/>
          <w:color w:val="auto"/>
          <w:sz w:val="28"/>
          <w:szCs w:val="28"/>
          <w:highlight w:val="none"/>
          <w:lang w:val="en-US" w:eastAsia="zh-CN"/>
        </w:rPr>
        <w:t>报名</w:t>
      </w:r>
      <w:r>
        <w:rPr>
          <w:rFonts w:hint="eastAsia" w:ascii="仿宋" w:hAnsi="仿宋" w:eastAsia="仿宋" w:cs="仿宋"/>
          <w:color w:val="auto"/>
          <w:sz w:val="28"/>
          <w:szCs w:val="28"/>
          <w:highlight w:val="none"/>
        </w:rPr>
        <w:t>资料</w:t>
      </w:r>
      <w:r>
        <w:rPr>
          <w:rFonts w:hint="eastAsia" w:ascii="仿宋" w:hAnsi="仿宋" w:eastAsia="仿宋" w:cs="仿宋"/>
          <w:color w:val="auto"/>
          <w:sz w:val="28"/>
          <w:szCs w:val="28"/>
          <w:highlight w:val="none"/>
          <w:lang w:val="en-US" w:eastAsia="zh-CN"/>
        </w:rPr>
        <w:t>进行</w:t>
      </w:r>
      <w:r>
        <w:rPr>
          <w:rFonts w:hint="eastAsia" w:ascii="仿宋" w:hAnsi="仿宋" w:eastAsia="仿宋" w:cs="仿宋"/>
          <w:color w:val="auto"/>
          <w:sz w:val="28"/>
          <w:szCs w:val="28"/>
          <w:highlight w:val="none"/>
        </w:rPr>
        <w:t>核对，不代表其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资格的确认。响应供应商的投标资格最终以</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rPr>
        <w:t>根据其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文件中的相关资料作出的评审结论为准。</w:t>
      </w:r>
    </w:p>
    <w:p>
      <w:pPr>
        <w:wordWrap w:val="0"/>
        <w:spacing w:beforeLines="0" w:afterLines="0" w:line="500" w:lineRule="exact"/>
        <w:ind w:left="0"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可以采用邮寄报名资料</w:t>
      </w:r>
      <w:r>
        <w:rPr>
          <w:rFonts w:hint="eastAsia" w:ascii="仿宋" w:hAnsi="仿宋" w:eastAsia="仿宋" w:cs="仿宋"/>
          <w:color w:val="auto"/>
          <w:sz w:val="28"/>
          <w:szCs w:val="28"/>
          <w:highlight w:val="none"/>
          <w:lang w:val="en-US" w:eastAsia="zh-CN"/>
        </w:rPr>
        <w:t>或至招标代理机构现场报名的</w:t>
      </w:r>
      <w:r>
        <w:rPr>
          <w:rFonts w:hint="eastAsia" w:ascii="仿宋" w:hAnsi="仿宋" w:eastAsia="仿宋" w:cs="仿宋"/>
          <w:color w:val="auto"/>
          <w:sz w:val="28"/>
          <w:szCs w:val="28"/>
          <w:highlight w:val="none"/>
        </w:rPr>
        <w:t>方式参与（邮寄地址：惠州市惠城区麦兴路19号悦洲广场7楼B座703室，收件人：</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rPr>
        <w:t>小姐，电话：0752-7823089）。</w:t>
      </w:r>
      <w:r>
        <w:rPr>
          <w:rFonts w:hint="eastAsia" w:ascii="仿宋" w:hAnsi="仿宋" w:eastAsia="仿宋" w:cs="仿宋"/>
          <w:color w:val="auto"/>
          <w:sz w:val="28"/>
          <w:szCs w:val="28"/>
          <w:highlight w:val="none"/>
          <w:lang w:val="en-US" w:eastAsia="zh-CN"/>
        </w:rPr>
        <w:t>如采用邮寄报名资料的，</w:t>
      </w:r>
      <w:r>
        <w:rPr>
          <w:rFonts w:hint="eastAsia" w:ascii="仿宋" w:hAnsi="仿宋" w:eastAsia="仿宋" w:cs="仿宋"/>
          <w:color w:val="auto"/>
          <w:sz w:val="28"/>
          <w:szCs w:val="28"/>
          <w:highlight w:val="none"/>
        </w:rPr>
        <w:t>请</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提前安排时间邮寄，务必保证</w:t>
      </w:r>
      <w:r>
        <w:rPr>
          <w:rFonts w:hint="eastAsia" w:ascii="仿宋" w:hAnsi="仿宋" w:eastAsia="仿宋" w:cs="仿宋"/>
          <w:color w:val="auto"/>
          <w:sz w:val="28"/>
          <w:szCs w:val="28"/>
          <w:highlight w:val="none"/>
          <w:lang w:val="en-US" w:eastAsia="zh-CN"/>
        </w:rPr>
        <w:t>其</w:t>
      </w:r>
      <w:r>
        <w:rPr>
          <w:rFonts w:hint="eastAsia" w:ascii="仿宋" w:hAnsi="仿宋" w:eastAsia="仿宋" w:cs="仿宋"/>
          <w:color w:val="auto"/>
          <w:sz w:val="28"/>
          <w:szCs w:val="28"/>
          <w:highlight w:val="none"/>
        </w:rPr>
        <w:t>报名资料在规定截止时间前到达上述地址（以签收时间为准），寄出后及时将快递单号发送至招标代理机构邮箱：2334352795@qq.com。</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务必保证报名资料密封完好，如邮寄过程中有损坏、丢失等现象，</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将自行承担风险和责任。</w:t>
      </w:r>
    </w:p>
    <w:p>
      <w:pPr>
        <w:spacing w:beforeLines="0" w:afterLines="0" w:line="50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六、报价截止时间：202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分(注</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分开始受理报价文件)。</w:t>
      </w:r>
    </w:p>
    <w:p>
      <w:pPr>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文件送达地点：</w:t>
      </w:r>
      <w:r>
        <w:rPr>
          <w:rFonts w:hint="eastAsia" w:ascii="仿宋" w:hAnsi="仿宋" w:eastAsia="仿宋" w:cs="仿宋"/>
          <w:color w:val="auto"/>
          <w:spacing w:val="-6"/>
          <w:sz w:val="28"/>
          <w:szCs w:val="28"/>
          <w:highlight w:val="none"/>
        </w:rPr>
        <w:t>惠州公信项目管理有限公司</w:t>
      </w:r>
      <w:r>
        <w:rPr>
          <w:rFonts w:hint="eastAsia" w:ascii="仿宋" w:hAnsi="仿宋" w:eastAsia="仿宋" w:cs="仿宋"/>
          <w:color w:val="auto"/>
          <w:sz w:val="28"/>
          <w:szCs w:val="28"/>
          <w:highlight w:val="none"/>
        </w:rPr>
        <w:t>开标室（地址：惠州市麦兴路19号悦洲广场7楼B座</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03室）</w:t>
      </w:r>
    </w:p>
    <w:p>
      <w:pPr>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八、开标时间：202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pPr>
        <w:tabs>
          <w:tab w:val="left" w:pos="7740"/>
        </w:tabs>
        <w:autoSpaceDE w:val="0"/>
        <w:autoSpaceDN w:val="0"/>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九、开标地点：</w:t>
      </w:r>
      <w:bookmarkStart w:id="6" w:name="OLE_LINK3"/>
      <w:r>
        <w:rPr>
          <w:rFonts w:hint="eastAsia" w:ascii="仿宋" w:hAnsi="仿宋" w:eastAsia="仿宋" w:cs="仿宋"/>
          <w:color w:val="auto"/>
          <w:spacing w:val="-6"/>
          <w:sz w:val="28"/>
          <w:szCs w:val="28"/>
          <w:highlight w:val="none"/>
        </w:rPr>
        <w:t>惠州公信项目管理有限公司</w:t>
      </w:r>
      <w:r>
        <w:rPr>
          <w:rFonts w:hint="eastAsia" w:ascii="仿宋" w:hAnsi="仿宋" w:eastAsia="仿宋" w:cs="仿宋"/>
          <w:color w:val="auto"/>
          <w:sz w:val="28"/>
          <w:szCs w:val="28"/>
          <w:highlight w:val="none"/>
        </w:rPr>
        <w:t>开标室（地址：惠州市麦兴路19号悦洲广场7楼B座</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03室）</w:t>
      </w:r>
      <w:bookmarkEnd w:id="6"/>
      <w:r>
        <w:rPr>
          <w:rFonts w:hint="eastAsia" w:ascii="仿宋" w:hAnsi="仿宋" w:eastAsia="仿宋" w:cs="仿宋"/>
          <w:color w:val="auto"/>
          <w:sz w:val="28"/>
          <w:szCs w:val="28"/>
          <w:highlight w:val="none"/>
        </w:rPr>
        <w:t xml:space="preserve">。    </w:t>
      </w:r>
    </w:p>
    <w:p>
      <w:pPr>
        <w:tabs>
          <w:tab w:val="left" w:pos="7740"/>
        </w:tabs>
        <w:autoSpaceDE w:val="0"/>
        <w:autoSpaceDN w:val="0"/>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十、本</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在上述规定的时间和地点进行竞争性磋商</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，届时</w:t>
      </w:r>
      <w:r>
        <w:rPr>
          <w:rFonts w:hint="eastAsia" w:ascii="仿宋" w:hAnsi="仿宋" w:eastAsia="仿宋" w:cs="仿宋"/>
          <w:color w:val="auto"/>
          <w:sz w:val="28"/>
          <w:szCs w:val="28"/>
          <w:highlight w:val="none"/>
          <w:lang w:val="en-US" w:eastAsia="zh-CN"/>
        </w:rPr>
        <w:t>请供应商</w:t>
      </w:r>
      <w:r>
        <w:rPr>
          <w:rFonts w:hint="eastAsia" w:ascii="仿宋" w:hAnsi="仿宋" w:eastAsia="仿宋" w:cs="仿宋"/>
          <w:color w:val="auto"/>
          <w:sz w:val="28"/>
          <w:szCs w:val="28"/>
          <w:highlight w:val="none"/>
        </w:rPr>
        <w:t>的法定代表</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或其授权代表务必出席开标会，并携带身份证原件以备查核。要求其代表在整个开标会议</w:t>
      </w:r>
      <w:r>
        <w:rPr>
          <w:rFonts w:hint="eastAsia" w:ascii="仿宋" w:hAnsi="仿宋" w:eastAsia="仿宋" w:cs="仿宋"/>
          <w:color w:val="auto"/>
          <w:sz w:val="28"/>
          <w:szCs w:val="28"/>
          <w:highlight w:val="none"/>
          <w:lang w:val="en-US" w:eastAsia="zh-CN"/>
        </w:rPr>
        <w:t>过程</w:t>
      </w:r>
      <w:r>
        <w:rPr>
          <w:rFonts w:hint="eastAsia" w:ascii="仿宋" w:hAnsi="仿宋" w:eastAsia="仿宋" w:cs="仿宋"/>
          <w:color w:val="auto"/>
          <w:sz w:val="28"/>
          <w:szCs w:val="28"/>
          <w:highlight w:val="none"/>
        </w:rPr>
        <w:t>中完整履行签到、确认开标结果等职责。</w:t>
      </w:r>
    </w:p>
    <w:p>
      <w:pPr>
        <w:spacing w:beforeLines="0" w:afterLines="0"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、采购人和采购代理机构联系方式</w:t>
      </w:r>
    </w:p>
    <w:p>
      <w:pPr>
        <w:pStyle w:val="14"/>
        <w:rPr>
          <w:rFonts w:hint="eastAsia"/>
          <w:color w:val="auto"/>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9"/>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309"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采购代理机构联系人：</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rPr>
              <w:t>小姐</w:t>
            </w:r>
          </w:p>
        </w:tc>
        <w:tc>
          <w:tcPr>
            <w:tcW w:w="4890"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谢小姐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09"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电话：0752-7823089</w:t>
            </w:r>
          </w:p>
        </w:tc>
        <w:tc>
          <w:tcPr>
            <w:tcW w:w="4890"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电话：0752-2892776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09" w:type="dxa"/>
            <w:tcBorders>
              <w:top w:val="single" w:color="auto" w:sz="4" w:space="0"/>
              <w:left w:val="single" w:color="auto" w:sz="4" w:space="0"/>
              <w:bottom w:val="single" w:color="auto" w:sz="4" w:space="0"/>
              <w:right w:val="single" w:color="auto" w:sz="4" w:space="0"/>
            </w:tcBorders>
            <w:vAlign w:val="top"/>
          </w:tcPr>
          <w:p>
            <w:pPr>
              <w:spacing w:beforeLines="0" w:afterLines="0" w:line="500" w:lineRule="exact"/>
              <w:ind w:left="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w:t>
            </w:r>
            <w:r>
              <w:rPr>
                <w:rFonts w:hint="eastAsia" w:ascii="仿宋" w:hAnsi="仿宋" w:eastAsia="仿宋" w:cs="仿宋"/>
                <w:color w:val="auto"/>
                <w:sz w:val="28"/>
                <w:szCs w:val="28"/>
                <w:highlight w:val="none"/>
                <w:lang w:val="zh-CN"/>
              </w:rPr>
              <w:t>地址：惠州市麦兴路19号悦洲广场7楼</w:t>
            </w:r>
            <w:r>
              <w:rPr>
                <w:rFonts w:hint="eastAsia" w:ascii="仿宋" w:hAnsi="仿宋" w:eastAsia="仿宋" w:cs="仿宋"/>
                <w:color w:val="auto"/>
                <w:sz w:val="28"/>
                <w:szCs w:val="28"/>
                <w:highlight w:val="none"/>
              </w:rPr>
              <w:t>B座03室</w:t>
            </w:r>
            <w:r>
              <w:rPr>
                <w:rFonts w:hint="eastAsia" w:ascii="仿宋" w:hAnsi="仿宋" w:eastAsia="仿宋" w:cs="仿宋"/>
                <w:color w:val="auto"/>
                <w:sz w:val="28"/>
                <w:szCs w:val="28"/>
                <w:highlight w:val="none"/>
                <w:lang w:val="zh-CN"/>
              </w:rPr>
              <w:t xml:space="preserve"> </w:t>
            </w:r>
          </w:p>
        </w:tc>
        <w:tc>
          <w:tcPr>
            <w:tcW w:w="4890"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ind w:left="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rPr>
              <w:t>联系地址：</w:t>
            </w:r>
            <w:r>
              <w:rPr>
                <w:rFonts w:hint="eastAsia" w:ascii="仿宋" w:hAnsi="仿宋" w:eastAsia="仿宋" w:cs="仿宋"/>
                <w:i w:val="0"/>
                <w:iCs w:val="0"/>
                <w:caps w:val="0"/>
                <w:color w:val="auto"/>
                <w:spacing w:val="0"/>
                <w:sz w:val="28"/>
                <w:szCs w:val="28"/>
                <w:highlight w:val="none"/>
                <w:shd w:val="clear"/>
              </w:rPr>
              <w:t>惠州市惠城区惠州大道江北段43号</w:t>
            </w:r>
          </w:p>
        </w:tc>
      </w:tr>
    </w:tbl>
    <w:p>
      <w:pPr>
        <w:numPr>
          <w:ilvl w:val="-1"/>
          <w:numId w:val="0"/>
        </w:numPr>
        <w:adjustRightInd/>
        <w:snapToGrid/>
        <w:spacing w:before="0" w:beforeLines="0" w:afterLines="0" w:line="500" w:lineRule="exact"/>
        <w:ind w:firstLine="0" w:firstLineChars="0"/>
        <w:rPr>
          <w:rFonts w:hint="eastAsia" w:ascii="仿宋" w:hAnsi="仿宋" w:eastAsia="仿宋" w:cs="仿宋"/>
          <w:color w:val="auto"/>
          <w:sz w:val="28"/>
          <w:szCs w:val="28"/>
          <w:highlight w:val="none"/>
          <w:lang w:val="en-US" w:eastAsia="zh-CN"/>
        </w:rPr>
      </w:pPr>
    </w:p>
    <w:p>
      <w:pPr>
        <w:numPr>
          <w:ilvl w:val="-1"/>
          <w:numId w:val="0"/>
        </w:numPr>
        <w:adjustRightInd/>
        <w:snapToGrid/>
        <w:spacing w:before="0"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rPr>
        <w:t>采购信息查询</w:t>
      </w:r>
    </w:p>
    <w:p>
      <w:pPr>
        <w:tabs>
          <w:tab w:val="left" w:pos="7740"/>
        </w:tabs>
        <w:autoSpaceDE w:val="0"/>
        <w:autoSpaceDN w:val="0"/>
        <w:ind w:firstLine="280" w:firstLineChars="1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1.</w:t>
      </w:r>
      <w:r>
        <w:rPr>
          <w:rFonts w:hint="eastAsia" w:ascii="仿宋" w:hAnsi="仿宋" w:eastAsia="仿宋" w:cs="仿宋"/>
          <w:color w:val="auto"/>
          <w:sz w:val="28"/>
          <w:szCs w:val="28"/>
          <w:highlight w:val="none"/>
        </w:rPr>
        <w:t xml:space="preserve">https://www.chinabidding.cn/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采购与招标网</w:t>
      </w:r>
      <w:r>
        <w:rPr>
          <w:rFonts w:hint="eastAsia" w:ascii="仿宋" w:hAnsi="仿宋" w:eastAsia="仿宋" w:cs="仿宋"/>
          <w:color w:val="auto"/>
          <w:sz w:val="28"/>
          <w:szCs w:val="28"/>
          <w:highlight w:val="none"/>
          <w:lang w:eastAsia="zh-CN"/>
        </w:rPr>
        <w:t>）</w:t>
      </w:r>
    </w:p>
    <w:p>
      <w:pPr>
        <w:adjustRightInd w:val="0"/>
        <w:snapToGrid w:val="0"/>
        <w:spacing w:beforeLines="0" w:afterLines="0" w:line="520" w:lineRule="exact"/>
        <w:ind w:firstLine="560" w:firstLineChars="200"/>
        <w:jc w:val="left"/>
        <w:rPr>
          <w:rFonts w:hint="eastAsia" w:ascii="仿宋" w:hAnsi="仿宋" w:eastAsia="仿宋" w:cs="仿宋"/>
          <w:b w:val="0"/>
          <w:bCs/>
          <w:iCs/>
          <w:color w:val="auto"/>
          <w:sz w:val="28"/>
          <w:szCs w:val="28"/>
          <w:highlight w:val="none"/>
        </w:rPr>
      </w:pPr>
      <w:r>
        <w:rPr>
          <w:rFonts w:hint="eastAsia" w:ascii="仿宋" w:hAnsi="仿宋" w:eastAsia="仿宋" w:cs="仿宋"/>
          <w:b w:val="0"/>
          <w:bCs/>
          <w:iCs/>
          <w:color w:val="auto"/>
          <w:sz w:val="28"/>
          <w:szCs w:val="28"/>
          <w:highlight w:val="none"/>
          <w:lang w:val="en-US" w:eastAsia="zh-CN"/>
        </w:rPr>
        <w:t>2.</w:t>
      </w:r>
      <w:r>
        <w:rPr>
          <w:rFonts w:hint="eastAsia" w:ascii="仿宋" w:hAnsi="仿宋" w:eastAsia="仿宋" w:cs="仿宋"/>
          <w:b w:val="0"/>
          <w:bCs/>
          <w:iCs/>
          <w:color w:val="auto"/>
          <w:sz w:val="28"/>
          <w:szCs w:val="28"/>
          <w:highlight w:val="none"/>
        </w:rPr>
        <w:t>https://www.hnzbcgxxw.com/（全国招标采购公共服务平台)</w:t>
      </w:r>
    </w:p>
    <w:p>
      <w:pPr>
        <w:autoSpaceDE/>
        <w:autoSpaceDN/>
        <w:adjustRightInd w:val="0"/>
        <w:snapToGrid w:val="0"/>
        <w:spacing w:beforeLines="0" w:afterLines="0" w:line="520" w:lineRule="exact"/>
        <w:ind w:firstLine="0" w:firstLineChars="0"/>
        <w:jc w:val="left"/>
        <w:rPr>
          <w:rFonts w:hint="eastAsia" w:ascii="仿宋" w:hAnsi="仿宋" w:eastAsia="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olor w:val="auto"/>
          <w:sz w:val="28"/>
          <w:szCs w:val="28"/>
          <w:highlight w:val="none"/>
        </w:rPr>
        <w:t>相关公告在媒体上公布之日即视为有效送达，不再另行通知。</w:t>
      </w:r>
    </w:p>
    <w:p>
      <w:pPr>
        <w:pStyle w:val="7"/>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pPr>
        <w:rPr>
          <w:rFonts w:hint="eastAsia"/>
          <w:color w:val="auto"/>
          <w:highlight w:val="none"/>
          <w:lang w:val="en-US" w:eastAsia="zh-CN"/>
        </w:rPr>
      </w:pPr>
    </w:p>
    <w:p>
      <w:pPr>
        <w:pStyle w:val="7"/>
        <w:rPr>
          <w:rFonts w:hint="eastAsia"/>
          <w:color w:val="auto"/>
          <w:highlight w:val="none"/>
          <w:lang w:val="en-US" w:eastAsia="zh-CN"/>
        </w:rPr>
      </w:pPr>
    </w:p>
    <w:p>
      <w:pPr>
        <w:pStyle w:val="7"/>
        <w:ind w:firstLine="0"/>
        <w:rPr>
          <w:rFonts w:hint="eastAsia" w:ascii="仿宋" w:hAnsi="仿宋" w:eastAsia="仿宋" w:cs="仿宋"/>
          <w:color w:val="auto"/>
          <w:sz w:val="28"/>
          <w:szCs w:val="28"/>
          <w:highlight w:val="none"/>
          <w:lang w:val="en-US" w:eastAsia="zh-CN"/>
        </w:rPr>
      </w:pPr>
    </w:p>
    <w:p>
      <w:pPr>
        <w:adjustRightInd w:val="0"/>
        <w:snapToGrid w:val="0"/>
        <w:spacing w:beforeLines="0" w:afterLines="0" w:line="480" w:lineRule="exact"/>
        <w:ind w:firstLine="4620" w:firstLineChars="16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惠州公信项目管理有限公司</w:t>
      </w:r>
    </w:p>
    <w:p>
      <w:pPr>
        <w:adjustRightInd w:val="0"/>
        <w:snapToGrid w:val="0"/>
        <w:spacing w:beforeLines="0" w:afterLines="0" w:line="480" w:lineRule="exact"/>
        <w:ind w:firstLine="5320" w:firstLineChars="19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4月28</w:t>
      </w:r>
      <w:r>
        <w:rPr>
          <w:rFonts w:hint="eastAsia" w:ascii="仿宋" w:hAnsi="仿宋" w:eastAsia="仿宋" w:cs="仿宋"/>
          <w:color w:val="auto"/>
          <w:sz w:val="28"/>
          <w:szCs w:val="28"/>
          <w:highlight w:val="none"/>
        </w:rPr>
        <w:t>日</w:t>
      </w:r>
    </w:p>
    <w:p>
      <w:pPr>
        <w:pStyle w:val="5"/>
        <w:spacing w:before="240" w:beforeLines="100" w:after="240"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7" w:name="_Toc2691"/>
      <w:bookmarkStart w:id="8" w:name="_Toc13605"/>
      <w:bookmarkStart w:id="9" w:name="_Toc4907"/>
      <w:bookmarkStart w:id="10" w:name="_Toc11104"/>
      <w:bookmarkStart w:id="11" w:name="_Toc30820"/>
      <w:bookmarkStart w:id="12" w:name="_Toc13737"/>
      <w:bookmarkStart w:id="13" w:name="_Toc7849"/>
      <w:bookmarkStart w:id="14" w:name="_Toc20915"/>
      <w:bookmarkStart w:id="15" w:name="_Toc7258"/>
      <w:bookmarkStart w:id="16" w:name="_Toc274896624"/>
      <w:bookmarkStart w:id="17" w:name="_Toc5188"/>
      <w:bookmarkStart w:id="18" w:name="_Toc22039"/>
      <w:bookmarkStart w:id="19" w:name="_Toc6018"/>
      <w:bookmarkStart w:id="20" w:name="_Toc10398"/>
      <w:bookmarkStart w:id="21" w:name="_Toc2188"/>
      <w:bookmarkStart w:id="22" w:name="_Toc274896490"/>
      <w:bookmarkStart w:id="23" w:name="_Toc2514"/>
      <w:bookmarkStart w:id="24" w:name="_Toc30041"/>
      <w:bookmarkStart w:id="25" w:name="_Toc21686"/>
      <w:bookmarkStart w:id="26" w:name="_Toc29926"/>
      <w:r>
        <w:rPr>
          <w:rFonts w:hint="eastAsia" w:ascii="仿宋" w:hAnsi="仿宋" w:eastAsia="仿宋" w:cs="仿宋"/>
          <w:color w:val="auto"/>
          <w:sz w:val="32"/>
          <w:szCs w:val="32"/>
          <w:highlight w:val="none"/>
        </w:rPr>
        <w:t>第二部分  采购项目内容</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autoSpaceDE w:val="0"/>
        <w:autoSpaceDN w:val="0"/>
        <w:spacing w:beforeLines="0" w:afterLines="0" w:line="56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一、供应商资格：</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（一）具有独立承担民事责任的能力：在中华人民共和国境内注册的法人或其他组织，投标（响应）时提交有效的营业执照副本（或事业法人登记证或身份证等相关证明）复印件。</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（二）有依法缴纳税收和社会保障资金的良好记录：提供投标截止日前6个月内任意1个月依法缴纳税收和社会保障资金的相关材料。如依法免税或不需要缴纳社会保障资金的，提供相应证明材料。</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具有良好的商业信誉和健全的财务会计制度：供应商必须具有良好的商业信誉和健全的财务会计制度（提供2021年度财务状况报告，新成立公司提供成立至今的月或季度财务报表复印件或银行出具的资信证明）。</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（四）具有履行合同所必须的设备和专业技术能力（提供承诺函，格式自拟）。</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参加采购活动前三年内，在经营活动中没有重大违法记录（提供书面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utoSpaceDE w:val="0"/>
        <w:autoSpaceDN w:val="0"/>
        <w:spacing w:beforeLines="0" w:afterLines="0" w:line="5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val="zh-CN"/>
        </w:rPr>
        <w:t>信用记录：供应商未被列入“信用中国”网站(www.creditchina.gov.cn)“记录失信被执行人或重大税收违法失信主体”；不处于中国政府采购网(www.ccgp.gov.cn)“政府采购严重违法失信行为信息记录”中的禁止参加政府采购活动期间。请供应商提供查询结果截图（以资格审查人员于投标（响应）截止时间当天在“信用中国”网站（www.creditchina.gov.cn）及中国政府采购网（http://www.ccgp.gov.cn/）查询结果为准，如相关失信记录已失效，供应商需提供相关证明资料）。</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供应商必须符合法律、行政法规规定的其他条件：单位负责人为同一人或者存在直接控股、管理关系的不同供应商，不得同时参加本采购项目（或采购包）投标（响应）；为本项目提供整体设计、规范编制或者项目管理、监理、检测等服务的供应商，不得再参与本项目投标（响应）（提供书面声明函，格式自拟）。</w:t>
      </w:r>
    </w:p>
    <w:p>
      <w:pPr>
        <w:autoSpaceDE w:val="0"/>
        <w:autoSpaceDN w:val="0"/>
        <w:spacing w:beforeLines="0" w:afterLines="0" w:line="360" w:lineRule="auto"/>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b w:val="0"/>
          <w:bCs w:val="0"/>
          <w:color w:val="auto"/>
          <w:sz w:val="28"/>
          <w:szCs w:val="28"/>
          <w:highlight w:val="none"/>
          <w:lang w:val="en-US" w:eastAsia="zh-CN"/>
        </w:rPr>
        <w:t>（八）</w:t>
      </w:r>
      <w:r>
        <w:rPr>
          <w:rFonts w:hint="eastAsia" w:ascii="仿宋" w:hAnsi="仿宋" w:eastAsia="仿宋" w:cs="仿宋"/>
          <w:color w:val="auto"/>
          <w:sz w:val="28"/>
          <w:szCs w:val="28"/>
          <w:highlight w:val="none"/>
          <w:lang w:val="zh-CN"/>
        </w:rPr>
        <w:t>本项目不接受联合体投标，不允许</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对本</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val="zh-CN"/>
        </w:rPr>
        <w:t>内容进行分包和转包。</w:t>
      </w:r>
    </w:p>
    <w:p>
      <w:pPr>
        <w:pStyle w:val="122"/>
        <w:numPr>
          <w:ilvl w:val="0"/>
          <w:numId w:val="0"/>
        </w:numPr>
        <w:tabs>
          <w:tab w:val="left" w:pos="540"/>
        </w:tabs>
        <w:adjustRightInd w:val="0"/>
        <w:snapToGrid w:val="0"/>
        <w:spacing w:line="560" w:lineRule="exact"/>
        <w:ind w:leftChars="0"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bCs/>
          <w:color w:val="auto"/>
          <w:sz w:val="28"/>
          <w:szCs w:val="28"/>
          <w:highlight w:val="none"/>
        </w:rPr>
        <w:t xml:space="preserve">本项目专门面向中小企业采购：参与的供应商服务全部由符合政策要求的中小企业承接。监狱企业、残疾人福利单位视同小型、微型企业。供应商响应时提供《中小企业声明函》。（注：中小企业以供应商填写的《中小企业声明函》（见第五部分 响应文件格式）为判定标准，残疾人福利性单位以供应商填写的《残疾人福利性单位声明函》（见第五部分 响应文件格式）为判定标准，监狱企业须供应商提供由省级以上监狱管理局、戒毒管理局（含新疆生产建设兵团）出具的属于监狱企业的证明文件，否则不予认定。） </w:t>
      </w:r>
    </w:p>
    <w:p>
      <w:pPr>
        <w:pStyle w:val="2"/>
        <w:rPr>
          <w:rFonts w:hint="default" w:eastAsia="仿宋"/>
          <w:color w:val="auto"/>
          <w:highlight w:val="none"/>
          <w:lang w:val="en-US" w:eastAsia="zh-CN"/>
        </w:rPr>
      </w:pPr>
    </w:p>
    <w:p>
      <w:pPr>
        <w:pStyle w:val="122"/>
        <w:numPr>
          <w:ilvl w:val="0"/>
          <w:numId w:val="0"/>
        </w:numPr>
        <w:tabs>
          <w:tab w:val="left" w:pos="540"/>
        </w:tabs>
        <w:adjustRightInd w:val="0"/>
        <w:snapToGrid w:val="0"/>
        <w:spacing w:line="560" w:lineRule="exact"/>
        <w:ind w:leftChars="0" w:firstLine="0" w:firstLineChars="0"/>
        <w:rPr>
          <w:rFonts w:hint="eastAsia" w:ascii="仿宋" w:hAnsi="仿宋" w:eastAsia="仿宋" w:cs="仿宋"/>
          <w:b/>
          <w:bCs w:val="0"/>
          <w:color w:val="auto"/>
          <w:sz w:val="28"/>
          <w:szCs w:val="28"/>
          <w:highlight w:val="none"/>
          <w:lang w:val="en-US" w:eastAsia="zh-CN"/>
        </w:rPr>
      </w:pPr>
      <w:bookmarkStart w:id="27" w:name="_Toc274896491"/>
      <w:bookmarkStart w:id="28" w:name="_Toc31093"/>
      <w:bookmarkStart w:id="29" w:name="_Toc274896625"/>
      <w:r>
        <w:rPr>
          <w:rFonts w:hint="eastAsia" w:ascii="仿宋" w:hAnsi="仿宋" w:eastAsia="仿宋" w:cs="仿宋"/>
          <w:b/>
          <w:bCs w:val="0"/>
          <w:color w:val="auto"/>
          <w:sz w:val="28"/>
          <w:szCs w:val="28"/>
          <w:highlight w:val="none"/>
          <w:lang w:val="en-US" w:eastAsia="zh-CN"/>
        </w:rPr>
        <w:t>二、采购项目需求清单</w:t>
      </w:r>
    </w:p>
    <w:tbl>
      <w:tblPr>
        <w:tblStyle w:val="3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020"/>
        <w:gridCol w:w="2235"/>
        <w:gridCol w:w="1500"/>
        <w:gridCol w:w="1620"/>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21"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序号</w:t>
            </w:r>
          </w:p>
        </w:tc>
        <w:tc>
          <w:tcPr>
            <w:tcW w:w="1020"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品目</w:t>
            </w:r>
          </w:p>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名称</w:t>
            </w:r>
          </w:p>
        </w:tc>
        <w:tc>
          <w:tcPr>
            <w:tcW w:w="2235"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采购内容</w:t>
            </w:r>
          </w:p>
        </w:tc>
        <w:tc>
          <w:tcPr>
            <w:tcW w:w="1500"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数量</w:t>
            </w:r>
          </w:p>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（单位）</w:t>
            </w:r>
          </w:p>
        </w:tc>
        <w:tc>
          <w:tcPr>
            <w:tcW w:w="1620"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采购预算</w:t>
            </w:r>
          </w:p>
        </w:tc>
        <w:tc>
          <w:tcPr>
            <w:tcW w:w="1563"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821" w:type="dxa"/>
            <w:noWrap w:val="0"/>
            <w:vAlign w:val="center"/>
          </w:tcPr>
          <w:p>
            <w:pPr>
              <w:spacing w:line="288"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020" w:type="dxa"/>
            <w:noWrap w:val="0"/>
            <w:vAlign w:val="center"/>
          </w:tcPr>
          <w:p>
            <w:pPr>
              <w:spacing w:line="288" w:lineRule="auto"/>
              <w:jc w:val="center"/>
              <w:rPr>
                <w:rFonts w:ascii="宋体" w:hAnsi="宋体" w:cs="宋体"/>
                <w:bCs/>
                <w:color w:val="auto"/>
                <w:sz w:val="24"/>
                <w:highlight w:val="none"/>
              </w:rPr>
            </w:pPr>
            <w:r>
              <w:rPr>
                <w:rStyle w:val="289"/>
                <w:rFonts w:hint="eastAsia" w:ascii="仿宋" w:hAnsi="仿宋" w:eastAsia="仿宋" w:cs="仿宋"/>
                <w:color w:val="auto"/>
                <w:kern w:val="0"/>
                <w:sz w:val="28"/>
                <w:szCs w:val="28"/>
                <w:highlight w:val="none"/>
                <w:lang w:val="en-US" w:eastAsia="zh-CN"/>
              </w:rPr>
              <w:t>其他农业服务</w:t>
            </w:r>
          </w:p>
        </w:tc>
        <w:tc>
          <w:tcPr>
            <w:tcW w:w="2235" w:type="dxa"/>
            <w:noWrap w:val="0"/>
            <w:vAlign w:val="center"/>
          </w:tcPr>
          <w:p>
            <w:pPr>
              <w:autoSpaceDE w:val="0"/>
              <w:autoSpaceDN w:val="0"/>
              <w:spacing w:line="288" w:lineRule="auto"/>
              <w:ind w:firstLine="0" w:firstLineChars="0"/>
              <w:jc w:val="left"/>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红火蚁应急防控专业服务和建立市级防控示范点</w:t>
            </w:r>
          </w:p>
        </w:tc>
        <w:tc>
          <w:tcPr>
            <w:tcW w:w="1500" w:type="dxa"/>
            <w:noWrap w:val="0"/>
            <w:vAlign w:val="center"/>
          </w:tcPr>
          <w:p>
            <w:pPr>
              <w:autoSpaceDE w:val="0"/>
              <w:autoSpaceDN w:val="0"/>
              <w:spacing w:line="288" w:lineRule="auto"/>
              <w:ind w:firstLine="0" w:firstLineChars="0"/>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1（项）</w:t>
            </w:r>
          </w:p>
        </w:tc>
        <w:tc>
          <w:tcPr>
            <w:tcW w:w="1620" w:type="dxa"/>
            <w:noWrap w:val="0"/>
            <w:vAlign w:val="center"/>
          </w:tcPr>
          <w:p>
            <w:pPr>
              <w:autoSpaceDE w:val="0"/>
              <w:autoSpaceDN w:val="0"/>
              <w:snapToGrid/>
              <w:spacing w:line="288" w:lineRule="auto"/>
              <w:ind w:firstLine="0" w:firstLineChars="0"/>
              <w:jc w:val="center"/>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val="en-US" w:eastAsia="zh-CN"/>
              </w:rPr>
              <w:t>50万元</w:t>
            </w:r>
          </w:p>
        </w:tc>
        <w:tc>
          <w:tcPr>
            <w:tcW w:w="1563" w:type="dxa"/>
            <w:noWrap w:val="0"/>
            <w:vAlign w:val="center"/>
          </w:tcPr>
          <w:p>
            <w:pPr>
              <w:autoSpaceDE w:val="0"/>
              <w:autoSpaceDN w:val="0"/>
              <w:spacing w:line="288" w:lineRule="auto"/>
              <w:ind w:firstLine="0" w:firstLineChars="0"/>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农、林、</w:t>
            </w:r>
          </w:p>
          <w:p>
            <w:pPr>
              <w:autoSpaceDE w:val="0"/>
              <w:autoSpaceDN w:val="0"/>
              <w:spacing w:line="288" w:lineRule="auto"/>
              <w:ind w:firstLine="0" w:firstLineChars="0"/>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牧、渔业</w:t>
            </w:r>
          </w:p>
        </w:tc>
      </w:tr>
    </w:tbl>
    <w:p>
      <w:pPr>
        <w:widowControl/>
        <w:numPr>
          <w:ilvl w:val="0"/>
          <w:numId w:val="0"/>
        </w:numPr>
        <w:spacing w:line="360" w:lineRule="auto"/>
        <w:rPr>
          <w:rFonts w:hint="eastAsia" w:ascii="仿宋" w:hAnsi="仿宋" w:eastAsia="仿宋" w:cs="仿宋"/>
          <w:b/>
          <w:bCs/>
          <w:color w:val="auto"/>
          <w:sz w:val="28"/>
          <w:szCs w:val="28"/>
          <w:highlight w:val="none"/>
          <w:lang w:val="en-US" w:eastAsia="zh-CN"/>
        </w:rPr>
      </w:pPr>
    </w:p>
    <w:p>
      <w:pPr>
        <w:widowControl/>
        <w:numPr>
          <w:ilvl w:val="0"/>
          <w:numId w:val="0"/>
        </w:num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三、项目概况</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惠城区、惠阳区、惠东县、博罗县、龙门县等5个县区各建立1个示范点，每个示范点面积2000亩，示范面积合计10000亩。示范点内组建防控专业队，开展监测及防效跟踪，示范点红火蚁发生应控制在1级以下，红火蚁应急处置大于90%，4级及5级疫情面积占红火蚁发生面积比小于2%。</w:t>
      </w:r>
      <w:r>
        <w:rPr>
          <w:rFonts w:hint="eastAsia" w:ascii="仿宋" w:hAnsi="仿宋" w:eastAsia="仿宋" w:cs="仿宋"/>
          <w:color w:val="auto"/>
          <w:sz w:val="28"/>
          <w:szCs w:val="28"/>
          <w:highlight w:val="none"/>
          <w:lang w:eastAsia="zh-CN"/>
        </w:rPr>
        <w:t>红火蚁防控示范点内开展监测普查、应急处置、宣传培训等工作，落实</w:t>
      </w:r>
      <w:r>
        <w:rPr>
          <w:rFonts w:hint="eastAsia" w:ascii="仿宋" w:hAnsi="仿宋" w:eastAsia="仿宋" w:cs="仿宋"/>
          <w:color w:val="auto"/>
          <w:sz w:val="28"/>
          <w:szCs w:val="28"/>
          <w:highlight w:val="none"/>
        </w:rPr>
        <w:t>示范</w:t>
      </w:r>
      <w:r>
        <w:rPr>
          <w:rFonts w:hint="eastAsia" w:ascii="仿宋" w:hAnsi="仿宋" w:eastAsia="仿宋" w:cs="仿宋"/>
          <w:color w:val="auto"/>
          <w:sz w:val="28"/>
          <w:szCs w:val="28"/>
          <w:highlight w:val="none"/>
          <w:lang w:eastAsia="zh-CN"/>
        </w:rPr>
        <w:t>点区域内</w:t>
      </w:r>
      <w:r>
        <w:rPr>
          <w:rFonts w:hint="eastAsia" w:ascii="仿宋" w:hAnsi="仿宋" w:eastAsia="仿宋" w:cs="仿宋"/>
          <w:color w:val="auto"/>
          <w:sz w:val="28"/>
          <w:szCs w:val="28"/>
          <w:highlight w:val="none"/>
        </w:rPr>
        <w:t>的防效监测跟踪，以点带面辐射带动红火蚁防控工作的全面开展。现本项目将通过</w:t>
      </w:r>
      <w:r>
        <w:rPr>
          <w:rFonts w:hint="eastAsia" w:ascii="仿宋" w:hAnsi="仿宋" w:eastAsia="仿宋" w:cs="仿宋"/>
          <w:color w:val="auto"/>
          <w:sz w:val="28"/>
          <w:szCs w:val="28"/>
          <w:highlight w:val="none"/>
          <w:lang w:val="en-US" w:eastAsia="zh-CN"/>
        </w:rPr>
        <w:t>竞争性磋商</w:t>
      </w:r>
      <w:r>
        <w:rPr>
          <w:rFonts w:hint="eastAsia" w:ascii="仿宋" w:hAnsi="仿宋" w:eastAsia="仿宋" w:cs="仿宋"/>
          <w:color w:val="auto"/>
          <w:sz w:val="28"/>
          <w:szCs w:val="28"/>
          <w:highlight w:val="none"/>
        </w:rPr>
        <w:t>的方式确定一家供应商对</w:t>
      </w:r>
      <w:r>
        <w:rPr>
          <w:rFonts w:hint="eastAsia" w:ascii="仿宋" w:hAnsi="仿宋" w:eastAsia="仿宋" w:cs="仿宋"/>
          <w:color w:val="auto"/>
          <w:sz w:val="28"/>
          <w:szCs w:val="28"/>
          <w:highlight w:val="none"/>
          <w:u w:val="none"/>
          <w:lang w:eastAsia="zh-CN"/>
        </w:rPr>
        <w:t>惠州市2023年红火蚁应急防控专业服务和建立市级防控示范点项目</w:t>
      </w:r>
      <w:r>
        <w:rPr>
          <w:rFonts w:hint="eastAsia" w:ascii="仿宋" w:hAnsi="仿宋" w:eastAsia="仿宋" w:cs="仿宋"/>
          <w:color w:val="auto"/>
          <w:sz w:val="28"/>
          <w:szCs w:val="28"/>
          <w:highlight w:val="none"/>
          <w:u w:val="none"/>
          <w:lang w:val="en-US" w:eastAsia="zh-CN"/>
        </w:rPr>
        <w:t>提供服务</w:t>
      </w:r>
      <w:r>
        <w:rPr>
          <w:rFonts w:hint="eastAsia" w:ascii="仿宋" w:hAnsi="仿宋" w:eastAsia="仿宋" w:cs="仿宋"/>
          <w:color w:val="auto"/>
          <w:sz w:val="28"/>
          <w:szCs w:val="28"/>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四、项目服务内容及要求：</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480" w:firstLineChars="200"/>
        <w:textAlignment w:val="auto"/>
        <w:rPr>
          <w:rFonts w:hint="eastAsia" w:ascii="仿宋" w:hAnsi="仿宋" w:eastAsia="仿宋" w:cs="仿宋"/>
          <w:color w:val="auto"/>
          <w:sz w:val="28"/>
          <w:szCs w:val="28"/>
          <w:highlight w:val="none"/>
          <w:lang w:eastAsia="zh-CN"/>
        </w:rPr>
      </w:pPr>
      <w:r>
        <w:rPr>
          <w:rFonts w:hint="default" w:ascii="Arial" w:hAnsi="Arial" w:eastAsia="仿宋" w:cs="Arial"/>
          <w:color w:val="auto"/>
          <w:sz w:val="24"/>
          <w:szCs w:val="24"/>
          <w:highlight w:val="none"/>
          <w:lang w:val="en-US"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）开展疫情监测调查</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药前后疫情监测普查，按照《农药田间药效试验准则（二）第149部分：杀虫剂防治红火蚁》（GB/T17980.149-2009）《红火蚁专业化防控实施规程》（NY/T3541-2020）等国家标准要求，在每个示范点开展红火蚁疫情监测调查。采用踏查法监测活蚁巢数，应用诱集法监测工蚁数量，每次监测调查结果均需按要求做好台账，做到防控效果可查可核，完成红火蚁发生分布图和发生情况调查报告。</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480" w:firstLineChars="200"/>
        <w:textAlignment w:val="auto"/>
        <w:rPr>
          <w:rFonts w:hint="eastAsia" w:ascii="仿宋" w:hAnsi="仿宋" w:eastAsia="仿宋" w:cs="仿宋"/>
          <w:color w:val="auto"/>
          <w:sz w:val="28"/>
          <w:szCs w:val="28"/>
          <w:highlight w:val="none"/>
          <w:lang w:eastAsia="zh-CN"/>
        </w:rPr>
      </w:pPr>
      <w:r>
        <w:rPr>
          <w:rFonts w:hint="default" w:ascii="Arial" w:hAnsi="Arial" w:eastAsia="仿宋" w:cs="Arial"/>
          <w:color w:val="auto"/>
          <w:sz w:val="24"/>
          <w:szCs w:val="24"/>
          <w:highlight w:val="none"/>
          <w:lang w:val="en-US"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开展红火蚁疫情防控</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eastAsia="zh-CN"/>
        </w:rPr>
        <w:t>抓住红火蚁防控的最佳时期，按照《农药田间药效试验准则（二）第149部分：杀虫剂防治红火蚁》（GB/T17980.149-2009）《红火蚁专业化防控实施规程》（NY/T3541-2020）等国家标准要求组织开展防控，分片、分区开展网格化施药扑杀，确保防控后红火蚁防治率达90%以上，控制红火蚁疫情的蔓延和危害，发生程度降为一级程度。示范点红火蚁发生面积计算与发生程度分级标准参照《广东省红火蚁防控三年行动方案（2021-2023年）》(粤农防指〔2021〕3号）的附件2《广东省红火蚁防控工作指引》。</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人做好红火蚁防治工作日志档案，包括采取防治措施的日期、防治范围、防治措施种类、处理蚁巢数量、使用的药物及剂量、防治过程的图片、防治措施实施人员等信息资料交付采购人。每个示范点全面防控不少于4次，检查补充防治不少于2次。</w:t>
      </w:r>
      <w:r>
        <w:rPr>
          <w:rFonts w:hint="eastAsia" w:ascii="仿宋" w:hAnsi="仿宋" w:eastAsia="仿宋" w:cs="仿宋"/>
          <w:b/>
          <w:bCs/>
          <w:color w:val="auto"/>
          <w:sz w:val="28"/>
          <w:szCs w:val="28"/>
          <w:highlight w:val="none"/>
          <w:lang w:eastAsia="zh-CN"/>
        </w:rPr>
        <w:t>药剂由采购人提供（</w:t>
      </w:r>
      <w:r>
        <w:rPr>
          <w:rFonts w:hint="eastAsia" w:ascii="仿宋" w:hAnsi="仿宋" w:eastAsia="仿宋" w:cs="仿宋"/>
          <w:b/>
          <w:bCs/>
          <w:color w:val="auto"/>
          <w:sz w:val="28"/>
          <w:szCs w:val="28"/>
          <w:highlight w:val="none"/>
          <w:lang w:val="en-US" w:eastAsia="zh-CN"/>
        </w:rPr>
        <w:t>约6吨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，如有不足</w:t>
      </w:r>
      <w:r>
        <w:rPr>
          <w:rFonts w:hint="eastAsia" w:ascii="仿宋" w:hAnsi="仿宋" w:eastAsia="仿宋" w:cs="仿宋"/>
          <w:b/>
          <w:bCs/>
          <w:color w:val="auto"/>
          <w:sz w:val="28"/>
          <w:szCs w:val="28"/>
          <w:highlight w:val="none"/>
          <w:lang w:eastAsia="zh-CN"/>
        </w:rPr>
        <w:t>部分由</w:t>
      </w:r>
      <w:r>
        <w:rPr>
          <w:rFonts w:hint="eastAsia" w:ascii="仿宋" w:hAnsi="仿宋" w:eastAsia="仿宋" w:cs="仿宋"/>
          <w:b/>
          <w:bCs/>
          <w:color w:val="auto"/>
          <w:sz w:val="28"/>
          <w:szCs w:val="28"/>
          <w:highlight w:val="none"/>
          <w:lang w:val="en-US" w:eastAsia="zh-CN"/>
        </w:rPr>
        <w:t>成交</w:t>
      </w:r>
      <w:r>
        <w:rPr>
          <w:rFonts w:hint="eastAsia" w:ascii="仿宋" w:hAnsi="仿宋" w:eastAsia="仿宋" w:cs="仿宋"/>
          <w:b/>
          <w:bCs/>
          <w:color w:val="auto"/>
          <w:sz w:val="28"/>
          <w:szCs w:val="28"/>
          <w:highlight w:val="none"/>
          <w:lang w:eastAsia="zh-CN"/>
        </w:rPr>
        <w:t>人自行筹备（</w:t>
      </w:r>
      <w:r>
        <w:rPr>
          <w:rFonts w:hint="eastAsia" w:ascii="仿宋" w:hAnsi="仿宋" w:eastAsia="仿宋" w:cs="仿宋"/>
          <w:b/>
          <w:bCs/>
          <w:color w:val="auto"/>
          <w:sz w:val="28"/>
          <w:szCs w:val="28"/>
          <w:highlight w:val="none"/>
          <w:lang w:val="en-US" w:eastAsia="zh-CN"/>
        </w:rPr>
        <w:t>费用由成交人承担</w:t>
      </w:r>
      <w:r>
        <w:rPr>
          <w:rFonts w:hint="eastAsia" w:ascii="仿宋" w:hAnsi="仿宋" w:eastAsia="仿宋" w:cs="仿宋"/>
          <w:b/>
          <w:bCs/>
          <w:color w:val="auto"/>
          <w:sz w:val="28"/>
          <w:szCs w:val="28"/>
          <w:highlight w:val="none"/>
          <w:lang w:eastAsia="zh-CN"/>
        </w:rPr>
        <w:t>），直至示范片</w:t>
      </w:r>
      <w:r>
        <w:rPr>
          <w:rFonts w:hint="eastAsia" w:ascii="仿宋" w:hAnsi="仿宋" w:eastAsia="仿宋" w:cs="仿宋"/>
          <w:b/>
          <w:bCs/>
          <w:color w:val="auto"/>
          <w:sz w:val="28"/>
          <w:szCs w:val="28"/>
          <w:highlight w:val="none"/>
          <w:lang w:val="en-US" w:eastAsia="zh-CN"/>
        </w:rPr>
        <w:t>区</w:t>
      </w:r>
      <w:r>
        <w:rPr>
          <w:rFonts w:hint="eastAsia" w:ascii="仿宋" w:hAnsi="仿宋" w:eastAsia="仿宋" w:cs="仿宋"/>
          <w:b/>
          <w:bCs/>
          <w:color w:val="auto"/>
          <w:sz w:val="28"/>
          <w:szCs w:val="28"/>
          <w:highlight w:val="none"/>
          <w:lang w:eastAsia="zh-CN"/>
        </w:rPr>
        <w:t>达到省</w:t>
      </w:r>
      <w:r>
        <w:rPr>
          <w:rFonts w:hint="eastAsia" w:ascii="仿宋" w:hAnsi="仿宋" w:eastAsia="仿宋" w:cs="仿宋"/>
          <w:b/>
          <w:bCs/>
          <w:color w:val="auto"/>
          <w:sz w:val="28"/>
          <w:szCs w:val="28"/>
          <w:highlight w:val="none"/>
          <w:lang w:val="en-US" w:eastAsia="zh-CN"/>
        </w:rPr>
        <w:t>级</w:t>
      </w:r>
      <w:r>
        <w:rPr>
          <w:rFonts w:hint="eastAsia" w:ascii="仿宋" w:hAnsi="仿宋" w:eastAsia="仿宋" w:cs="仿宋"/>
          <w:b/>
          <w:bCs/>
          <w:color w:val="auto"/>
          <w:sz w:val="28"/>
          <w:szCs w:val="28"/>
          <w:highlight w:val="none"/>
          <w:lang w:eastAsia="zh-CN"/>
        </w:rPr>
        <w:t>考核标准。</w:t>
      </w:r>
      <w:bookmarkStart w:id="603" w:name="_GoBack"/>
      <w:bookmarkEnd w:id="603"/>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480" w:firstLineChars="200"/>
        <w:textAlignment w:val="auto"/>
        <w:rPr>
          <w:rFonts w:hint="eastAsia" w:ascii="仿宋" w:hAnsi="仿宋" w:eastAsia="仿宋" w:cs="仿宋"/>
          <w:color w:val="auto"/>
          <w:sz w:val="28"/>
          <w:szCs w:val="28"/>
          <w:highlight w:val="none"/>
          <w:lang w:eastAsia="zh-CN"/>
        </w:rPr>
      </w:pPr>
      <w:r>
        <w:rPr>
          <w:rFonts w:hint="default" w:ascii="Arial" w:hAnsi="Arial" w:eastAsia="仿宋" w:cs="Arial"/>
          <w:color w:val="auto"/>
          <w:sz w:val="24"/>
          <w:szCs w:val="24"/>
          <w:highlight w:val="none"/>
          <w:lang w:val="en-US"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举办防控技术宣传培训</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各县区红火蚁防控示范点各举办2期培训班，每期不少于50人，培训形式可以为课堂讲授、现场实操、实地宣传等方式。同时，在示范点村委公告栏粘贴红火蚁防控宣传海报、发放宣传资料。</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48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8"/>
          <w:szCs w:val="28"/>
          <w:highlight w:val="none"/>
          <w:lang w:val="en-US" w:eastAsia="zh-CN"/>
        </w:rPr>
        <w:t>（4）提供红火蚁应急防控专业服务</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在服务期限内，除5个示范点外，全市其他地方如发生红火蚁爆发情况，需按市要求在24小时内迅速组织实施红火蚁应急防控，不得以防控人员不在当地或者人手紧张、物资紧张为由拒绝出动防控。</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（5）满意度调查</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每个示范点所属行政村调查10户以上，项目区域群众满意度需达85%以上，无群众信访、舆情报道等负面信息。</w:t>
      </w:r>
    </w:p>
    <w:p>
      <w:pPr>
        <w:pStyle w:val="2"/>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（6）使用监测平台要求</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红火蚁防控项目须按照省红火蚁防控绩效评价标准规范使用“粤植物保护”红火蚁监测小程序，如成交方使用其他系统软件，应将有效数据接入省级平台，且符合省的数据要求（投标时需提供承诺函，格式自拟）。</w:t>
      </w:r>
    </w:p>
    <w:p>
      <w:pPr>
        <w:ind w:firstLine="210" w:firstLineChars="100"/>
        <w:rPr>
          <w:rFonts w:hint="default"/>
          <w:color w:val="auto"/>
          <w:highlight w:val="none"/>
          <w:lang w:val="en-US" w:eastAsia="zh-CN"/>
        </w:rPr>
      </w:pPr>
      <w:r>
        <w:rPr>
          <w:rFonts w:hint="eastAsia"/>
          <w:color w:val="auto"/>
          <w:highlight w:val="none"/>
          <w:lang w:val="en-US" w:eastAsia="zh-CN"/>
        </w:rPr>
        <w:t xml:space="preserve">    </w:t>
      </w:r>
    </w:p>
    <w:p>
      <w:pPr>
        <w:widowControl/>
        <w:numPr>
          <w:ilvl w:val="-1"/>
          <w:numId w:val="0"/>
        </w:numPr>
        <w:autoSpaceDE/>
        <w:autoSpaceDN/>
        <w:spacing w:line="560" w:lineRule="exact"/>
        <w:ind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"【本项目采购需求之\“商务要求\”的电子交易规范】"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w:t>
      </w:r>
      <w:r>
        <w:rPr>
          <w:rStyle w:val="45"/>
          <w:rFonts w:hint="eastAsia" w:ascii="仿宋" w:hAnsi="仿宋" w:eastAsia="仿宋" w:cs="仿宋"/>
          <w:b/>
          <w:bCs/>
          <w:color w:val="auto"/>
          <w:sz w:val="28"/>
          <w:szCs w:val="28"/>
          <w:highlight w:val="none"/>
          <w:u w:val="none"/>
        </w:rPr>
        <w:t>项目商务要求</w:t>
      </w:r>
      <w:r>
        <w:rPr>
          <w:rFonts w:hint="eastAsia" w:ascii="仿宋" w:hAnsi="仿宋" w:eastAsia="仿宋" w:cs="仿宋"/>
          <w:b/>
          <w:bCs/>
          <w:color w:val="auto"/>
          <w:sz w:val="28"/>
          <w:szCs w:val="28"/>
          <w:highlight w:val="none"/>
        </w:rPr>
        <w:fldChar w:fldCharType="end"/>
      </w:r>
    </w:p>
    <w:p>
      <w:pPr>
        <w:pStyle w:val="19"/>
        <w:spacing w:line="360" w:lineRule="auto"/>
        <w:ind w:firstLine="560" w:firstLineChars="200"/>
        <w:rPr>
          <w:rFonts w:hint="eastAsia" w:ascii="宋体" w:hAnsi="宋体" w:eastAsia="宋体" w:cs="宋体"/>
          <w:color w:val="auto"/>
          <w:sz w:val="24"/>
          <w:szCs w:val="24"/>
          <w:highlight w:val="none"/>
        </w:rPr>
      </w:pPr>
      <w:r>
        <w:rPr>
          <w:rFonts w:hint="eastAsia" w:ascii="仿宋" w:hAnsi="仿宋" w:eastAsia="仿宋" w:cs="仿宋"/>
          <w:color w:val="auto"/>
          <w:sz w:val="28"/>
          <w:szCs w:val="28"/>
          <w:highlight w:val="none"/>
          <w:lang w:val="en-US" w:eastAsia="zh-CN"/>
        </w:rPr>
        <w:t>1、付款方式：在采购人与成交供应商双方签订合同15个工作日内，且采购人在收到发票后，采购人向成交供应商支付合同总金额的70%作为预付款。服务期限截止，成交供应按采购人要求完成所有服务内容，且通过采购人组织的验收合格，采购人在收到发票后，采购人向成交供应商支付合同总金额的30%尾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资金支付以财政资金落实为前提，若因财政资金不到位引起资金不能按合同要求或有关规定拨付的，采购人不承担因资金延期拨付给成交供应商造成的各类损失，如利息、连带责任等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2、合同履行期限：自合同签订之日起至2023年12月。</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报价要求：投标报价以总价报价的方式，应包含人工费、社会保险费、员工福利费、差旅费、培训费、交通费、税款、利润等完成合同所需的一切费用，费用无论是否在供应商报价函中单列，均视为响应总价中已包括该费用。 </w:t>
      </w:r>
    </w:p>
    <w:p>
      <w:pPr>
        <w:widowControl/>
        <w:autoSpaceDE/>
        <w:autoSpaceDN/>
        <w:spacing w:line="360" w:lineRule="auto"/>
        <w:ind w:right="0" w:rightChars="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4、供应商</w:t>
      </w:r>
      <w:r>
        <w:rPr>
          <w:rFonts w:hint="eastAsia" w:ascii="仿宋" w:hAnsi="仿宋" w:eastAsia="仿宋" w:cs="仿宋"/>
          <w:color w:val="auto"/>
          <w:sz w:val="28"/>
          <w:szCs w:val="28"/>
          <w:highlight w:val="none"/>
          <w:lang w:val="zh-CN"/>
        </w:rPr>
        <w:t>应对</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lang w:val="zh-CN"/>
        </w:rPr>
        <w:t>项目所有内容进行报价，不允许只对其中部分内容进行报价，否则</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应当将其作为无效投标处理；</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未按报价要求进行</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报价的，视为无效报价，其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无效，由</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在符合性审查中不予通过；</w:t>
      </w:r>
    </w:p>
    <w:p>
      <w:pPr>
        <w:widowControl/>
        <w:autoSpaceDE/>
        <w:autoSpaceDN/>
        <w:spacing w:line="360" w:lineRule="auto"/>
        <w:ind w:right="0" w:rightChars="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kern w:val="0"/>
          <w:sz w:val="28"/>
          <w:szCs w:val="28"/>
          <w:highlight w:val="none"/>
          <w:shd w:val="clear" w:color="auto" w:fill="FFFFFF"/>
        </w:rPr>
        <w:t>★</w:t>
      </w:r>
      <w:r>
        <w:rPr>
          <w:rFonts w:hint="eastAsia" w:ascii="仿宋" w:hAnsi="仿宋" w:eastAsia="仿宋" w:cs="仿宋"/>
          <w:color w:val="auto"/>
          <w:kern w:val="0"/>
          <w:sz w:val="28"/>
          <w:szCs w:val="28"/>
          <w:highlight w:val="none"/>
          <w:shd w:val="clear" w:color="auto" w:fill="FFFFFF"/>
          <w:lang w:val="en-US" w:eastAsia="zh-CN"/>
        </w:rPr>
        <w:t xml:space="preserve"> </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如果</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认为</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的报价明显</w:t>
      </w:r>
      <w:r>
        <w:rPr>
          <w:rFonts w:hint="eastAsia" w:ascii="仿宋" w:hAnsi="仿宋" w:eastAsia="仿宋" w:cs="仿宋"/>
          <w:color w:val="auto"/>
          <w:sz w:val="28"/>
          <w:szCs w:val="28"/>
          <w:highlight w:val="none"/>
          <w:lang w:val="en-US" w:eastAsia="zh-CN"/>
        </w:rPr>
        <w:t>低</w:t>
      </w:r>
      <w:r>
        <w:rPr>
          <w:rFonts w:hint="eastAsia" w:ascii="仿宋" w:hAnsi="仿宋" w:eastAsia="仿宋" w:cs="仿宋"/>
          <w:color w:val="auto"/>
          <w:sz w:val="28"/>
          <w:szCs w:val="28"/>
          <w:highlight w:val="none"/>
          <w:lang w:val="zh-CN"/>
        </w:rPr>
        <w:t>于其他通过符合性审查</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不能证明其报价合理性的，</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应当将其作为无效</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处理。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6、验收要求：验收分初验和终验。初验由成交供应商自行组织验收，但须市或县（区）农业农村部门全程参与。初验通过后，提交终验申请，由农业农村主管部门与有关专家组成的验收组在12月上中旬进行验收。</w:t>
      </w:r>
    </w:p>
    <w:p>
      <w:pPr>
        <w:spacing w:line="560" w:lineRule="exact"/>
        <w:ind w:firstLine="0" w:firstLineChars="0"/>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六、其他说明</w:t>
      </w:r>
    </w:p>
    <w:p>
      <w:pPr>
        <w:spacing w:line="560" w:lineRule="exact"/>
        <w:ind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1、</w:t>
      </w:r>
      <w:r>
        <w:rPr>
          <w:rFonts w:hint="eastAsia" w:ascii="仿宋" w:hAnsi="仿宋" w:eastAsia="仿宋" w:cs="仿宋"/>
          <w:color w:val="auto"/>
          <w:kern w:val="0"/>
          <w:sz w:val="28"/>
          <w:szCs w:val="28"/>
          <w:highlight w:val="none"/>
          <w:shd w:val="clear" w:color="auto" w:fill="FFFFFF"/>
        </w:rPr>
        <w:t>采购文件中带“★”的条款为本次采购的</w:t>
      </w:r>
      <w:r>
        <w:rPr>
          <w:rFonts w:hint="eastAsia" w:ascii="仿宋" w:hAnsi="仿宋" w:eastAsia="仿宋" w:cs="仿宋"/>
          <w:color w:val="auto"/>
          <w:kern w:val="0"/>
          <w:sz w:val="28"/>
          <w:szCs w:val="28"/>
          <w:highlight w:val="none"/>
          <w:shd w:val="clear" w:color="auto" w:fill="FFFFFF"/>
          <w:lang w:val="en-US" w:eastAsia="zh-CN"/>
        </w:rPr>
        <w:t>实质性</w:t>
      </w:r>
      <w:r>
        <w:rPr>
          <w:rFonts w:hint="eastAsia" w:ascii="仿宋" w:hAnsi="仿宋" w:eastAsia="仿宋" w:cs="仿宋"/>
          <w:color w:val="auto"/>
          <w:kern w:val="0"/>
          <w:sz w:val="28"/>
          <w:szCs w:val="28"/>
          <w:highlight w:val="none"/>
          <w:shd w:val="clear" w:color="auto" w:fill="FFFFFF"/>
        </w:rPr>
        <w:t>要求，</w:t>
      </w:r>
      <w:r>
        <w:rPr>
          <w:rFonts w:hint="eastAsia" w:ascii="仿宋" w:hAnsi="仿宋" w:eastAsia="仿宋" w:cs="仿宋"/>
          <w:color w:val="auto"/>
          <w:kern w:val="0"/>
          <w:sz w:val="28"/>
          <w:szCs w:val="28"/>
          <w:highlight w:val="none"/>
          <w:shd w:val="clear" w:color="auto" w:fill="FFFFFF"/>
          <w:lang w:val="en-US" w:eastAsia="zh-CN"/>
        </w:rPr>
        <w:t>供应商</w:t>
      </w:r>
      <w:r>
        <w:rPr>
          <w:rFonts w:hint="eastAsia" w:ascii="仿宋" w:hAnsi="仿宋" w:eastAsia="仿宋" w:cs="仿宋"/>
          <w:color w:val="auto"/>
          <w:kern w:val="0"/>
          <w:sz w:val="28"/>
          <w:szCs w:val="28"/>
          <w:highlight w:val="none"/>
          <w:shd w:val="clear" w:color="auto" w:fill="FFFFFF"/>
        </w:rPr>
        <w:t>必须满足或响应，若无法完全满足，将会被认定为无效投标。带“▲”标注号及不带标注号项为可负偏离的</w:t>
      </w:r>
      <w:r>
        <w:rPr>
          <w:rFonts w:hint="eastAsia" w:ascii="仿宋" w:hAnsi="仿宋" w:eastAsia="仿宋" w:cs="仿宋"/>
          <w:color w:val="auto"/>
          <w:kern w:val="0"/>
          <w:sz w:val="28"/>
          <w:szCs w:val="28"/>
          <w:highlight w:val="none"/>
          <w:shd w:val="clear" w:color="auto" w:fill="FFFFFF"/>
          <w:lang w:val="en-US" w:eastAsia="zh-CN"/>
        </w:rPr>
        <w:t>重要</w:t>
      </w:r>
      <w:r>
        <w:rPr>
          <w:rFonts w:hint="eastAsia" w:ascii="仿宋" w:hAnsi="仿宋" w:eastAsia="仿宋" w:cs="仿宋"/>
          <w:color w:val="auto"/>
          <w:kern w:val="0"/>
          <w:sz w:val="28"/>
          <w:szCs w:val="28"/>
          <w:highlight w:val="none"/>
          <w:shd w:val="clear" w:color="auto" w:fill="FFFFFF"/>
        </w:rPr>
        <w:t>技术参数要求，若其中一项出现负偏离时将导致扣分。</w:t>
      </w:r>
    </w:p>
    <w:p>
      <w:pPr>
        <w:spacing w:line="560" w:lineRule="exact"/>
        <w:ind w:firstLine="560" w:firstLineChars="200"/>
        <w:rPr>
          <w:rFonts w:hint="eastAsia" w:ascii="仿宋" w:hAnsi="仿宋" w:eastAsia="仿宋" w:cs="仿宋"/>
          <w:b w:val="0"/>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rPr>
        <w:t>预中标人提供的服务须与</w:t>
      </w:r>
      <w:r>
        <w:rPr>
          <w:rFonts w:hint="eastAsia" w:ascii="仿宋" w:hAnsi="仿宋" w:eastAsia="仿宋" w:cs="仿宋"/>
          <w:color w:val="auto"/>
          <w:kern w:val="0"/>
          <w:sz w:val="28"/>
          <w:szCs w:val="28"/>
          <w:highlight w:val="none"/>
          <w:shd w:val="clear" w:color="auto" w:fill="FFFFFF"/>
          <w:lang w:val="en-US" w:eastAsia="zh-CN"/>
        </w:rPr>
        <w:t>磋商</w:t>
      </w:r>
      <w:r>
        <w:rPr>
          <w:rFonts w:hint="eastAsia" w:ascii="仿宋" w:hAnsi="仿宋" w:eastAsia="仿宋" w:cs="仿宋"/>
          <w:color w:val="auto"/>
          <w:kern w:val="0"/>
          <w:sz w:val="28"/>
          <w:szCs w:val="28"/>
          <w:highlight w:val="none"/>
          <w:shd w:val="clear" w:color="auto" w:fill="FFFFFF"/>
        </w:rPr>
        <w:t>文件相符，否则视为虚假应标，取消</w:t>
      </w:r>
      <w:r>
        <w:rPr>
          <w:rFonts w:hint="eastAsia" w:ascii="仿宋" w:hAnsi="仿宋" w:eastAsia="仿宋" w:cs="仿宋"/>
          <w:color w:val="auto"/>
          <w:kern w:val="0"/>
          <w:sz w:val="28"/>
          <w:szCs w:val="28"/>
          <w:highlight w:val="none"/>
          <w:shd w:val="clear" w:color="auto" w:fill="FFFFFF"/>
          <w:lang w:val="en-US" w:eastAsia="zh-CN"/>
        </w:rPr>
        <w:t>成交</w:t>
      </w:r>
      <w:r>
        <w:rPr>
          <w:rFonts w:hint="eastAsia" w:ascii="仿宋" w:hAnsi="仿宋" w:eastAsia="仿宋" w:cs="仿宋"/>
          <w:color w:val="auto"/>
          <w:kern w:val="0"/>
          <w:sz w:val="28"/>
          <w:szCs w:val="28"/>
          <w:highlight w:val="none"/>
          <w:shd w:val="clear" w:color="auto" w:fill="FFFFFF"/>
        </w:rPr>
        <w:t>资格，由此造成的损失，</w:t>
      </w:r>
      <w:r>
        <w:rPr>
          <w:rFonts w:hint="eastAsia" w:ascii="仿宋" w:hAnsi="仿宋" w:eastAsia="仿宋" w:cs="仿宋"/>
          <w:color w:val="auto"/>
          <w:kern w:val="0"/>
          <w:sz w:val="28"/>
          <w:szCs w:val="28"/>
          <w:highlight w:val="none"/>
          <w:shd w:val="clear" w:color="auto" w:fill="FFFFFF"/>
          <w:lang w:val="en-US" w:eastAsia="zh-CN"/>
        </w:rPr>
        <w:t>供应商</w:t>
      </w:r>
      <w:r>
        <w:rPr>
          <w:rFonts w:hint="eastAsia" w:ascii="仿宋" w:hAnsi="仿宋" w:eastAsia="仿宋" w:cs="仿宋"/>
          <w:color w:val="auto"/>
          <w:kern w:val="0"/>
          <w:sz w:val="28"/>
          <w:szCs w:val="28"/>
          <w:highlight w:val="none"/>
          <w:shd w:val="clear" w:color="auto" w:fill="FFFFFF"/>
        </w:rPr>
        <w:t>自行承担。</w:t>
      </w:r>
      <w:bookmarkStart w:id="30" w:name="_Toc6421"/>
      <w:bookmarkStart w:id="31" w:name="_Toc15729"/>
      <w:bookmarkStart w:id="32" w:name="_Toc25123"/>
      <w:bookmarkStart w:id="33" w:name="_Toc32119"/>
      <w:bookmarkStart w:id="34" w:name="_Toc4650"/>
      <w:bookmarkStart w:id="35" w:name="_Toc3440"/>
      <w:bookmarkStart w:id="36" w:name="_Toc31975"/>
      <w:bookmarkStart w:id="37" w:name="_Toc21181"/>
      <w:bookmarkStart w:id="38" w:name="_Toc26521"/>
      <w:bookmarkStart w:id="39" w:name="_Toc222"/>
      <w:bookmarkStart w:id="40" w:name="_Toc17267"/>
      <w:bookmarkStart w:id="41" w:name="_Toc27926"/>
      <w:bookmarkStart w:id="42" w:name="_Toc24884"/>
      <w:bookmarkStart w:id="43" w:name="_Toc10723"/>
      <w:bookmarkStart w:id="44" w:name="_Toc24757"/>
    </w:p>
    <w:p>
      <w:pPr>
        <w:pStyle w:val="2"/>
        <w:rPr>
          <w:rFonts w:hint="eastAsia"/>
          <w:color w:val="auto"/>
          <w:highlight w:val="none"/>
        </w:rPr>
      </w:pPr>
    </w:p>
    <w:p>
      <w:pPr>
        <w:pStyle w:val="14"/>
        <w:rPr>
          <w:rFonts w:hint="eastAsia"/>
          <w:color w:val="auto"/>
          <w:highlight w:val="none"/>
        </w:rPr>
      </w:pPr>
      <w:bookmarkStart w:id="45" w:name="_Toc19211"/>
      <w:bookmarkStart w:id="46" w:name="_Toc24631"/>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32"/>
          <w:szCs w:val="32"/>
          <w:highlight w:val="none"/>
        </w:rPr>
        <w:t>第三部分  报价人须知</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7"/>
        <w:rPr>
          <w:rFonts w:hint="eastAsia" w:ascii="仿宋" w:hAnsi="仿宋" w:eastAsia="仿宋" w:cs="仿宋"/>
          <w:b/>
          <w:color w:val="auto"/>
          <w:sz w:val="28"/>
          <w:szCs w:val="28"/>
          <w:highlight w:val="none"/>
        </w:rPr>
      </w:pPr>
    </w:p>
    <w:p>
      <w:pPr>
        <w:pStyle w:val="18"/>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一、说  明</w:t>
      </w:r>
    </w:p>
    <w:p>
      <w:pPr>
        <w:pStyle w:val="18"/>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1．适用范围</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1.1本磋商文件适用于本竞争性磋商的政府采购项目。</w:t>
      </w:r>
    </w:p>
    <w:p>
      <w:pPr>
        <w:pStyle w:val="18"/>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2.定义</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“招标采购单位”是指：</w:t>
      </w:r>
      <w:r>
        <w:rPr>
          <w:rFonts w:hint="eastAsia" w:ascii="仿宋" w:hAnsi="仿宋" w:eastAsia="仿宋" w:cs="仿宋"/>
          <w:color w:val="auto"/>
          <w:sz w:val="28"/>
          <w:szCs w:val="28"/>
          <w:highlight w:val="none"/>
          <w:u w:val="single"/>
          <w:lang w:eastAsia="zh-CN"/>
        </w:rPr>
        <w:t>惠州市农业农村局</w:t>
      </w:r>
      <w:r>
        <w:rPr>
          <w:rFonts w:hint="eastAsia" w:ascii="仿宋" w:hAnsi="仿宋" w:eastAsia="仿宋" w:cs="仿宋"/>
          <w:color w:val="auto"/>
          <w:sz w:val="28"/>
          <w:szCs w:val="28"/>
          <w:highlight w:val="none"/>
        </w:rPr>
        <w:t>。</w:t>
      </w:r>
    </w:p>
    <w:p>
      <w:pPr>
        <w:pStyle w:val="18"/>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“政府采购代理机构”是指：</w:t>
      </w:r>
      <w:r>
        <w:rPr>
          <w:rFonts w:hint="eastAsia" w:ascii="仿宋" w:hAnsi="仿宋" w:eastAsia="仿宋" w:cs="仿宋"/>
          <w:color w:val="auto"/>
          <w:sz w:val="28"/>
          <w:szCs w:val="28"/>
          <w:highlight w:val="none"/>
          <w:u w:val="single"/>
        </w:rPr>
        <w:t>惠州公信项目管理有限公司</w:t>
      </w:r>
      <w:r>
        <w:rPr>
          <w:rFonts w:hint="eastAsia" w:ascii="仿宋" w:hAnsi="仿宋" w:eastAsia="仿宋" w:cs="仿宋"/>
          <w:color w:val="auto"/>
          <w:sz w:val="28"/>
          <w:szCs w:val="28"/>
          <w:highlight w:val="none"/>
        </w:rPr>
        <w:t>。</w:t>
      </w:r>
    </w:p>
    <w:p>
      <w:pPr>
        <w:pStyle w:val="18"/>
        <w:adjustRightInd w:val="0"/>
        <w:snapToGrid w:val="0"/>
        <w:spacing w:line="360" w:lineRule="auto"/>
        <w:ind w:left="560"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 “监管部门”是指：</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rPr>
        <w:t>。</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“响应供应商”是指响应本文件要求，参加磋商的法人或者其他组织、自然人。</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 合格的“响应供应商”是指：</w:t>
      </w:r>
    </w:p>
    <w:p>
      <w:pPr>
        <w:pStyle w:val="18"/>
        <w:tabs>
          <w:tab w:val="left" w:pos="720"/>
        </w:tabs>
        <w:adjustRightInd w:val="0"/>
        <w:snapToGrid w:val="0"/>
        <w:spacing w:line="360" w:lineRule="auto"/>
        <w:ind w:left="0" w:leftChars="0"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1) 具有独立承担民事责任的能力。</w:t>
      </w:r>
    </w:p>
    <w:p>
      <w:pPr>
        <w:pStyle w:val="18"/>
        <w:tabs>
          <w:tab w:val="left" w:pos="720"/>
        </w:tabs>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 符合磋商文件规定的资格要求。</w:t>
      </w:r>
    </w:p>
    <w:p>
      <w:pPr>
        <w:pStyle w:val="18"/>
        <w:tabs>
          <w:tab w:val="left" w:pos="720"/>
        </w:tabs>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3）符合本磋商文件</w:t>
      </w:r>
      <w:r>
        <w:rPr>
          <w:rFonts w:hint="eastAsia" w:ascii="仿宋" w:hAnsi="仿宋" w:eastAsia="仿宋" w:cs="仿宋"/>
          <w:color w:val="auto"/>
          <w:sz w:val="28"/>
          <w:szCs w:val="28"/>
          <w:highlight w:val="none"/>
          <w:u w:val="none"/>
          <w:lang w:val="zh-CN"/>
        </w:rPr>
        <w:t>采购项目的特殊条件要求。</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2.6“成交供应商”是指经法定程序确定并授予合同的响应人。</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2.7“竞争性磋商响应文件”是指：供应商根据本文件要求，编制包含报价、技术和服务等所有内容的实质性响应文件。</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 “书面形式”是指合同书、信件和数据电文(包括电报、电传、传真、电子数据交换和电子邮件)等可以有形地表现所载内容的形式。即法律要求信息须采用书面形式，则假若一项数据电文所含信息可以调取以备日后查用，即满足了该项要求。</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2.9本磋商文件的解释权归惠州公信项目管理有限公司所有。</w:t>
      </w:r>
    </w:p>
    <w:p>
      <w:pPr>
        <w:pStyle w:val="18"/>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3.合格的货物和服务</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货物”是指响应供应商制造或组织符合磋商文件要求的货物等。磋商文件中没有提及采购货物来源地的，根据《政府采购法》的相关规定均应是本国货物。货物必须是合法生产、合法来源的符合国家有关标准要求的货物，并满足本磋商文件规定的规格、参数、质量、价格、有效期、售后服务等要求。</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3.2“服务”是指除货物和工程以外的其他政府采购对象,其中包括：响应供应商须承担的运输、安装、技术支持、培训以及磋商文件规定的其它服务。</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3.3进口产品指通过中国海关报关验放进入中国境内且产自关境外的产品。</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  报价人必须保证，采购人在中华人民共和国境内使用投标货物、资料、技术、服务或其任何一部分时，享有不受限制的无偿使用权，如有第三方向采购人提出侵犯其专利权、商标权或其它知识产权的主张，该责任应由报价人承担。投标报价应包含所有应向所有权人支付的专利权、商标权或其它知识产权的一切相关费用。</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磋商费用</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4.1响应供应商应承担所有与准备和参加磋商有关的费用。不论磋商的结果如何，政府采购代理机构和采购人均无义务和责任承担这些费用。</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4.2本次采购向成交供应商收取成交服务费</w:t>
      </w:r>
      <w:r>
        <w:rPr>
          <w:rFonts w:hint="eastAsia" w:ascii="仿宋" w:hAnsi="仿宋" w:eastAsia="仿宋" w:cs="仿宋"/>
          <w:color w:val="auto"/>
          <w:sz w:val="28"/>
          <w:szCs w:val="28"/>
          <w:highlight w:val="none"/>
          <w:lang w:eastAsia="zh-CN"/>
        </w:rPr>
        <w:t>。</w:t>
      </w:r>
    </w:p>
    <w:p>
      <w:pPr>
        <w:pStyle w:val="18"/>
        <w:adjustRightInd w:val="0"/>
        <w:snapToGrid w:val="0"/>
        <w:spacing w:line="360" w:lineRule="auto"/>
        <w:ind w:left="420" w:hanging="4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二、磋商文件</w:t>
      </w:r>
    </w:p>
    <w:p>
      <w:pPr>
        <w:pStyle w:val="18"/>
        <w:adjustRightInd w:val="0"/>
        <w:snapToGrid w:val="0"/>
        <w:spacing w:line="36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5.磋商文件的构成</w:t>
      </w:r>
    </w:p>
    <w:p>
      <w:pPr>
        <w:pStyle w:val="18"/>
        <w:adjustRightInd w:val="0"/>
        <w:snapToGrid w:val="0"/>
        <w:spacing w:line="36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5.1磋商文件由下列文件以及在磋商过程中发出的修正和补充文件组成：</w:t>
      </w:r>
    </w:p>
    <w:p>
      <w:pPr>
        <w:pStyle w:val="18"/>
        <w:adjustRightInd w:val="0"/>
        <w:snapToGrid w:val="0"/>
        <w:spacing w:line="360" w:lineRule="auto"/>
        <w:ind w:left="14" w:leftChars="0" w:hanging="14" w:hangingChars="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pPr>
        <w:pStyle w:val="18"/>
        <w:adjustRightInd w:val="0"/>
        <w:snapToGrid w:val="0"/>
        <w:spacing w:line="360" w:lineRule="auto"/>
        <w:ind w:left="420" w:hanging="4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三、竞争性磋商响应文件的编制</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竞争性磋商响应文件编制基本要求</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6.1响应供应商对竞争性磋商响应文件的编制应按要求装订和封装。</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响应供应商提交的磋商响应文件及其与（采购单位）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6.3竞争性磋商响应文件必须按本文件的全部内容，包括所有的补充通知及附件进行编制。</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6.4如因响应供应商只填写和提供了本文件要求的部分内容和附件，而给磋商造成困难的，其可能导致的结果和责任由响应供应商自行承担。 </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7.计量单位</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7.1除技术要求中另有规定外，本文件所要求使用的计量单位均采用国家法定的度、量、衡标准单位计量。</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四、磋商报价要求</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8.对于本文件中未列明，而响应供应商认为必需的费用也需列入总报价。在合同实施时，采购人将不予支付成交供应商没有列入的项目费用，并认为此项目的费用已包括在总报价中。</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9.成交供应商负责本项目所需货物的制造、运输、售后服务等全部工作。</w:t>
      </w:r>
    </w:p>
    <w:p>
      <w:pPr>
        <w:pStyle w:val="18"/>
        <w:adjustRightInd w:val="0"/>
        <w:snapToGrid w:val="0"/>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五、磋商保证金</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本项目不收取磋商保证金</w:t>
      </w:r>
      <w:r>
        <w:rPr>
          <w:rFonts w:hint="eastAsia" w:ascii="仿宋" w:hAnsi="仿宋" w:eastAsia="仿宋" w:cs="仿宋"/>
          <w:b/>
          <w:color w:val="auto"/>
          <w:sz w:val="28"/>
          <w:szCs w:val="28"/>
          <w:highlight w:val="none"/>
          <w:lang w:eastAsia="zh-CN"/>
        </w:rPr>
        <w:t>）</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响应供应商应按磋商文件规定的金额和期限交纳磋商保证金，磋商保证金作为报价文件的组成部分，磋商保证金的金额如下：</w:t>
      </w:r>
    </w:p>
    <w:p>
      <w:pPr>
        <w:pStyle w:val="18"/>
        <w:adjustRightInd w:val="0"/>
        <w:snapToGrid w:val="0"/>
        <w:spacing w:line="360" w:lineRule="auto"/>
        <w:ind w:firstLine="3092" w:firstLineChars="11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人民币：</w:t>
      </w:r>
      <w:r>
        <w:rPr>
          <w:rFonts w:hint="eastAsia" w:ascii="仿宋" w:hAnsi="仿宋" w:eastAsia="仿宋" w:cs="仿宋"/>
          <w:b/>
          <w:bCs/>
          <w:color w:val="auto"/>
          <w:sz w:val="28"/>
          <w:szCs w:val="28"/>
          <w:highlight w:val="none"/>
          <w:lang w:val="en-US" w:eastAsia="zh-CN"/>
        </w:rPr>
        <w:t>零元</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.00）</w:t>
      </w:r>
    </w:p>
    <w:p>
      <w:pPr>
        <w:pStyle w:val="18"/>
        <w:numPr>
          <w:ilvl w:val="0"/>
          <w:numId w:val="0"/>
        </w:numPr>
        <w:tabs>
          <w:tab w:val="left" w:pos="72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10.1</w:t>
      </w:r>
      <w:r>
        <w:rPr>
          <w:rFonts w:hint="eastAsia" w:ascii="仿宋" w:hAnsi="仿宋" w:eastAsia="仿宋" w:cs="仿宋"/>
          <w:color w:val="auto"/>
          <w:sz w:val="28"/>
          <w:szCs w:val="28"/>
          <w:highlight w:val="none"/>
        </w:rPr>
        <w:t>磋商保证金可以采用银行划账、投标担保函等形式提交。</w:t>
      </w:r>
      <w:r>
        <w:rPr>
          <w:rFonts w:hint="eastAsia" w:ascii="仿宋" w:hAnsi="仿宋" w:eastAsia="仿宋" w:cs="仿宋"/>
          <w:b/>
          <w:color w:val="auto"/>
          <w:sz w:val="28"/>
          <w:szCs w:val="28"/>
          <w:highlight w:val="none"/>
        </w:rPr>
        <w:t>报价供应商与交款人名称必须一致，非报价供应商缴纳的磋商保证金无效</w:t>
      </w:r>
      <w:r>
        <w:rPr>
          <w:rFonts w:hint="eastAsia" w:ascii="仿宋" w:hAnsi="仿宋" w:eastAsia="仿宋" w:cs="仿宋"/>
          <w:color w:val="auto"/>
          <w:sz w:val="28"/>
          <w:szCs w:val="28"/>
          <w:highlight w:val="none"/>
        </w:rPr>
        <w:t>。交纳办法如下：</w:t>
      </w:r>
    </w:p>
    <w:p>
      <w:pPr>
        <w:pStyle w:val="18"/>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10.1.1采用银行划账方式的，应在投标截止时间前到达采购代理机构保证金账户</w:t>
      </w:r>
      <w:r>
        <w:rPr>
          <w:rFonts w:hint="eastAsia" w:ascii="仿宋" w:hAnsi="仿宋" w:eastAsia="仿宋" w:cs="仿宋"/>
          <w:color w:val="auto"/>
          <w:kern w:val="0"/>
          <w:sz w:val="28"/>
          <w:szCs w:val="28"/>
          <w:highlight w:val="none"/>
          <w:lang w:eastAsia="zh-CN"/>
        </w:rPr>
        <w:t>。</w:t>
      </w:r>
    </w:p>
    <w:p>
      <w:pPr>
        <w:pStyle w:val="18"/>
        <w:adjustRightInd w:val="0"/>
        <w:snapToGrid w:val="0"/>
        <w:spacing w:line="360" w:lineRule="auto"/>
        <w:ind w:left="0" w:leftChars="0"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供应商填写银行交款票据时，必须清晰填写投标单位全称、投标单位开户银行及账号、所投项目采购文件的编号，并对所填写资料的真实性和准确性负责，且与《退保证金说明》的收款单位名称、开户银行和账号一致。否则，有可能造成保证金退还的延误。</w:t>
      </w:r>
    </w:p>
    <w:p>
      <w:pPr>
        <w:pStyle w:val="18"/>
        <w:adjustRightInd w:val="0"/>
        <w:snapToGrid w:val="0"/>
        <w:spacing w:line="360" w:lineRule="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 xml:space="preserve">10.1.2 </w:t>
      </w:r>
      <w:r>
        <w:rPr>
          <w:rFonts w:hint="eastAsia" w:ascii="仿宋" w:hAnsi="仿宋" w:eastAsia="仿宋" w:cs="仿宋"/>
          <w:color w:val="auto"/>
          <w:kern w:val="0"/>
          <w:sz w:val="28"/>
          <w:szCs w:val="28"/>
          <w:highlight w:val="none"/>
          <w:lang w:val="zh-CN"/>
        </w:rPr>
        <w:t xml:space="preserve">投标人以银行保函或投标担保函形式交纳投标保证金的，请于投标截止时间的前将《银行保函》或《投标担保函》发送到代理机构邮箱（2334352795@qq.com），原件开标时需单独递交，其复印件装订在投标文件中。该证明文件有效期必须等于或大于本项目投标有效期，否则为无效。若投标有效期延长的，投标保证金证明文件有效期相应延长，且延长后的有效期应满足前述要求。  </w:t>
      </w:r>
    </w:p>
    <w:p>
      <w:pPr>
        <w:pStyle w:val="18"/>
        <w:numPr>
          <w:ilvl w:val="0"/>
          <w:numId w:val="0"/>
        </w:numPr>
        <w:tabs>
          <w:tab w:val="left" w:pos="72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10.2</w:t>
      </w:r>
      <w:r>
        <w:rPr>
          <w:rFonts w:hint="eastAsia" w:ascii="仿宋" w:hAnsi="仿宋" w:eastAsia="仿宋" w:cs="仿宋"/>
          <w:color w:val="auto"/>
          <w:sz w:val="28"/>
          <w:szCs w:val="28"/>
          <w:highlight w:val="none"/>
        </w:rPr>
        <w:t>凡未按规定交纳磋商保证金的投标，为无效投标。</w:t>
      </w:r>
    </w:p>
    <w:p>
      <w:pPr>
        <w:pStyle w:val="18"/>
        <w:numPr>
          <w:ilvl w:val="0"/>
          <w:numId w:val="0"/>
        </w:numPr>
        <w:tabs>
          <w:tab w:val="left" w:pos="90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10.3</w:t>
      </w:r>
      <w:r>
        <w:rPr>
          <w:rFonts w:hint="eastAsia" w:ascii="仿宋" w:hAnsi="仿宋" w:eastAsia="仿宋" w:cs="仿宋"/>
          <w:color w:val="auto"/>
          <w:sz w:val="28"/>
          <w:szCs w:val="28"/>
          <w:highlight w:val="none"/>
        </w:rPr>
        <w:t>如无质疑或投诉，未中标的响应供应商保证金，在成交通知书发出后五个工作日内不计利息原额退还；如有质疑或投诉，将在质疑和投诉处理完毕后不计利息原额退还。</w:t>
      </w:r>
    </w:p>
    <w:p>
      <w:pPr>
        <w:pStyle w:val="18"/>
        <w:numPr>
          <w:ilvl w:val="0"/>
          <w:numId w:val="0"/>
        </w:numPr>
        <w:tabs>
          <w:tab w:val="left" w:pos="90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10.4</w:t>
      </w:r>
      <w:r>
        <w:rPr>
          <w:rFonts w:hint="eastAsia" w:ascii="仿宋" w:hAnsi="仿宋" w:eastAsia="仿宋" w:cs="仿宋"/>
          <w:color w:val="auto"/>
          <w:sz w:val="28"/>
          <w:szCs w:val="28"/>
          <w:highlight w:val="none"/>
          <w:lang w:val="zh-CN"/>
        </w:rPr>
        <w:t>未中标的投标人上述磋商保证金证明文件原件将在按规定中标结果公告发布后五个工作日内由招标代理退还给未中标的投标人，若投标人未领回上述投标保证金证明文件的，则银行保函（投标担保函）在保障期限到期后自动失效。</w:t>
      </w:r>
      <w:r>
        <w:rPr>
          <w:rFonts w:hint="eastAsia" w:ascii="仿宋" w:hAnsi="仿宋" w:eastAsia="仿宋" w:cs="仿宋"/>
          <w:color w:val="auto"/>
          <w:sz w:val="28"/>
          <w:szCs w:val="28"/>
          <w:highlight w:val="none"/>
        </w:rPr>
        <w:t>成交人的磋商保证金在成交人交纳了成交服务费并与采购人签订了合同，凭合同正本到采购代理机构办理无息退还手续，采购代理机构收到合同后五个工作日内办理退还手续。</w:t>
      </w:r>
      <w:r>
        <w:rPr>
          <w:rFonts w:hint="eastAsia" w:ascii="仿宋" w:hAnsi="仿宋" w:eastAsia="仿宋" w:cs="仿宋"/>
          <w:color w:val="auto"/>
          <w:sz w:val="28"/>
          <w:szCs w:val="28"/>
          <w:highlight w:val="none"/>
          <w:lang w:val="zh-CN"/>
        </w:rPr>
        <w:t xml:space="preserve"> </w:t>
      </w:r>
    </w:p>
    <w:p>
      <w:pPr>
        <w:pStyle w:val="18"/>
        <w:numPr>
          <w:ilvl w:val="0"/>
          <w:numId w:val="0"/>
        </w:numPr>
        <w:tabs>
          <w:tab w:val="left" w:pos="90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10.5</w:t>
      </w:r>
      <w:r>
        <w:rPr>
          <w:rFonts w:hint="eastAsia" w:ascii="仿宋" w:hAnsi="仿宋" w:eastAsia="仿宋" w:cs="仿宋"/>
          <w:color w:val="auto"/>
          <w:sz w:val="28"/>
          <w:szCs w:val="28"/>
          <w:highlight w:val="none"/>
        </w:rPr>
        <w:t>有下列情形之一的，磋商保证金将不予退还：</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10.5.1</w:t>
      </w:r>
      <w:r>
        <w:rPr>
          <w:rFonts w:hint="eastAsia" w:ascii="仿宋" w:hAnsi="仿宋" w:eastAsia="仿宋" w:cs="仿宋"/>
          <w:b w:val="0"/>
          <w:bCs/>
          <w:color w:val="auto"/>
          <w:sz w:val="28"/>
          <w:szCs w:val="28"/>
          <w:highlight w:val="none"/>
        </w:rPr>
        <w:t>供应商在提交响应文件截止时间后撤回响应文件的；</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10.5.2</w:t>
      </w:r>
      <w:r>
        <w:rPr>
          <w:rFonts w:hint="eastAsia" w:ascii="仿宋" w:hAnsi="仿宋" w:eastAsia="仿宋" w:cs="仿宋"/>
          <w:b w:val="0"/>
          <w:bCs/>
          <w:color w:val="auto"/>
          <w:sz w:val="28"/>
          <w:szCs w:val="28"/>
          <w:highlight w:val="none"/>
        </w:rPr>
        <w:t>供应商在响应文件中提供虚假材料的；</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10.5.3</w:t>
      </w:r>
      <w:r>
        <w:rPr>
          <w:rFonts w:hint="eastAsia" w:ascii="仿宋" w:hAnsi="仿宋" w:eastAsia="仿宋" w:cs="仿宋"/>
          <w:b w:val="0"/>
          <w:bCs/>
          <w:color w:val="auto"/>
          <w:sz w:val="28"/>
          <w:szCs w:val="28"/>
          <w:highlight w:val="none"/>
        </w:rPr>
        <w:t>除因不可抗力或磋商文件认可的情形以外，成交供应商不与采购人签订合同的；</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10.5.4</w:t>
      </w:r>
      <w:r>
        <w:rPr>
          <w:rFonts w:hint="eastAsia" w:ascii="仿宋" w:hAnsi="仿宋" w:eastAsia="仿宋" w:cs="仿宋"/>
          <w:b w:val="0"/>
          <w:bCs/>
          <w:color w:val="auto"/>
          <w:sz w:val="28"/>
          <w:szCs w:val="28"/>
          <w:highlight w:val="none"/>
        </w:rPr>
        <w:t>供应商与采购人、其他供应商或者采购代理机构恶意串通的；</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10.5.5</w:t>
      </w:r>
      <w:r>
        <w:rPr>
          <w:rFonts w:hint="eastAsia" w:ascii="仿宋" w:hAnsi="仿宋" w:eastAsia="仿宋" w:cs="仿宋"/>
          <w:b w:val="0"/>
          <w:bCs/>
          <w:color w:val="auto"/>
          <w:sz w:val="28"/>
          <w:szCs w:val="28"/>
          <w:highlight w:val="none"/>
        </w:rPr>
        <w:t>成交供应商未按本磋商文件规定交纳招标代理服务费。</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10.5.6</w:t>
      </w:r>
      <w:r>
        <w:rPr>
          <w:rFonts w:hint="eastAsia" w:ascii="仿宋" w:hAnsi="仿宋" w:eastAsia="仿宋" w:cs="仿宋"/>
          <w:b w:val="0"/>
          <w:bCs/>
          <w:color w:val="auto"/>
          <w:sz w:val="28"/>
          <w:szCs w:val="28"/>
          <w:highlight w:val="none"/>
        </w:rPr>
        <w:t>成交供应商将中标项目转让给他人，或者在报价文件中未说明，且未经采购人同意，违反招标文件规定，将中标项目分包给他人的；</w:t>
      </w:r>
    </w:p>
    <w:p>
      <w:pPr>
        <w:spacing w:line="36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val="0"/>
          <w:bCs/>
          <w:color w:val="auto"/>
          <w:sz w:val="28"/>
          <w:szCs w:val="28"/>
          <w:highlight w:val="none"/>
          <w:lang w:val="en-US" w:eastAsia="zh-CN"/>
        </w:rPr>
        <w:t>10.5.7</w:t>
      </w:r>
      <w:r>
        <w:rPr>
          <w:rFonts w:hint="eastAsia" w:ascii="仿宋" w:hAnsi="仿宋" w:eastAsia="仿宋" w:cs="仿宋"/>
          <w:b w:val="0"/>
          <w:bCs/>
          <w:color w:val="auto"/>
          <w:sz w:val="28"/>
          <w:szCs w:val="28"/>
          <w:highlight w:val="none"/>
        </w:rPr>
        <w:t>磋商文件规定的其他情形。</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六、竞争性磋商响应文件的份数、封装和递交</w:t>
      </w:r>
    </w:p>
    <w:p>
      <w:pPr>
        <w:pStyle w:val="18"/>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r>
        <w:rPr>
          <w:rFonts w:hint="eastAsia" w:ascii="仿宋" w:hAnsi="仿宋" w:eastAsia="仿宋" w:cs="仿宋"/>
          <w:color w:val="auto"/>
          <w:sz w:val="28"/>
          <w:szCs w:val="28"/>
          <w:highlight w:val="none"/>
        </w:rPr>
        <w:t>竞争性磋商响应文件的份数、封装</w:t>
      </w:r>
    </w:p>
    <w:p>
      <w:pPr>
        <w:pStyle w:val="18"/>
        <w:numPr>
          <w:ilvl w:val="0"/>
          <w:numId w:val="3"/>
        </w:numPr>
        <w:tabs>
          <w:tab w:val="left" w:pos="720"/>
          <w:tab w:val="clear" w:pos="1680"/>
        </w:tabs>
        <w:adjustRightInd w:val="0"/>
        <w:snapToGrid w:val="0"/>
        <w:spacing w:line="360" w:lineRule="auto"/>
        <w:ind w:left="720" w:hanging="72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响应供应商</w:t>
      </w:r>
      <w:r>
        <w:rPr>
          <w:rFonts w:hint="eastAsia" w:ascii="仿宋" w:hAnsi="仿宋" w:eastAsia="仿宋" w:cs="仿宋"/>
          <w:color w:val="auto"/>
          <w:kern w:val="0"/>
          <w:sz w:val="28"/>
          <w:szCs w:val="28"/>
          <w:highlight w:val="none"/>
        </w:rPr>
        <w:t>编制的响应文件构成和份数：</w:t>
      </w:r>
    </w:p>
    <w:p>
      <w:pPr>
        <w:pStyle w:val="18"/>
        <w:numPr>
          <w:ilvl w:val="-1"/>
          <w:numId w:val="0"/>
        </w:numPr>
        <w:tabs>
          <w:tab w:val="left" w:pos="720"/>
        </w:tabs>
        <w:adjustRightInd w:val="0"/>
        <w:snapToGrid w:val="0"/>
        <w:spacing w:line="360" w:lineRule="auto"/>
        <w:ind w:leftChars="0"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响应文件</w:t>
      </w:r>
      <w:r>
        <w:rPr>
          <w:rFonts w:hint="eastAsia" w:ascii="仿宋" w:hAnsi="仿宋" w:eastAsia="仿宋" w:cs="仿宋"/>
          <w:b/>
          <w:bCs/>
          <w:color w:val="auto"/>
          <w:kern w:val="0"/>
          <w:sz w:val="28"/>
          <w:szCs w:val="28"/>
          <w:highlight w:val="none"/>
          <w:u w:val="single"/>
        </w:rPr>
        <w:t>一式</w:t>
      </w:r>
      <w:r>
        <w:rPr>
          <w:rFonts w:hint="eastAsia" w:ascii="仿宋" w:hAnsi="仿宋" w:eastAsia="仿宋" w:cs="仿宋"/>
          <w:b/>
          <w:bCs/>
          <w:color w:val="auto"/>
          <w:kern w:val="0"/>
          <w:sz w:val="28"/>
          <w:szCs w:val="28"/>
          <w:highlight w:val="none"/>
          <w:u w:val="single"/>
          <w:lang w:val="en-US" w:eastAsia="zh-CN"/>
        </w:rPr>
        <w:t>三</w:t>
      </w:r>
      <w:r>
        <w:rPr>
          <w:rFonts w:hint="eastAsia" w:ascii="仿宋" w:hAnsi="仿宋" w:eastAsia="仿宋" w:cs="仿宋"/>
          <w:b/>
          <w:bCs/>
          <w:color w:val="auto"/>
          <w:kern w:val="0"/>
          <w:sz w:val="28"/>
          <w:szCs w:val="28"/>
          <w:highlight w:val="none"/>
          <w:u w:val="single"/>
        </w:rPr>
        <w:t>份</w:t>
      </w:r>
      <w:r>
        <w:rPr>
          <w:rFonts w:hint="eastAsia" w:ascii="仿宋" w:hAnsi="仿宋" w:eastAsia="仿宋" w:cs="仿宋"/>
          <w:color w:val="auto"/>
          <w:kern w:val="0"/>
          <w:sz w:val="28"/>
          <w:szCs w:val="28"/>
          <w:highlight w:val="none"/>
        </w:rPr>
        <w:t>，其中</w:t>
      </w:r>
      <w:r>
        <w:rPr>
          <w:rFonts w:hint="eastAsia" w:ascii="仿宋" w:hAnsi="仿宋" w:eastAsia="仿宋" w:cs="仿宋"/>
          <w:b/>
          <w:bCs/>
          <w:color w:val="auto"/>
          <w:kern w:val="0"/>
          <w:sz w:val="28"/>
          <w:szCs w:val="28"/>
          <w:highlight w:val="none"/>
          <w:u w:val="single"/>
        </w:rPr>
        <w:t>正本一份和副本</w:t>
      </w:r>
      <w:r>
        <w:rPr>
          <w:rFonts w:hint="eastAsia" w:ascii="仿宋" w:hAnsi="仿宋" w:eastAsia="仿宋" w:cs="仿宋"/>
          <w:b/>
          <w:bCs/>
          <w:color w:val="auto"/>
          <w:kern w:val="0"/>
          <w:sz w:val="28"/>
          <w:szCs w:val="28"/>
          <w:highlight w:val="none"/>
          <w:u w:val="single"/>
          <w:lang w:val="en-US" w:eastAsia="zh-CN"/>
        </w:rPr>
        <w:t>二</w:t>
      </w:r>
      <w:r>
        <w:rPr>
          <w:rFonts w:hint="eastAsia" w:ascii="仿宋" w:hAnsi="仿宋" w:eastAsia="仿宋" w:cs="仿宋"/>
          <w:b/>
          <w:bCs/>
          <w:color w:val="auto"/>
          <w:kern w:val="0"/>
          <w:sz w:val="28"/>
          <w:szCs w:val="28"/>
          <w:highlight w:val="none"/>
          <w:u w:val="single"/>
        </w:rPr>
        <w:t>份</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正本和副本密封在同一包装袋；</w:t>
      </w:r>
    </w:p>
    <w:p>
      <w:pPr>
        <w:pStyle w:val="18"/>
        <w:tabs>
          <w:tab w:val="left" w:pos="720"/>
        </w:tabs>
        <w:adjustRightInd w:val="0"/>
        <w:snapToGrid w:val="0"/>
        <w:spacing w:line="360" w:lineRule="auto"/>
        <w:ind w:left="0" w:leftChars="0"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b w:val="0"/>
          <w:bCs w:val="0"/>
          <w:color w:val="auto"/>
          <w:kern w:val="0"/>
          <w:sz w:val="28"/>
          <w:szCs w:val="28"/>
          <w:highlight w:val="none"/>
          <w:lang w:val="en-US" w:eastAsia="zh-CN"/>
        </w:rPr>
        <w:t>2</w:t>
      </w:r>
      <w:r>
        <w:rPr>
          <w:rFonts w:hint="eastAsia" w:ascii="仿宋" w:hAnsi="仿宋" w:eastAsia="仿宋" w:cs="仿宋"/>
          <w:b w:val="0"/>
          <w:bCs w:val="0"/>
          <w:color w:val="auto"/>
          <w:kern w:val="0"/>
          <w:sz w:val="28"/>
          <w:szCs w:val="28"/>
          <w:highlight w:val="none"/>
        </w:rPr>
        <w:t>)不作任何加密的</w:t>
      </w:r>
      <w:r>
        <w:rPr>
          <w:rFonts w:hint="eastAsia" w:ascii="仿宋" w:hAnsi="仿宋" w:eastAsia="仿宋" w:cs="仿宋"/>
          <w:b w:val="0"/>
          <w:bCs w:val="0"/>
          <w:color w:val="auto"/>
          <w:kern w:val="0"/>
          <w:sz w:val="28"/>
          <w:szCs w:val="28"/>
          <w:highlight w:val="none"/>
          <w:lang w:val="en-US" w:eastAsia="zh-CN"/>
        </w:rPr>
        <w:t>响应</w:t>
      </w:r>
      <w:r>
        <w:rPr>
          <w:rFonts w:hint="eastAsia" w:ascii="仿宋" w:hAnsi="仿宋" w:eastAsia="仿宋" w:cs="仿宋"/>
          <w:b w:val="0"/>
          <w:bCs w:val="0"/>
          <w:color w:val="auto"/>
          <w:kern w:val="0"/>
          <w:sz w:val="28"/>
          <w:szCs w:val="28"/>
          <w:highlight w:val="none"/>
        </w:rPr>
        <w:t>电子文档一份（电子文档应是全套投标文件有效的、未经压缩处理的电子版本，其文字、表格、图表应以 WORD、EXCEL 软件编写，并以 U 盘为载体提交，无论中标与否都</w:t>
      </w:r>
      <w:r>
        <w:rPr>
          <w:rFonts w:hint="eastAsia" w:ascii="仿宋" w:hAnsi="仿宋" w:eastAsia="仿宋" w:cs="仿宋"/>
          <w:b w:val="0"/>
          <w:bCs w:val="0"/>
          <w:color w:val="auto"/>
          <w:kern w:val="0"/>
          <w:sz w:val="28"/>
          <w:szCs w:val="28"/>
          <w:highlight w:val="none"/>
          <w:lang w:val="en-US" w:eastAsia="zh-CN"/>
        </w:rPr>
        <w:t>不予</w:t>
      </w:r>
      <w:r>
        <w:rPr>
          <w:rFonts w:hint="eastAsia" w:ascii="仿宋" w:hAnsi="仿宋" w:eastAsia="仿宋" w:cs="仿宋"/>
          <w:b w:val="0"/>
          <w:bCs w:val="0"/>
          <w:color w:val="auto"/>
          <w:kern w:val="0"/>
          <w:sz w:val="28"/>
          <w:szCs w:val="28"/>
          <w:highlight w:val="none"/>
        </w:rPr>
        <w:t>退还），</w:t>
      </w:r>
      <w:r>
        <w:rPr>
          <w:rFonts w:hint="eastAsia" w:ascii="仿宋" w:hAnsi="仿宋" w:eastAsia="仿宋" w:cs="仿宋"/>
          <w:b w:val="0"/>
          <w:bCs w:val="0"/>
          <w:color w:val="auto"/>
          <w:kern w:val="0"/>
          <w:sz w:val="28"/>
          <w:szCs w:val="28"/>
          <w:highlight w:val="none"/>
          <w:lang w:val="en-US" w:eastAsia="zh-CN"/>
        </w:rPr>
        <w:t>并单独密封。</w:t>
      </w:r>
      <w:r>
        <w:rPr>
          <w:rFonts w:hint="eastAsia" w:ascii="仿宋" w:hAnsi="仿宋" w:eastAsia="仿宋" w:cs="仿宋"/>
          <w:b w:val="0"/>
          <w:bCs w:val="0"/>
          <w:color w:val="auto"/>
          <w:kern w:val="0"/>
          <w:sz w:val="28"/>
          <w:szCs w:val="28"/>
          <w:highlight w:val="none"/>
        </w:rPr>
        <w:t>若电子文档与书面投标文件有不一致时，以正本书面投标文件为准。</w:t>
      </w:r>
    </w:p>
    <w:p>
      <w:pPr>
        <w:pStyle w:val="18"/>
        <w:numPr>
          <w:ilvl w:val="0"/>
          <w:numId w:val="0"/>
        </w:numPr>
        <w:tabs>
          <w:tab w:val="left" w:pos="900"/>
        </w:tabs>
        <w:adjustRightInd w:val="0"/>
        <w:snapToGrid w:val="0"/>
        <w:spacing w:line="360" w:lineRule="auto"/>
        <w:ind w:left="0" w:firstLine="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11.2</w:t>
      </w:r>
      <w:r>
        <w:rPr>
          <w:rFonts w:hint="eastAsia" w:ascii="仿宋" w:hAnsi="仿宋" w:eastAsia="仿宋" w:cs="仿宋"/>
          <w:color w:val="auto"/>
          <w:kern w:val="0"/>
          <w:sz w:val="28"/>
          <w:szCs w:val="28"/>
          <w:highlight w:val="none"/>
        </w:rPr>
        <w:t>响应文件的副本可采用正本的复印件。每套响应文件须清楚地标明 “正本”、“副本”。若副本与正本不符，以正本为准。</w:t>
      </w:r>
    </w:p>
    <w:p>
      <w:pPr>
        <w:pStyle w:val="18"/>
        <w:numPr>
          <w:ilvl w:val="0"/>
          <w:numId w:val="0"/>
        </w:numPr>
        <w:tabs>
          <w:tab w:val="left" w:pos="900"/>
        </w:tabs>
        <w:adjustRightInd w:val="0"/>
        <w:snapToGrid w:val="0"/>
        <w:spacing w:line="360" w:lineRule="auto"/>
        <w:ind w:left="0" w:firstLine="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11.3</w:t>
      </w:r>
      <w:r>
        <w:rPr>
          <w:rFonts w:hint="eastAsia" w:ascii="仿宋" w:hAnsi="仿宋" w:eastAsia="仿宋" w:cs="仿宋"/>
          <w:color w:val="auto"/>
          <w:kern w:val="0"/>
          <w:sz w:val="28"/>
          <w:szCs w:val="28"/>
          <w:highlight w:val="none"/>
        </w:rPr>
        <w:t>响应文件的正本需打印或用不褪色墨水书写，并由法定代表人或经其正式授权的代表在规定签名处签字。授权代表须出具书面授权证明，其《法定代表人授权书》应附在响应文件中。</w:t>
      </w:r>
    </w:p>
    <w:p>
      <w:pPr>
        <w:pStyle w:val="18"/>
        <w:numPr>
          <w:ilvl w:val="0"/>
          <w:numId w:val="0"/>
        </w:numPr>
        <w:tabs>
          <w:tab w:val="left" w:pos="900"/>
        </w:tabs>
        <w:adjustRightInd w:val="0"/>
        <w:snapToGrid w:val="0"/>
        <w:spacing w:line="360" w:lineRule="auto"/>
        <w:ind w:left="0" w:firstLine="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11.4</w:t>
      </w:r>
      <w:r>
        <w:rPr>
          <w:rFonts w:hint="eastAsia" w:ascii="仿宋" w:hAnsi="仿宋" w:eastAsia="仿宋" w:cs="仿宋"/>
          <w:color w:val="auto"/>
          <w:kern w:val="0"/>
          <w:sz w:val="28"/>
          <w:szCs w:val="28"/>
          <w:highlight w:val="none"/>
        </w:rPr>
        <w:t>响应文件中的任何重要的插字、涂改和增删，必须由法定代表人或经其正式授权的代表在旁边签章或签字才有效。</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12.竞争性磋商响应文件的递交</w:t>
      </w:r>
    </w:p>
    <w:p>
      <w:pPr>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12.1</w:t>
      </w:r>
      <w:r>
        <w:rPr>
          <w:rFonts w:hint="eastAsia" w:ascii="仿宋" w:hAnsi="仿宋" w:eastAsia="仿宋" w:cs="仿宋"/>
          <w:color w:val="auto"/>
          <w:sz w:val="28"/>
          <w:szCs w:val="28"/>
          <w:highlight w:val="none"/>
        </w:rPr>
        <w:t>所有竞争性磋商响应文件应于第一部分《磋商邀请函》中规定的截止时点前递交到</w:t>
      </w:r>
      <w:r>
        <w:rPr>
          <w:rFonts w:hint="eastAsia" w:ascii="仿宋" w:hAnsi="仿宋" w:eastAsia="仿宋" w:cs="仿宋"/>
          <w:color w:val="auto"/>
          <w:kern w:val="0"/>
          <w:sz w:val="28"/>
          <w:szCs w:val="28"/>
          <w:highlight w:val="none"/>
          <w:u w:val="single"/>
        </w:rPr>
        <w:t>惠州公信项目管理有限公司</w:t>
      </w:r>
      <w:r>
        <w:rPr>
          <w:rFonts w:hint="eastAsia" w:ascii="仿宋" w:hAnsi="仿宋" w:eastAsia="仿宋" w:cs="仿宋"/>
          <w:color w:val="auto"/>
          <w:sz w:val="28"/>
          <w:szCs w:val="28"/>
          <w:highlight w:val="none"/>
        </w:rPr>
        <w:t>。</w:t>
      </w: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kern w:val="0"/>
          <w:sz w:val="28"/>
          <w:szCs w:val="28"/>
          <w:highlight w:val="none"/>
        </w:rPr>
        <w:t>信封或外包装上请按以下格式标记：</w:t>
      </w: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line">
                  <wp:posOffset>102235</wp:posOffset>
                </wp:positionV>
                <wp:extent cx="5257800" cy="2646045"/>
                <wp:effectExtent l="7620" t="7620" r="11430" b="13335"/>
                <wp:wrapNone/>
                <wp:docPr id="3" name="文本框 2"/>
                <wp:cNvGraphicFramePr/>
                <a:graphic xmlns:a="http://schemas.openxmlformats.org/drawingml/2006/main">
                  <a:graphicData uri="http://schemas.microsoft.com/office/word/2010/wordprocessingShape">
                    <wps:wsp>
                      <wps:cNvSpPr txBox="1"/>
                      <wps:spPr>
                        <a:xfrm>
                          <a:off x="0" y="0"/>
                          <a:ext cx="5257800" cy="2646045"/>
                        </a:xfrm>
                        <a:prstGeom prst="rect">
                          <a:avLst/>
                        </a:prstGeom>
                        <a:noFill/>
                        <a:ln w="15875" cap="flat" cmpd="sng">
                          <a:solidFill>
                            <a:srgbClr val="000080"/>
                          </a:solidFill>
                          <a:prstDash val="solid"/>
                          <a:miter/>
                          <a:headEnd type="none" w="med" len="med"/>
                          <a:tailEnd type="none" w="med" len="med"/>
                        </a:ln>
                      </wps:spPr>
                      <wps:txbx>
                        <w:txbxContent>
                          <w:p>
                            <w:pPr>
                              <w:spacing w:line="360" w:lineRule="auto"/>
                              <w:ind w:firstLine="0" w:firstLineChars="0"/>
                              <w:jc w:val="center"/>
                              <w:rPr>
                                <w:rFonts w:hint="eastAsia" w:ascii="华文新魏" w:hAnsi="宋体" w:eastAsia="华文新魏"/>
                                <w:sz w:val="32"/>
                                <w:szCs w:val="32"/>
                              </w:rPr>
                            </w:pPr>
                            <w:r>
                              <w:rPr>
                                <w:rFonts w:hint="eastAsia" w:ascii="华文新魏" w:hAnsi="宋体" w:eastAsia="华文新魏"/>
                                <w:sz w:val="32"/>
                                <w:szCs w:val="32"/>
                              </w:rPr>
                              <w:t>正本/副本</w:t>
                            </w:r>
                          </w:p>
                          <w:p>
                            <w:pPr>
                              <w:spacing w:line="360" w:lineRule="auto"/>
                              <w:ind w:firstLine="619" w:firstLineChars="257"/>
                              <w:rPr>
                                <w:rFonts w:hint="eastAsia" w:ascii="宋体" w:hAnsi="宋体"/>
                                <w:b/>
                                <w:sz w:val="24"/>
                              </w:rPr>
                            </w:pPr>
                            <w:r>
                              <w:rPr>
                                <w:rFonts w:hint="eastAsia" w:ascii="宋体" w:hAnsi="宋体"/>
                                <w:b/>
                                <w:sz w:val="24"/>
                              </w:rPr>
                              <w:t>收件人名称：惠州公信项目管理有限公司</w:t>
                            </w:r>
                          </w:p>
                          <w:p>
                            <w:pPr>
                              <w:spacing w:line="360" w:lineRule="auto"/>
                              <w:ind w:firstLine="619" w:firstLineChars="257"/>
                              <w:rPr>
                                <w:rFonts w:hint="eastAsia" w:ascii="宋体" w:hAnsi="宋体"/>
                                <w:b/>
                                <w:sz w:val="24"/>
                              </w:rPr>
                            </w:pPr>
                            <w:r>
                              <w:rPr>
                                <w:rFonts w:hint="eastAsia" w:ascii="宋体" w:hAnsi="宋体"/>
                                <w:b/>
                                <w:sz w:val="24"/>
                              </w:rPr>
                              <w:t>项目名称：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项目编号：</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报价人地址：</w:t>
                            </w:r>
                            <w:r>
                              <w:rPr>
                                <w:rFonts w:hint="eastAsia" w:ascii="宋体" w:hAnsi="宋体"/>
                                <w:b/>
                                <w:szCs w:val="21"/>
                              </w:rPr>
                              <w:t>＿＿＿＿＿＿＿＿＿＿＿＿</w:t>
                            </w:r>
                            <w:r>
                              <w:rPr>
                                <w:rFonts w:hint="eastAsia" w:ascii="宋体" w:hAnsi="宋体"/>
                                <w:b/>
                                <w:sz w:val="24"/>
                              </w:rPr>
                              <w:t>邮政编码：</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联 系 人：</w:t>
                            </w:r>
                            <w:r>
                              <w:rPr>
                                <w:rFonts w:hint="eastAsia" w:ascii="宋体" w:hAnsi="宋体"/>
                                <w:b/>
                                <w:szCs w:val="21"/>
                              </w:rPr>
                              <w:t>＿＿＿＿＿＿＿＿＿＿＿＿＿</w:t>
                            </w:r>
                            <w:r>
                              <w:rPr>
                                <w:rFonts w:hint="eastAsia" w:ascii="宋体" w:hAnsi="宋体"/>
                                <w:b/>
                                <w:sz w:val="24"/>
                              </w:rPr>
                              <w:t>联系电话：</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于</w:t>
                            </w:r>
                            <w:r>
                              <w:rPr>
                                <w:rFonts w:hint="eastAsia" w:ascii="宋体" w:hAnsi="宋体"/>
                                <w:b/>
                                <w:szCs w:val="21"/>
                              </w:rPr>
                              <w:t>＿＿＿</w:t>
                            </w:r>
                            <w:r>
                              <w:rPr>
                                <w:rFonts w:hint="eastAsia" w:ascii="宋体" w:hAnsi="宋体"/>
                                <w:b/>
                                <w:sz w:val="24"/>
                              </w:rPr>
                              <w:t>年</w:t>
                            </w:r>
                            <w:r>
                              <w:rPr>
                                <w:rFonts w:hint="eastAsia" w:ascii="宋体" w:hAnsi="宋体"/>
                                <w:b/>
                                <w:szCs w:val="21"/>
                              </w:rPr>
                              <w:t>＿＿</w:t>
                            </w:r>
                            <w:r>
                              <w:rPr>
                                <w:rFonts w:hint="eastAsia" w:ascii="宋体" w:hAnsi="宋体"/>
                                <w:b/>
                                <w:sz w:val="24"/>
                              </w:rPr>
                              <w:t>月</w:t>
                            </w:r>
                            <w:r>
                              <w:rPr>
                                <w:rFonts w:hint="eastAsia" w:ascii="宋体" w:hAnsi="宋体"/>
                                <w:b/>
                                <w:szCs w:val="21"/>
                              </w:rPr>
                              <w:t>＿＿</w:t>
                            </w:r>
                            <w:r>
                              <w:rPr>
                                <w:rFonts w:hint="eastAsia" w:ascii="宋体" w:hAnsi="宋体"/>
                                <w:b/>
                                <w:sz w:val="24"/>
                              </w:rPr>
                              <w:t>日</w:t>
                            </w:r>
                            <w:r>
                              <w:rPr>
                                <w:rFonts w:hint="eastAsia" w:ascii="宋体" w:hAnsi="宋体"/>
                                <w:b/>
                                <w:szCs w:val="21"/>
                              </w:rPr>
                              <w:t>＿＿</w:t>
                            </w:r>
                            <w:r>
                              <w:rPr>
                                <w:rFonts w:hint="eastAsia" w:ascii="宋体" w:hAnsi="宋体"/>
                                <w:b/>
                                <w:sz w:val="24"/>
                              </w:rPr>
                              <w:t>时</w:t>
                            </w:r>
                            <w:r>
                              <w:rPr>
                                <w:rFonts w:hint="eastAsia" w:ascii="宋体" w:hAnsi="宋体"/>
                                <w:b/>
                                <w:szCs w:val="21"/>
                              </w:rPr>
                              <w:t>＿＿</w:t>
                            </w:r>
                            <w:r>
                              <w:rPr>
                                <w:rFonts w:hint="eastAsia" w:ascii="宋体" w:hAnsi="宋体"/>
                                <w:b/>
                                <w:sz w:val="24"/>
                              </w:rPr>
                              <w:t>分之前不准启封（即投标截止时间）</w:t>
                            </w:r>
                          </w:p>
                          <w:p>
                            <w:pPr>
                              <w:ind w:firstLine="539" w:firstLineChars="257"/>
                              <w:rPr>
                                <w:rFonts w:hint="eastAsia"/>
                              </w:rPr>
                            </w:pPr>
                          </w:p>
                          <w:p>
                            <w:pPr>
                              <w:ind w:firstLine="539" w:firstLineChars="257"/>
                            </w:pPr>
                          </w:p>
                        </w:txbxContent>
                      </wps:txbx>
                      <wps:bodyPr wrap="square" upright="1"/>
                    </wps:wsp>
                  </a:graphicData>
                </a:graphic>
              </wp:anchor>
            </w:drawing>
          </mc:Choice>
          <mc:Fallback>
            <w:pict>
              <v:shape id="文本框 2" o:spid="_x0000_s1026" o:spt="202" type="#_x0000_t202" style="position:absolute;left:0pt;margin-left:36pt;margin-top:8.05pt;height:208.35pt;width:414pt;mso-position-vertical-relative:line;z-index:251661312;mso-width-relative:page;mso-height-relative:page;" filled="f" stroked="t" coordsize="21600,21600" o:gfxdata="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88B2fXAAAACQEAAA8AAAAAAAAA&#10;AQAgAAAAIgAAAGRycy9kb3ducmV2LnhtbFBLAQIUABQAAAAIAIdO4kDczEr/EgIAAB0EAAAOAAAA&#10;AAAAAAEAIAAAACYBAABkcnMvZTJvRG9jLnhtbFBLBQYAAAAABgAGAFkBAACqBQAAAAA=&#10;">
                <v:fill on="f" focussize="0,0"/>
                <v:stroke weight="1.25pt" color="#000080" joinstyle="miter"/>
                <v:imagedata o:title=""/>
                <o:lock v:ext="edit" aspectratio="f"/>
                <v:textbox>
                  <w:txbxContent>
                    <w:p>
                      <w:pPr>
                        <w:spacing w:line="360" w:lineRule="auto"/>
                        <w:ind w:firstLine="0" w:firstLineChars="0"/>
                        <w:jc w:val="center"/>
                        <w:rPr>
                          <w:rFonts w:hint="eastAsia" w:ascii="华文新魏" w:hAnsi="宋体" w:eastAsia="华文新魏"/>
                          <w:sz w:val="32"/>
                          <w:szCs w:val="32"/>
                        </w:rPr>
                      </w:pPr>
                      <w:r>
                        <w:rPr>
                          <w:rFonts w:hint="eastAsia" w:ascii="华文新魏" w:hAnsi="宋体" w:eastAsia="华文新魏"/>
                          <w:sz w:val="32"/>
                          <w:szCs w:val="32"/>
                        </w:rPr>
                        <w:t>正本/副本</w:t>
                      </w:r>
                    </w:p>
                    <w:p>
                      <w:pPr>
                        <w:spacing w:line="360" w:lineRule="auto"/>
                        <w:ind w:firstLine="619" w:firstLineChars="257"/>
                        <w:rPr>
                          <w:rFonts w:hint="eastAsia" w:ascii="宋体" w:hAnsi="宋体"/>
                          <w:b/>
                          <w:sz w:val="24"/>
                        </w:rPr>
                      </w:pPr>
                      <w:r>
                        <w:rPr>
                          <w:rFonts w:hint="eastAsia" w:ascii="宋体" w:hAnsi="宋体"/>
                          <w:b/>
                          <w:sz w:val="24"/>
                        </w:rPr>
                        <w:t>收件人名称：惠州公信项目管理有限公司</w:t>
                      </w:r>
                    </w:p>
                    <w:p>
                      <w:pPr>
                        <w:spacing w:line="360" w:lineRule="auto"/>
                        <w:ind w:firstLine="619" w:firstLineChars="257"/>
                        <w:rPr>
                          <w:rFonts w:hint="eastAsia" w:ascii="宋体" w:hAnsi="宋体"/>
                          <w:b/>
                          <w:sz w:val="24"/>
                        </w:rPr>
                      </w:pPr>
                      <w:r>
                        <w:rPr>
                          <w:rFonts w:hint="eastAsia" w:ascii="宋体" w:hAnsi="宋体"/>
                          <w:b/>
                          <w:sz w:val="24"/>
                        </w:rPr>
                        <w:t>项目名称：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项目编号：</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报价人地址：</w:t>
                      </w:r>
                      <w:r>
                        <w:rPr>
                          <w:rFonts w:hint="eastAsia" w:ascii="宋体" w:hAnsi="宋体"/>
                          <w:b/>
                          <w:szCs w:val="21"/>
                        </w:rPr>
                        <w:t>＿＿＿＿＿＿＿＿＿＿＿＿</w:t>
                      </w:r>
                      <w:r>
                        <w:rPr>
                          <w:rFonts w:hint="eastAsia" w:ascii="宋体" w:hAnsi="宋体"/>
                          <w:b/>
                          <w:sz w:val="24"/>
                        </w:rPr>
                        <w:t>邮政编码：</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联 系 人：</w:t>
                      </w:r>
                      <w:r>
                        <w:rPr>
                          <w:rFonts w:hint="eastAsia" w:ascii="宋体" w:hAnsi="宋体"/>
                          <w:b/>
                          <w:szCs w:val="21"/>
                        </w:rPr>
                        <w:t>＿＿＿＿＿＿＿＿＿＿＿＿＿</w:t>
                      </w:r>
                      <w:r>
                        <w:rPr>
                          <w:rFonts w:hint="eastAsia" w:ascii="宋体" w:hAnsi="宋体"/>
                          <w:b/>
                          <w:sz w:val="24"/>
                        </w:rPr>
                        <w:t>联系电话：</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于</w:t>
                      </w:r>
                      <w:r>
                        <w:rPr>
                          <w:rFonts w:hint="eastAsia" w:ascii="宋体" w:hAnsi="宋体"/>
                          <w:b/>
                          <w:szCs w:val="21"/>
                        </w:rPr>
                        <w:t>＿＿＿</w:t>
                      </w:r>
                      <w:r>
                        <w:rPr>
                          <w:rFonts w:hint="eastAsia" w:ascii="宋体" w:hAnsi="宋体"/>
                          <w:b/>
                          <w:sz w:val="24"/>
                        </w:rPr>
                        <w:t>年</w:t>
                      </w:r>
                      <w:r>
                        <w:rPr>
                          <w:rFonts w:hint="eastAsia" w:ascii="宋体" w:hAnsi="宋体"/>
                          <w:b/>
                          <w:szCs w:val="21"/>
                        </w:rPr>
                        <w:t>＿＿</w:t>
                      </w:r>
                      <w:r>
                        <w:rPr>
                          <w:rFonts w:hint="eastAsia" w:ascii="宋体" w:hAnsi="宋体"/>
                          <w:b/>
                          <w:sz w:val="24"/>
                        </w:rPr>
                        <w:t>月</w:t>
                      </w:r>
                      <w:r>
                        <w:rPr>
                          <w:rFonts w:hint="eastAsia" w:ascii="宋体" w:hAnsi="宋体"/>
                          <w:b/>
                          <w:szCs w:val="21"/>
                        </w:rPr>
                        <w:t>＿＿</w:t>
                      </w:r>
                      <w:r>
                        <w:rPr>
                          <w:rFonts w:hint="eastAsia" w:ascii="宋体" w:hAnsi="宋体"/>
                          <w:b/>
                          <w:sz w:val="24"/>
                        </w:rPr>
                        <w:t>日</w:t>
                      </w:r>
                      <w:r>
                        <w:rPr>
                          <w:rFonts w:hint="eastAsia" w:ascii="宋体" w:hAnsi="宋体"/>
                          <w:b/>
                          <w:szCs w:val="21"/>
                        </w:rPr>
                        <w:t>＿＿</w:t>
                      </w:r>
                      <w:r>
                        <w:rPr>
                          <w:rFonts w:hint="eastAsia" w:ascii="宋体" w:hAnsi="宋体"/>
                          <w:b/>
                          <w:sz w:val="24"/>
                        </w:rPr>
                        <w:t>时</w:t>
                      </w:r>
                      <w:r>
                        <w:rPr>
                          <w:rFonts w:hint="eastAsia" w:ascii="宋体" w:hAnsi="宋体"/>
                          <w:b/>
                          <w:szCs w:val="21"/>
                        </w:rPr>
                        <w:t>＿＿</w:t>
                      </w:r>
                      <w:r>
                        <w:rPr>
                          <w:rFonts w:hint="eastAsia" w:ascii="宋体" w:hAnsi="宋体"/>
                          <w:b/>
                          <w:sz w:val="24"/>
                        </w:rPr>
                        <w:t>分之前不准启封（即投标截止时间）</w:t>
                      </w:r>
                    </w:p>
                    <w:p>
                      <w:pPr>
                        <w:ind w:firstLine="539" w:firstLineChars="257"/>
                        <w:rPr>
                          <w:rFonts w:hint="eastAsia"/>
                        </w:rPr>
                      </w:pPr>
                    </w:p>
                    <w:p>
                      <w:pPr>
                        <w:ind w:firstLine="539" w:firstLineChars="257"/>
                      </w:pPr>
                    </w:p>
                  </w:txbxContent>
                </v:textbox>
              </v:shape>
            </w:pict>
          </mc:Fallback>
        </mc:AlternateContent>
      </w: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spacing w:line="360" w:lineRule="auto"/>
        <w:ind w:left="701" w:leftChars="334" w:firstLine="280" w:firstLineChars="1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注意：封口处应加盖报价人印章</w:t>
      </w:r>
      <w:r>
        <w:rPr>
          <w:rFonts w:hint="eastAsia" w:ascii="仿宋" w:hAnsi="仿宋" w:eastAsia="仿宋" w:cs="仿宋"/>
          <w:color w:val="auto"/>
          <w:kern w:val="0"/>
          <w:sz w:val="28"/>
          <w:szCs w:val="28"/>
          <w:highlight w:val="none"/>
        </w:rPr>
        <w:t>。</w:t>
      </w:r>
    </w:p>
    <w:p>
      <w:pPr>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如果未按要求密封和标记，</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对误投或提前启封概不负责。</w:t>
      </w:r>
    </w:p>
    <w:p>
      <w:pPr>
        <w:spacing w:line="360" w:lineRule="auto"/>
        <w:ind w:left="-1"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12.4迟交的竞争性磋商响应文件，按《政府采购法》的规定，</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将拒收或原封退回在其规定的递交竞争性磋商响应文件截止时点之后收到的任何竞争性磋商响应文件。</w:t>
      </w:r>
    </w:p>
    <w:p>
      <w:pPr>
        <w:pStyle w:val="18"/>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七、磋商文件的澄清或修改</w:t>
      </w:r>
    </w:p>
    <w:p>
      <w:pPr>
        <w:pStyle w:val="18"/>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13.磋商文件的澄清或修改</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 任何要求对磋商文件进行澄清的响应供应商，均应以书面形式在磋商文件规定的谈判响应文件递交截止日以前通知采购代理机构。</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将组织采购人对响应供应商所要求澄清的内容以书面形式予以答复。必要时，</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将组织相关专家召开答疑会，会议内容或以书面的形式发给每个购买磋商文件的潜在响应供应商（答复中不包括问题的来源）。</w:t>
      </w:r>
    </w:p>
    <w:p>
      <w:pPr>
        <w:pStyle w:val="18"/>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w:t>
      </w: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z w:val="28"/>
          <w:szCs w:val="28"/>
          <w:highlight w:val="none"/>
        </w:rPr>
        <w:t>响应供应商</w:t>
      </w:r>
      <w:r>
        <w:rPr>
          <w:rFonts w:hint="eastAsia" w:ascii="仿宋" w:hAnsi="仿宋" w:eastAsia="仿宋" w:cs="仿宋"/>
          <w:color w:val="auto"/>
          <w:spacing w:val="-6"/>
          <w:sz w:val="28"/>
          <w:szCs w:val="28"/>
          <w:highlight w:val="none"/>
        </w:rPr>
        <w:t>在规定的时间内未</w:t>
      </w:r>
      <w:r>
        <w:rPr>
          <w:rFonts w:hint="eastAsia" w:ascii="仿宋" w:hAnsi="仿宋" w:eastAsia="仿宋" w:cs="仿宋"/>
          <w:color w:val="auto"/>
          <w:spacing w:val="-6"/>
          <w:sz w:val="28"/>
          <w:szCs w:val="28"/>
          <w:highlight w:val="none"/>
          <w:lang w:val="en-US" w:eastAsia="zh-CN"/>
        </w:rPr>
        <w:t>按</w:t>
      </w:r>
      <w:r>
        <w:rPr>
          <w:rFonts w:hint="eastAsia" w:ascii="仿宋" w:hAnsi="仿宋" w:eastAsia="仿宋" w:cs="仿宋"/>
          <w:color w:val="auto"/>
          <w:spacing w:val="-6"/>
          <w:sz w:val="28"/>
          <w:szCs w:val="28"/>
          <w:highlight w:val="none"/>
        </w:rPr>
        <w:t>要求对</w:t>
      </w:r>
      <w:r>
        <w:rPr>
          <w:rFonts w:hint="eastAsia" w:ascii="仿宋" w:hAnsi="仿宋" w:eastAsia="仿宋" w:cs="仿宋"/>
          <w:color w:val="auto"/>
          <w:sz w:val="28"/>
          <w:szCs w:val="28"/>
          <w:highlight w:val="none"/>
        </w:rPr>
        <w:t>磋商文件</w:t>
      </w:r>
      <w:r>
        <w:rPr>
          <w:rFonts w:hint="eastAsia" w:ascii="仿宋" w:hAnsi="仿宋" w:eastAsia="仿宋" w:cs="仿宋"/>
          <w:color w:val="auto"/>
          <w:spacing w:val="-6"/>
          <w:sz w:val="28"/>
          <w:szCs w:val="28"/>
          <w:highlight w:val="none"/>
        </w:rPr>
        <w:t>澄清或提出疑问的，</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w:t>
      </w:r>
      <w:r>
        <w:rPr>
          <w:rFonts w:hint="eastAsia" w:ascii="仿宋" w:hAnsi="仿宋" w:eastAsia="仿宋" w:cs="仿宋"/>
          <w:color w:val="auto"/>
          <w:spacing w:val="-6"/>
          <w:sz w:val="28"/>
          <w:szCs w:val="28"/>
          <w:highlight w:val="none"/>
        </w:rPr>
        <w:t>视其为无异议。</w:t>
      </w:r>
      <w:r>
        <w:rPr>
          <w:rFonts w:hint="eastAsia" w:ascii="仿宋" w:hAnsi="仿宋" w:eastAsia="仿宋" w:cs="仿宋"/>
          <w:color w:val="auto"/>
          <w:sz w:val="28"/>
          <w:szCs w:val="28"/>
          <w:highlight w:val="none"/>
        </w:rPr>
        <w:t>对磋商文件中描述有歧意或前后不一致的地方，评标委员会有权进行评判，但对同一条款的评判应适用于每个响应供应商。</w:t>
      </w:r>
    </w:p>
    <w:p>
      <w:pPr>
        <w:pStyle w:val="18"/>
        <w:spacing w:line="360" w:lineRule="auto"/>
        <w:ind w:left="0" w:leftChars="0" w:firstLine="0" w:firstLineChars="0"/>
        <w:rPr>
          <w:rFonts w:hint="eastAsia" w:ascii="仿宋" w:hAnsi="仿宋" w:eastAsia="仿宋" w:cs="仿宋"/>
          <w:color w:val="auto"/>
          <w:spacing w:val="-6"/>
          <w:sz w:val="28"/>
          <w:szCs w:val="28"/>
          <w:highlight w:val="none"/>
        </w:rPr>
      </w:pPr>
      <w:r>
        <w:rPr>
          <w:rFonts w:hint="eastAsia" w:ascii="仿宋" w:hAnsi="仿宋" w:eastAsia="仿宋" w:cs="仿宋"/>
          <w:color w:val="auto"/>
          <w:sz w:val="28"/>
          <w:szCs w:val="28"/>
          <w:highlight w:val="none"/>
        </w:rPr>
        <w:t>13.3</w:t>
      </w:r>
      <w:r>
        <w:rPr>
          <w:rFonts w:hint="eastAsia" w:ascii="仿宋" w:hAnsi="仿宋" w:eastAsia="仿宋" w:cs="仿宋"/>
          <w:color w:val="auto"/>
          <w:spacing w:val="-6"/>
          <w:sz w:val="28"/>
          <w:szCs w:val="28"/>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18"/>
        <w:spacing w:line="360" w:lineRule="auto"/>
        <w:ind w:left="751" w:hanging="753" w:hangingChars="2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八、磋商及评审</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14.磋商小组：</w:t>
      </w:r>
    </w:p>
    <w:p>
      <w:pPr>
        <w:tabs>
          <w:tab w:val="left" w:pos="720"/>
        </w:tabs>
        <w:autoSpaceDE w:val="0"/>
        <w:autoSpaceDN w:val="0"/>
        <w:adjustRightInd w:val="0"/>
        <w:snapToGrid w:val="0"/>
        <w:spacing w:line="360" w:lineRule="auto"/>
        <w:ind w:left="0" w:leftChars="0" w:right="32"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14.1磋商由</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kern w:val="0"/>
          <w:sz w:val="28"/>
          <w:szCs w:val="28"/>
          <w:highlight w:val="none"/>
        </w:rPr>
        <w:t>依照政府采购法律、法规、规章、政策的规定，组建的磋商小组负责。磋商小组成员由采购人和技术、经济等方面的评审专家共3人组成，采购人代表、专家专业构成按政府采购规定确定。磋商小组成员依法从政府采购专家库中随机抽取。</w:t>
      </w:r>
    </w:p>
    <w:p>
      <w:pPr>
        <w:tabs>
          <w:tab w:val="left" w:pos="720"/>
        </w:tabs>
        <w:autoSpaceDE w:val="0"/>
        <w:autoSpaceDN w:val="0"/>
        <w:adjustRightInd w:val="0"/>
        <w:snapToGrid w:val="0"/>
        <w:spacing w:line="360" w:lineRule="auto"/>
        <w:ind w:left="0" w:right="32"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14.2磋商小组在磋商及评审过程中出现意见不一致时，遵循少数服从多数原则。</w:t>
      </w:r>
    </w:p>
    <w:p>
      <w:pPr>
        <w:tabs>
          <w:tab w:val="left" w:pos="0"/>
        </w:tabs>
        <w:autoSpaceDE w:val="0"/>
        <w:autoSpaceDN w:val="0"/>
        <w:adjustRightInd w:val="0"/>
        <w:snapToGrid w:val="0"/>
        <w:spacing w:line="360" w:lineRule="auto"/>
        <w:ind w:left="0" w:leftChars="0" w:right="32"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14.3磋商小组依法根据磋商文件的规定与响应供应商进行磋商及对磋商响应文件和最终磋商结果进行评审,并据此推荐成交候选人。</w:t>
      </w:r>
    </w:p>
    <w:p>
      <w:pPr>
        <w:autoSpaceDE w:val="0"/>
        <w:autoSpaceDN w:val="0"/>
        <w:adjustRightInd w:val="0"/>
        <w:snapToGrid w:val="0"/>
        <w:spacing w:line="360" w:lineRule="auto"/>
        <w:ind w:left="840" w:right="32" w:hanging="840" w:hanging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15.磋商程序：</w:t>
      </w:r>
    </w:p>
    <w:p>
      <w:pPr>
        <w:pStyle w:val="18"/>
        <w:adjustRightInd w:val="0"/>
        <w:snapToGrid w:val="0"/>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15.1磋商小组所有成员应当集中与单一供应商分别进行磋商，并给予所有参加磋商的供应商平等的磋商机会。以随机抽签的形式对供应商进行磋商排序。</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15.2在磋商过程中，磋商小组可以根据磋商文件和磋商情况实质性变动采购需求中的技术、服务要求以及合同草案条款，但不得变动磋商文件中的其他内容。实质性变动的内容，须经采购人代表确认。</w:t>
      </w:r>
    </w:p>
    <w:p>
      <w:pPr>
        <w:pStyle w:val="18"/>
        <w:tabs>
          <w:tab w:val="left" w:pos="540"/>
        </w:tabs>
        <w:adjustRightInd w:val="0"/>
        <w:snapToGrid w:val="0"/>
        <w:spacing w:line="360" w:lineRule="auto"/>
        <w:ind w:left="0"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15.3磋商小组与供应商应围绕技术、商务、合同条款等内容分别进行一轮或多轮的磋商。在磋商过程中，磋商小组应当严格遵循保密原则，未经响应供应商同意不得向任何人透露当事人技术、价格和其他重要信息。</w:t>
      </w:r>
    </w:p>
    <w:p>
      <w:pPr>
        <w:pStyle w:val="18"/>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16.磋商文件的修正：</w:t>
      </w:r>
    </w:p>
    <w:p>
      <w:pPr>
        <w:widowControl/>
        <w:tabs>
          <w:tab w:val="left" w:pos="540"/>
        </w:tabs>
        <w:spacing w:line="360" w:lineRule="auto"/>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16.1磋商小组调整或修改采购需求内容时，应取得磋商小组的一致同意，并以书面形式通知所有参加磋商的供应商。但任何形式的决定须以符合公平、公正原则和有利于项目的顺利实施为前提。</w:t>
      </w:r>
    </w:p>
    <w:p>
      <w:pPr>
        <w:pStyle w:val="18"/>
        <w:tabs>
          <w:tab w:val="left" w:pos="540"/>
        </w:tabs>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pPr>
        <w:pStyle w:val="18"/>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16.3采购代理机构对磋商过程和重要磋商内容进行记录。</w:t>
      </w:r>
    </w:p>
    <w:p>
      <w:pPr>
        <w:pStyle w:val="18"/>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17.评审：</w:t>
      </w:r>
    </w:p>
    <w:p>
      <w:pPr>
        <w:pStyle w:val="18"/>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17.1评审方法：综合评分法。</w:t>
      </w:r>
    </w:p>
    <w:p>
      <w:pPr>
        <w:pStyle w:val="18"/>
        <w:tabs>
          <w:tab w:val="left" w:pos="540"/>
        </w:tabs>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17.2符合以下条件之一的供应商方有资格提交最终报价及进入综合评审。</w:t>
      </w:r>
    </w:p>
    <w:p>
      <w:pPr>
        <w:pStyle w:val="18"/>
        <w:tabs>
          <w:tab w:val="left" w:pos="540"/>
        </w:tabs>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17.2.1磋商文件能够详细列明采购标的的技术、服务要求的，磋商结束后，磋商小组应当要求所有实质性响应的供应商在规定时间内提交最后报价，提交最后报价的供应商不得少于3家</w:t>
      </w:r>
      <w:r>
        <w:rPr>
          <w:rFonts w:hint="eastAsia" w:ascii="仿宋" w:hAnsi="仿宋" w:eastAsia="仿宋" w:cs="仿宋"/>
          <w:color w:val="auto"/>
          <w:sz w:val="28"/>
          <w:szCs w:val="28"/>
          <w:highlight w:val="none"/>
          <w:lang w:eastAsia="zh-CN"/>
        </w:rPr>
        <w:t>。</w:t>
      </w:r>
    </w:p>
    <w:p>
      <w:pPr>
        <w:pStyle w:val="18"/>
        <w:tabs>
          <w:tab w:val="left" w:pos="540"/>
        </w:tabs>
        <w:adjustRightInd w:val="0"/>
        <w:snapToGrid w:val="0"/>
        <w:spacing w:line="360" w:lineRule="auto"/>
        <w:ind w:left="-1" w:leftChars="-95" w:hanging="198" w:hangingChars="7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8"/>
        <w:tabs>
          <w:tab w:val="left" w:pos="540"/>
        </w:tabs>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18.初步评审：</w:t>
      </w:r>
    </w:p>
    <w:p>
      <w:pPr>
        <w:pStyle w:val="18"/>
        <w:tabs>
          <w:tab w:val="left" w:pos="540"/>
        </w:tabs>
        <w:adjustRightInd w:val="0"/>
        <w:snapToGrid w:val="0"/>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18.1磋商小组根据《资格审查表》（附件一）的内容逐条对响应文件进行评审，审查每份响应文件的相关资格证明文件是否齐全有效。审查每份响应文件是否实质上响应了磋商文件的要求，只要不满足《资格性和符合性审查表》所列各项要求之一的，将被认定为无效响应。对响应有效性认定意见不一致的，磋商小组按简单多数原则表决决定。</w:t>
      </w:r>
    </w:p>
    <w:p>
      <w:pPr>
        <w:pStyle w:val="18"/>
        <w:tabs>
          <w:tab w:val="left" w:pos="540"/>
        </w:tabs>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18.2磋商小组对各供应商进行资格性和符合性审查过程中，对初步被认定为初审不合格或无效响应者应实行及时告知，由磋商小组组长或采购人代表将集体意见现场及时告知该供应商，以让其核证、澄清事实。</w:t>
      </w:r>
    </w:p>
    <w:p>
      <w:pPr>
        <w:pStyle w:val="18"/>
        <w:tabs>
          <w:tab w:val="left" w:pos="540"/>
        </w:tabs>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19.技术、商务及价格评审</w:t>
      </w:r>
    </w:p>
    <w:p>
      <w:pPr>
        <w:tabs>
          <w:tab w:val="left" w:pos="851"/>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19.1评分总值最高为100分，评分分值（权重）分配如下：</w:t>
      </w:r>
    </w:p>
    <w:tbl>
      <w:tblPr>
        <w:tblStyle w:val="3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637"/>
        <w:gridCol w:w="2491"/>
        <w:gridCol w:w="249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7" w:hRule="atLeast"/>
          <w:jc w:val="center"/>
        </w:trPr>
        <w:tc>
          <w:tcPr>
            <w:tcW w:w="2637"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评分项目</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技术商务总分</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价格总分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2637"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权重</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80</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r>
    </w:tbl>
    <w:p>
      <w:pPr>
        <w:tabs>
          <w:tab w:val="left" w:pos="851"/>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19.2技术商务评审</w:t>
      </w:r>
    </w:p>
    <w:p>
      <w:pPr>
        <w:spacing w:line="360" w:lineRule="auto"/>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rPr>
        <w:t>评分项明细及各单项所占权重详见</w:t>
      </w: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：技术商务价格评分表。</w:t>
      </w:r>
    </w:p>
    <w:p>
      <w:pPr>
        <w:tabs>
          <w:tab w:val="left" w:pos="851"/>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19.3价格评审：</w:t>
      </w:r>
    </w:p>
    <w:p>
      <w:pPr>
        <w:spacing w:line="360" w:lineRule="auto"/>
        <w:ind w:left="-1"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19.3.1最终报价：符合17.2规定的供应商应在规定时间内集中密封提交最终报价（最终报价时间视磋商进程由磋商小组决定）。</w:t>
      </w:r>
    </w:p>
    <w:p>
      <w:pPr>
        <w:spacing w:line="360" w:lineRule="auto"/>
        <w:ind w:left="1120" w:hanging="1120" w:hangingChars="4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19.3.2报价有计算上或累加上的算术错误，修正错误的原则如下：</w:t>
      </w:r>
    </w:p>
    <w:p>
      <w:pPr>
        <w:widowControl/>
        <w:numPr>
          <w:ilvl w:val="0"/>
          <w:numId w:val="0"/>
        </w:numPr>
        <w:tabs>
          <w:tab w:val="left" w:pos="180"/>
          <w:tab w:val="left" w:pos="720"/>
          <w:tab w:val="left" w:pos="1080"/>
        </w:tabs>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报价文件的大写金额和小写金额不一致的，以大写金额为准；</w:t>
      </w:r>
    </w:p>
    <w:p>
      <w:pPr>
        <w:widowControl/>
        <w:numPr>
          <w:ilvl w:val="0"/>
          <w:numId w:val="0"/>
        </w:numPr>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总价金额与按单价汇总金额不一致的，以单价金额计算结果为准；</w:t>
      </w:r>
    </w:p>
    <w:p>
      <w:pPr>
        <w:widowControl/>
        <w:numPr>
          <w:ilvl w:val="0"/>
          <w:numId w:val="0"/>
        </w:numPr>
        <w:tabs>
          <w:tab w:val="left" w:pos="180"/>
          <w:tab w:val="left" w:pos="720"/>
          <w:tab w:val="left" w:pos="1080"/>
        </w:tabs>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单价金额小数点有明显错位的，应以总价为准，并修改单价；</w:t>
      </w:r>
    </w:p>
    <w:p>
      <w:pPr>
        <w:widowControl/>
        <w:shd w:val="clear" w:color="auto" w:fill="auto"/>
        <w:tabs>
          <w:tab w:val="left" w:pos="180"/>
          <w:tab w:val="left" w:pos="720"/>
          <w:tab w:val="left" w:pos="1080"/>
        </w:tabs>
        <w:spacing w:before="0" w:beforeAutospacing="0" w:after="0" w:afterAutospacing="0" w:line="360" w:lineRule="auto"/>
        <w:ind w:firstLine="0" w:firstLineChars="0"/>
        <w:jc w:val="both"/>
        <w:rPr>
          <w:rFonts w:hint="eastAsia" w:ascii="仿宋" w:hAnsi="仿宋" w:eastAsia="仿宋" w:cs="仿宋"/>
          <w:b w:val="0"/>
          <w:bCs w:val="0"/>
          <w:color w:val="auto"/>
          <w:kern w:val="0"/>
          <w:sz w:val="28"/>
          <w:szCs w:val="28"/>
          <w:highlight w:val="none"/>
        </w:rPr>
      </w:pPr>
      <w:r>
        <w:rPr>
          <w:rFonts w:hint="eastAsia" w:ascii="仿宋" w:hAnsi="仿宋" w:eastAsia="仿宋" w:cs="仿宋"/>
          <w:color w:val="auto"/>
          <w:sz w:val="28"/>
          <w:szCs w:val="28"/>
          <w:highlight w:val="none"/>
        </w:rPr>
        <w:t>19.3.3</w:t>
      </w:r>
      <w:r>
        <w:rPr>
          <w:rFonts w:hint="eastAsia" w:ascii="仿宋" w:hAnsi="仿宋" w:eastAsia="仿宋" w:cs="仿宋"/>
          <w:b w:val="0"/>
          <w:bCs w:val="0"/>
          <w:color w:val="auto"/>
          <w:sz w:val="28"/>
          <w:szCs w:val="28"/>
          <w:highlight w:val="none"/>
        </w:rPr>
        <w:t>计算价格得分：</w:t>
      </w:r>
      <w:r>
        <w:rPr>
          <w:rFonts w:hint="eastAsia" w:ascii="仿宋" w:hAnsi="仿宋" w:eastAsia="仿宋" w:cs="仿宋"/>
          <w:b w:val="0"/>
          <w:bCs w:val="0"/>
          <w:color w:val="auto"/>
          <w:kern w:val="0"/>
          <w:sz w:val="28"/>
          <w:szCs w:val="28"/>
          <w:highlight w:val="none"/>
        </w:rPr>
        <w:t>对磋商文件做出实质性响应的所有合格供应商中采用低价优先法计算，即满足磋商文件要求且投标价格最低的投标报价为磋商基准价，其价格分为满分，其他供应商的价格分统一按下列公式计算：</w:t>
      </w:r>
    </w:p>
    <w:p>
      <w:pPr>
        <w:widowControl/>
        <w:tabs>
          <w:tab w:val="left" w:pos="180"/>
          <w:tab w:val="left" w:pos="720"/>
          <w:tab w:val="left" w:pos="1080"/>
        </w:tabs>
        <w:spacing w:line="360" w:lineRule="auto"/>
        <w:ind w:left="0" w:firstLine="562" w:firstLineChars="200"/>
        <w:jc w:val="both"/>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　　磋商报价得分=（磋商基准价/最后磋商报价）×价格权值×100</w:t>
      </w:r>
    </w:p>
    <w:p>
      <w:pPr>
        <w:widowControl/>
        <w:spacing w:line="36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1</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节能、环保要求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采购的产品属于品目清单范围的，将依据国家确定的认证机构出具的、处于有效期之内的节能产品、环境标志产品认证证书，对获得证书的产品实施政府优先采购或强制采购，具体按照本招标文件相关要求执行。 </w:t>
      </w:r>
    </w:p>
    <w:p>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相关认证机构和获证产品信息以市场监管总局组织建立的节能产品、环境标志产品认证结果信息发布平台公布为准。</w:t>
      </w:r>
    </w:p>
    <w:p>
      <w:pPr>
        <w:widowControl/>
        <w:spacing w:line="36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2</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对小型、微型企业、监狱企业或残疾人福利性单位给予价格扣除 </w:t>
      </w:r>
    </w:p>
    <w:p>
      <w:pPr>
        <w:widowControl/>
        <w:spacing w:line="360" w:lineRule="auto"/>
        <w:ind w:firstLine="562" w:firstLineChars="200"/>
        <w:jc w:val="left"/>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本项目中小企业（服务类）划分标准所属行业为：农、林、牧、渔业</w:t>
      </w:r>
      <w:r>
        <w:rPr>
          <w:rFonts w:hint="eastAsia" w:ascii="仿宋" w:hAnsi="仿宋" w:eastAsia="仿宋" w:cs="仿宋"/>
          <w:b/>
          <w:bCs/>
          <w:color w:val="auto"/>
          <w:kern w:val="0"/>
          <w:sz w:val="28"/>
          <w:szCs w:val="28"/>
          <w:highlight w:val="none"/>
          <w:u w:val="none"/>
          <w:lang w:eastAsia="zh-CN" w:bidi="ar"/>
        </w:rPr>
        <w:t>。</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依照《政府采购促进中小企业发展管理办法》、《支持监狱企业发展有关问题的通知》和《关于促进残疾人就业政府采购政策的通知》的规定，凡符合要求的小型、微型企业、监狱企业或残疾人福利性单位，按照以下比例给予相应的价格扣除：（监狱企业、残疾人福利性单位视同为小、微企业）。 </w:t>
      </w:r>
    </w:p>
    <w:tbl>
      <w:tblPr>
        <w:tblStyle w:val="3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9"/>
        <w:gridCol w:w="3360"/>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2" w:hRule="atLeast"/>
        </w:trPr>
        <w:tc>
          <w:tcPr>
            <w:tcW w:w="1359" w:type="dxa"/>
            <w:vMerge w:val="restart"/>
            <w:noWrap w:val="0"/>
            <w:vAlign w:val="top"/>
          </w:tcPr>
          <w:p>
            <w:pPr>
              <w:pStyle w:val="211"/>
              <w:spacing w:line="288" w:lineRule="auto"/>
              <w:rPr>
                <w:rFonts w:hint="eastAsia" w:ascii="仿宋" w:hAnsi="仿宋" w:eastAsia="仿宋" w:cs="仿宋"/>
                <w:b w:val="0"/>
                <w:color w:val="auto"/>
                <w:kern w:val="0"/>
                <w:sz w:val="28"/>
                <w:szCs w:val="28"/>
                <w:highlight w:val="none"/>
                <w:lang w:val="en-US" w:bidi="ar"/>
              </w:rPr>
            </w:pPr>
          </w:p>
          <w:p>
            <w:pPr>
              <w:pStyle w:val="211"/>
              <w:spacing w:line="288" w:lineRule="auto"/>
              <w:rPr>
                <w:rFonts w:hint="eastAsia" w:ascii="仿宋" w:hAnsi="仿宋" w:eastAsia="仿宋" w:cs="仿宋"/>
                <w:b w:val="0"/>
                <w:color w:val="auto"/>
                <w:kern w:val="0"/>
                <w:sz w:val="28"/>
                <w:szCs w:val="28"/>
                <w:highlight w:val="none"/>
                <w:lang w:val="en-US" w:bidi="ar"/>
              </w:rPr>
            </w:pPr>
          </w:p>
          <w:p>
            <w:pPr>
              <w:pStyle w:val="211"/>
              <w:spacing w:line="288" w:lineRule="auto"/>
              <w:rPr>
                <w:rFonts w:hint="eastAsia" w:ascii="仿宋" w:hAnsi="仿宋" w:eastAsia="仿宋" w:cs="仿宋"/>
                <w:b w:val="0"/>
                <w:color w:val="auto"/>
                <w:kern w:val="0"/>
                <w:sz w:val="28"/>
                <w:szCs w:val="28"/>
                <w:highlight w:val="none"/>
                <w:lang w:val="en-US" w:bidi="ar"/>
              </w:rPr>
            </w:pPr>
          </w:p>
          <w:p>
            <w:pPr>
              <w:pStyle w:val="211"/>
              <w:spacing w:line="288" w:lineRule="auto"/>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r>
              <w:rPr>
                <w:rFonts w:hint="eastAsia" w:ascii="仿宋" w:hAnsi="仿宋" w:eastAsia="仿宋" w:cs="仿宋"/>
                <w:b w:val="0"/>
                <w:color w:val="auto"/>
                <w:w w:val="100"/>
                <w:kern w:val="0"/>
                <w:sz w:val="28"/>
                <w:szCs w:val="28"/>
                <w:highlight w:val="none"/>
                <w:lang w:val="en-US" w:bidi="ar"/>
              </w:rPr>
              <w:t>政策落实</w:t>
            </w:r>
          </w:p>
          <w:p>
            <w:pPr>
              <w:pStyle w:val="211"/>
              <w:spacing w:line="288" w:lineRule="auto"/>
              <w:jc w:val="center"/>
              <w:rPr>
                <w:rFonts w:hint="eastAsia" w:ascii="仿宋" w:hAnsi="仿宋" w:eastAsia="仿宋" w:cs="仿宋"/>
                <w:b w:val="0"/>
                <w:color w:val="auto"/>
                <w:kern w:val="0"/>
                <w:sz w:val="28"/>
                <w:szCs w:val="28"/>
                <w:highlight w:val="none"/>
                <w:lang w:val="en-US" w:bidi="ar"/>
              </w:rPr>
            </w:pPr>
            <w:r>
              <w:rPr>
                <w:rFonts w:hint="eastAsia" w:ascii="仿宋" w:hAnsi="仿宋" w:eastAsia="仿宋" w:cs="仿宋"/>
                <w:b w:val="0"/>
                <w:color w:val="auto"/>
                <w:w w:val="100"/>
                <w:kern w:val="0"/>
                <w:sz w:val="28"/>
                <w:szCs w:val="28"/>
                <w:highlight w:val="none"/>
                <w:lang w:val="en-US" w:bidi="ar"/>
              </w:rPr>
              <w:t>内容</w:t>
            </w:r>
          </w:p>
        </w:tc>
        <w:tc>
          <w:tcPr>
            <w:tcW w:w="3360" w:type="dxa"/>
            <w:vMerge w:val="restart"/>
            <w:noWrap w:val="0"/>
            <w:vAlign w:val="center"/>
          </w:tcPr>
          <w:p>
            <w:pPr>
              <w:pStyle w:val="211"/>
              <w:spacing w:line="288" w:lineRule="auto"/>
              <w:jc w:val="left"/>
              <w:rPr>
                <w:rFonts w:hint="eastAsia" w:ascii="仿宋" w:hAnsi="仿宋" w:eastAsia="仿宋" w:cs="仿宋"/>
                <w:b w:val="0"/>
                <w:color w:val="auto"/>
                <w:kern w:val="0"/>
                <w:sz w:val="28"/>
                <w:szCs w:val="28"/>
                <w:highlight w:val="none"/>
                <w:lang w:val="en-US" w:bidi="ar"/>
              </w:rPr>
            </w:pPr>
          </w:p>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1、对小型企业、微型企业给予价格评审优惠； 2、监狱企业给予价格评审优惠；3、残疾人福利性单位给予价格评审优惠。注：联合体各方均为小型、微型企业、监狱企业、残疾人福利性单位的，联合体视同为小型、微型企业；</w:t>
            </w:r>
          </w:p>
        </w:tc>
        <w:tc>
          <w:tcPr>
            <w:tcW w:w="4020" w:type="dxa"/>
            <w:noWrap w:val="0"/>
            <w:vAlign w:val="center"/>
          </w:tcPr>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1、符合政策的货物、服务项目价格给予10%的扣除；工程项目价格给予5%的扣除。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359" w:type="dxa"/>
            <w:vMerge w:val="continue"/>
            <w:noWrap w:val="0"/>
            <w:vAlign w:val="top"/>
          </w:tcPr>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p>
        </w:tc>
        <w:tc>
          <w:tcPr>
            <w:tcW w:w="3360" w:type="dxa"/>
            <w:vMerge w:val="continue"/>
            <w:noWrap w:val="0"/>
            <w:vAlign w:val="center"/>
          </w:tcPr>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p>
        </w:tc>
        <w:tc>
          <w:tcPr>
            <w:tcW w:w="4020" w:type="dxa"/>
            <w:noWrap w:val="0"/>
            <w:vAlign w:val="center"/>
          </w:tcPr>
          <w:p>
            <w:pPr>
              <w:widowControl/>
              <w:spacing w:line="360" w:lineRule="auto"/>
              <w:ind w:firstLine="0" w:firstLineChars="0"/>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2、联合协议或者分包意向协议约定小微企业的合同份额占到合同总金额</w:t>
            </w:r>
            <w:r>
              <w:rPr>
                <w:rFonts w:hint="eastAsia" w:ascii="仿宋" w:hAnsi="仿宋" w:eastAsia="仿宋" w:cs="仿宋"/>
                <w:color w:val="auto"/>
                <w:kern w:val="0"/>
                <w:sz w:val="28"/>
                <w:szCs w:val="28"/>
                <w:highlight w:val="none"/>
                <w:lang w:val="en-US" w:eastAsia="zh-CN" w:bidi="ar"/>
              </w:rPr>
              <w:t>4</w:t>
            </w:r>
            <w:r>
              <w:rPr>
                <w:rFonts w:hint="eastAsia" w:ascii="仿宋" w:hAnsi="仿宋" w:eastAsia="仿宋" w:cs="仿宋"/>
                <w:color w:val="auto"/>
                <w:kern w:val="0"/>
                <w:sz w:val="28"/>
                <w:szCs w:val="28"/>
                <w:highlight w:val="none"/>
                <w:lang w:val="en-US" w:bidi="ar"/>
              </w:rPr>
              <w:t>0%以上的，符合政策的货物、服务项目价格给予4%的扣除；工程项目价格给予2%的扣除。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1359" w:type="dxa"/>
            <w:vMerge w:val="continue"/>
            <w:noWrap w:val="0"/>
            <w:vAlign w:val="top"/>
          </w:tcPr>
          <w:p>
            <w:pPr>
              <w:pStyle w:val="211"/>
              <w:spacing w:line="288" w:lineRule="auto"/>
              <w:ind w:left="109" w:right="95"/>
              <w:rPr>
                <w:rFonts w:hint="eastAsia" w:ascii="仿宋" w:hAnsi="仿宋" w:eastAsia="仿宋" w:cs="仿宋"/>
                <w:color w:val="auto"/>
                <w:w w:val="100"/>
                <w:kern w:val="0"/>
                <w:sz w:val="28"/>
                <w:szCs w:val="28"/>
                <w:highlight w:val="none"/>
                <w:lang w:val="en-US" w:bidi="ar"/>
              </w:rPr>
            </w:pPr>
          </w:p>
        </w:tc>
        <w:tc>
          <w:tcPr>
            <w:tcW w:w="3360" w:type="dxa"/>
            <w:noWrap w:val="0"/>
            <w:vAlign w:val="center"/>
          </w:tcPr>
          <w:p>
            <w:pPr>
              <w:pStyle w:val="211"/>
              <w:spacing w:line="288" w:lineRule="auto"/>
              <w:jc w:val="left"/>
              <w:rPr>
                <w:rFonts w:hint="eastAsia" w:ascii="仿宋" w:hAnsi="仿宋" w:eastAsia="仿宋" w:cs="仿宋"/>
                <w:color w:val="auto"/>
                <w:w w:val="100"/>
                <w:kern w:val="0"/>
                <w:sz w:val="28"/>
                <w:szCs w:val="28"/>
                <w:highlight w:val="none"/>
                <w:lang w:val="en-US" w:bidi="ar"/>
              </w:rPr>
            </w:pPr>
            <w:r>
              <w:rPr>
                <w:rFonts w:hint="eastAsia" w:ascii="仿宋" w:hAnsi="仿宋" w:eastAsia="仿宋" w:cs="仿宋"/>
                <w:color w:val="auto"/>
                <w:kern w:val="0"/>
                <w:sz w:val="28"/>
                <w:szCs w:val="28"/>
                <w:highlight w:val="none"/>
                <w:lang w:val="en-US" w:eastAsia="zh-CN" w:bidi="ar"/>
              </w:rPr>
              <w:t>4</w:t>
            </w:r>
            <w:r>
              <w:rPr>
                <w:rFonts w:hint="eastAsia" w:ascii="仿宋" w:hAnsi="仿宋" w:eastAsia="仿宋" w:cs="仿宋"/>
                <w:color w:val="auto"/>
                <w:kern w:val="0"/>
                <w:sz w:val="28"/>
                <w:szCs w:val="28"/>
                <w:highlight w:val="none"/>
                <w:lang w:val="en-US" w:bidi="ar"/>
              </w:rPr>
              <w:t>、采购人拟采购的产品属于品目清单范围的，采购人应当依据国家确定的认证机构出具的、处于有效期之内的节能产品、环境标志产品认证证书，对获得证书的产品实施政府优先采购或强制采购。</w:t>
            </w:r>
          </w:p>
        </w:tc>
        <w:tc>
          <w:tcPr>
            <w:tcW w:w="4020" w:type="dxa"/>
            <w:noWrap w:val="0"/>
            <w:vAlign w:val="center"/>
          </w:tcPr>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1、采购人应按照相关规定，确定优先或强制采购的评审方法；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8739" w:type="dxa"/>
            <w:gridSpan w:val="3"/>
            <w:noWrap w:val="0"/>
            <w:vAlign w:val="top"/>
          </w:tcPr>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b w:val="0"/>
                <w:bCs w:val="0"/>
                <w:color w:val="auto"/>
                <w:kern w:val="0"/>
                <w:sz w:val="28"/>
                <w:szCs w:val="28"/>
                <w:highlight w:val="none"/>
                <w:lang w:val="en-US" w:eastAsia="zh-CN" w:bidi="ar"/>
              </w:rPr>
              <w:t>注：</w:t>
            </w:r>
            <w:r>
              <w:rPr>
                <w:rFonts w:hint="eastAsia" w:ascii="仿宋" w:hAnsi="仿宋" w:eastAsia="仿宋" w:cs="仿宋"/>
                <w:b w:val="0"/>
                <w:bCs w:val="0"/>
                <w:color w:val="auto"/>
                <w:kern w:val="0"/>
                <w:sz w:val="28"/>
                <w:szCs w:val="28"/>
                <w:highlight w:val="none"/>
                <w:lang w:val="en-US" w:bidi="ar"/>
              </w:rPr>
              <w:t>因本项目专门面向中小企业采购，</w:t>
            </w:r>
            <w:r>
              <w:rPr>
                <w:rFonts w:hint="eastAsia" w:ascii="仿宋" w:hAnsi="仿宋" w:eastAsia="仿宋" w:cs="仿宋"/>
                <w:b w:val="0"/>
                <w:bCs w:val="0"/>
                <w:color w:val="auto"/>
                <w:kern w:val="0"/>
                <w:sz w:val="28"/>
                <w:szCs w:val="28"/>
                <w:highlight w:val="none"/>
                <w:lang w:val="en-US" w:eastAsia="zh-CN" w:bidi="ar"/>
              </w:rPr>
              <w:t>在评标时</w:t>
            </w:r>
            <w:r>
              <w:rPr>
                <w:rFonts w:hint="eastAsia" w:ascii="仿宋" w:hAnsi="仿宋" w:eastAsia="仿宋" w:cs="仿宋"/>
                <w:b w:val="0"/>
                <w:bCs w:val="0"/>
                <w:color w:val="auto"/>
                <w:kern w:val="0"/>
                <w:sz w:val="28"/>
                <w:szCs w:val="28"/>
                <w:highlight w:val="none"/>
                <w:lang w:val="en-US" w:bidi="ar"/>
              </w:rPr>
              <w:t>不实行价格扣除优惠政策。</w:t>
            </w:r>
          </w:p>
        </w:tc>
      </w:tr>
    </w:tbl>
    <w:p>
      <w:pPr>
        <w:pStyle w:val="50"/>
        <w:rPr>
          <w:rFonts w:hint="eastAsia" w:ascii="仿宋" w:hAnsi="仿宋" w:eastAsia="仿宋" w:cs="仿宋"/>
          <w:color w:val="auto"/>
          <w:kern w:val="0"/>
          <w:sz w:val="28"/>
          <w:szCs w:val="28"/>
          <w:highlight w:val="none"/>
          <w:lang w:bidi="ar"/>
        </w:rPr>
      </w:pPr>
    </w:p>
    <w:p>
      <w:pPr>
        <w:widowControl/>
        <w:spacing w:line="360" w:lineRule="auto"/>
        <w:ind w:firstLine="0" w:firstLineChars="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价格扣除相关要求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①所称小型和微型企业应当符合以下条件：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在中华人民共和国境内依法设立，依据国务院批准的中小企业划分标准确定的小型企业和微型企业，但与大企业的负责人为同一人，或者与大企业存在直接控股、管理关系的除外。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符合中小企业划分标准的个体工商户，在政府采购活动中视同中小企业。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提供本企业承接的服务。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②符合中小企业扶持政策的投标供应商应填写《中小企业声明函》；监狱企业须投标供应商提供由监狱管理局、戒毒管理局（含新疆生产建设兵团）出具的属于监狱企业的证明文件；残疾人福利性单位应填写《残疾人福利性单位声明函》，否则不认定价格扣除。 </w:t>
      </w:r>
    </w:p>
    <w:p>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说明：投标人应当对其出具的《中小企业声明函》真实性负责，投标人出具的《中小企业声明函》内容不实的，属于提供虚假材料谋取中标。</w:t>
      </w:r>
    </w:p>
    <w:p>
      <w:pPr>
        <w:tabs>
          <w:tab w:val="left" w:pos="-200"/>
          <w:tab w:val="left" w:pos="1065"/>
        </w:tabs>
        <w:spacing w:line="360" w:lineRule="auto"/>
        <w:ind w:lef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19.4</w:t>
      </w:r>
      <w:r>
        <w:rPr>
          <w:rFonts w:hint="eastAsia" w:ascii="仿宋" w:hAnsi="仿宋" w:eastAsia="仿宋" w:cs="仿宋"/>
          <w:color w:val="auto"/>
          <w:kern w:val="0"/>
          <w:sz w:val="28"/>
          <w:szCs w:val="28"/>
          <w:highlight w:val="none"/>
        </w:rPr>
        <w:t>综合得分及其统计：磋商结束后，磋商小组对报价人的最终形成的报价文件、磋商承诺及最终报价等方面进行详细评审。按照评标程序、评分标准以及权重分配的规定，磋商小组成员分别就各个报价人的技术商务状况及其对磋商文件要求的响应情况进行评议和比较，评出其技术商务评分。各评委的评分的算术平均值即为该报价人的技术、商务得分。</w:t>
      </w:r>
      <w:r>
        <w:rPr>
          <w:rFonts w:hint="eastAsia" w:ascii="仿宋" w:hAnsi="仿宋" w:eastAsia="仿宋" w:cs="仿宋"/>
          <w:color w:val="auto"/>
          <w:sz w:val="28"/>
          <w:szCs w:val="28"/>
          <w:highlight w:val="none"/>
        </w:rPr>
        <w:t>然后，根据价格评审方法评出价格得分。将技术得分、商务得分和价格得分分别乘以权重并相加得出综合得分（评审得分分值按四舍五入原则精确到小数点后两位）。</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九、确定成交供应商办法及成交服务费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20.确定成交供应商</w:t>
      </w:r>
    </w:p>
    <w:p>
      <w:pPr>
        <w:tabs>
          <w:tab w:val="left" w:pos="420"/>
          <w:tab w:val="left" w:pos="1065"/>
        </w:tabs>
        <w:spacing w:line="360" w:lineRule="auto"/>
        <w:ind w:left="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20.1推荐成交候选供应商名单：磋商小组</w:t>
      </w:r>
      <w:r>
        <w:rPr>
          <w:rFonts w:hint="eastAsia" w:ascii="仿宋" w:hAnsi="仿宋" w:eastAsia="仿宋" w:cs="仿宋"/>
          <w:color w:val="auto"/>
          <w:kern w:val="0"/>
          <w:sz w:val="28"/>
          <w:szCs w:val="28"/>
          <w:highlight w:val="none"/>
        </w:rPr>
        <w:t>按综合得分由高到低的原则进行排序(综合得分相同，名次按评审价由低到高顺序排列；综合得分相同、且评审价相同的，名次按技术评分由高到低顺序排列；综合得分相同、评审价和技术评分均相同的，名次由</w:t>
      </w:r>
      <w:r>
        <w:rPr>
          <w:rFonts w:hint="eastAsia" w:ascii="仿宋" w:hAnsi="仿宋" w:eastAsia="仿宋" w:cs="仿宋"/>
          <w:color w:val="auto"/>
          <w:sz w:val="28"/>
          <w:szCs w:val="28"/>
          <w:highlight w:val="none"/>
        </w:rPr>
        <w:t>磋商小组</w:t>
      </w:r>
      <w:r>
        <w:rPr>
          <w:rFonts w:hint="eastAsia" w:ascii="仿宋" w:hAnsi="仿宋" w:eastAsia="仿宋" w:cs="仿宋"/>
          <w:color w:val="auto"/>
          <w:kern w:val="0"/>
          <w:sz w:val="28"/>
          <w:szCs w:val="28"/>
          <w:highlight w:val="none"/>
        </w:rPr>
        <w:t>投票确定。法律法规有明确规定的，以法律法规规定为准)，推荐综合得分排名最靠前的供应商为第一成交候选人，综合得分次高的供应商为第二成交候选人，以此类推。最终确定一名</w:t>
      </w:r>
      <w:r>
        <w:rPr>
          <w:rFonts w:hint="eastAsia" w:ascii="仿宋" w:hAnsi="仿宋" w:eastAsia="仿宋" w:cs="仿宋"/>
          <w:color w:val="auto"/>
          <w:sz w:val="28"/>
          <w:szCs w:val="28"/>
          <w:highlight w:val="none"/>
        </w:rPr>
        <w:t>成交供应商。</w:t>
      </w:r>
    </w:p>
    <w:p>
      <w:pPr>
        <w:tabs>
          <w:tab w:val="left" w:pos="0"/>
          <w:tab w:val="left" w:pos="1065"/>
        </w:tabs>
        <w:spacing w:line="360" w:lineRule="auto"/>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20.2根据磋商小组的评标结果，采购人依法确定成交供应商，也可以事先授权磋商小组直接确定成交供应商。</w:t>
      </w:r>
    </w:p>
    <w:p>
      <w:pPr>
        <w:tabs>
          <w:tab w:val="left" w:pos="0"/>
          <w:tab w:val="left" w:pos="1065"/>
        </w:tabs>
        <w:spacing w:line="360" w:lineRule="auto"/>
        <w:ind w:left="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20.3成交人确定后</w:t>
      </w:r>
      <w:r>
        <w:rPr>
          <w:rFonts w:hint="eastAsia" w:ascii="仿宋" w:hAnsi="仿宋" w:eastAsia="仿宋" w:cs="仿宋"/>
          <w:color w:val="auto"/>
          <w:sz w:val="28"/>
          <w:szCs w:val="28"/>
          <w:highlight w:val="none"/>
          <w:u w:val="none"/>
        </w:rPr>
        <w:t>，</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将在媒体上发布成交公告，并向成交人发出《成交通知书》。《成交通知书》对成交人和采购人具有同等法律效力。</w:t>
      </w:r>
    </w:p>
    <w:p>
      <w:pPr>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20.4</w:t>
      </w:r>
      <w:r>
        <w:rPr>
          <w:rFonts w:hint="eastAsia" w:ascii="仿宋" w:hAnsi="仿宋" w:eastAsia="仿宋" w:cs="仿宋"/>
          <w:color w:val="auto"/>
          <w:sz w:val="28"/>
          <w:szCs w:val="28"/>
          <w:highlight w:val="none"/>
        </w:rPr>
        <w:t>采购人根据实际需要通知磋商小组推荐的第一成交候选供应商在2个工作日内，按磋商文件中所要求的相关证件、证明文件、合同的原件送采购人，核对与供应商报价文件中的复印件是否一致。采购人在接到原件之日起5个工作日内，核对没有不一致的，须确认成交供应商；核对发现有不一致或第一成交候选供应商无正当理由不按时提供原件的，书面向政府采购代理机构提出，并报同级财政部门核实后按报价无效处理。</w:t>
      </w:r>
    </w:p>
    <w:p>
      <w:pPr>
        <w:adjustRightInd w:val="0"/>
        <w:snapToGrid w:val="0"/>
        <w:spacing w:line="360" w:lineRule="auto"/>
        <w:ind w:left="840" w:hanging="840" w:hanging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20.5替补候选人的设定与使用。</w:t>
      </w:r>
    </w:p>
    <w:p>
      <w:pPr>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pPr>
        <w:adjustRightInd w:val="0"/>
        <w:snapToGrid w:val="0"/>
        <w:spacing w:line="360" w:lineRule="auto"/>
        <w:ind w:left="840" w:hanging="840" w:hanging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w:t>
      </w:r>
      <w:r>
        <w:rPr>
          <w:rFonts w:hint="eastAsia" w:ascii="仿宋" w:hAnsi="仿宋" w:eastAsia="仿宋" w:cs="仿宋"/>
          <w:color w:val="auto"/>
          <w:kern w:val="0"/>
          <w:sz w:val="28"/>
          <w:szCs w:val="28"/>
          <w:highlight w:val="none"/>
          <w:lang w:eastAsia="zh-CN"/>
        </w:rPr>
        <w:t>招标代理</w:t>
      </w:r>
      <w:r>
        <w:rPr>
          <w:rFonts w:hint="eastAsia" w:ascii="仿宋" w:hAnsi="仿宋" w:eastAsia="仿宋" w:cs="仿宋"/>
          <w:color w:val="auto"/>
          <w:kern w:val="0"/>
          <w:sz w:val="28"/>
          <w:szCs w:val="28"/>
          <w:highlight w:val="none"/>
        </w:rPr>
        <w:t>服务费</w:t>
      </w:r>
    </w:p>
    <w:p>
      <w:pPr>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本项目</w:t>
      </w:r>
      <w:r>
        <w:rPr>
          <w:rFonts w:hint="eastAsia" w:ascii="仿宋" w:hAnsi="仿宋" w:eastAsia="仿宋" w:cs="仿宋"/>
          <w:color w:val="auto"/>
          <w:kern w:val="0"/>
          <w:sz w:val="28"/>
          <w:szCs w:val="28"/>
          <w:highlight w:val="none"/>
        </w:rPr>
        <w:t>按照有关规定向中标（成交）单位收取</w:t>
      </w:r>
      <w:r>
        <w:rPr>
          <w:rFonts w:hint="eastAsia" w:ascii="仿宋" w:hAnsi="仿宋" w:eastAsia="仿宋" w:cs="仿宋"/>
          <w:color w:val="auto"/>
          <w:kern w:val="0"/>
          <w:sz w:val="28"/>
          <w:szCs w:val="28"/>
          <w:highlight w:val="none"/>
          <w:lang w:val="en-US" w:eastAsia="zh-CN"/>
        </w:rPr>
        <w:t>代理</w:t>
      </w:r>
      <w:r>
        <w:rPr>
          <w:rFonts w:hint="eastAsia" w:ascii="仿宋" w:hAnsi="仿宋" w:eastAsia="仿宋" w:cs="仿宋"/>
          <w:color w:val="auto"/>
          <w:kern w:val="0"/>
          <w:sz w:val="28"/>
          <w:szCs w:val="28"/>
          <w:highlight w:val="none"/>
        </w:rPr>
        <w:t>服务费，参考计价格[2002]1980号为计费依据，本项目收取招标代理服务费</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5000</w:t>
      </w:r>
      <w:r>
        <w:rPr>
          <w:rFonts w:hint="eastAsia" w:ascii="仿宋" w:hAnsi="仿宋" w:eastAsia="仿宋" w:cs="仿宋"/>
          <w:color w:val="auto"/>
          <w:kern w:val="0"/>
          <w:sz w:val="28"/>
          <w:szCs w:val="28"/>
          <w:highlight w:val="none"/>
        </w:rPr>
        <w:t>.00元整（</w:t>
      </w:r>
      <w:r>
        <w:rPr>
          <w:rFonts w:hint="eastAsia" w:ascii="仿宋" w:hAnsi="仿宋" w:eastAsia="仿宋" w:cs="仿宋"/>
          <w:color w:val="auto"/>
          <w:kern w:val="0"/>
          <w:sz w:val="28"/>
          <w:szCs w:val="28"/>
          <w:highlight w:val="none"/>
          <w:lang w:val="en-US" w:eastAsia="zh-CN"/>
        </w:rPr>
        <w:t>大写人民币伍仟元整</w:t>
      </w:r>
      <w:r>
        <w:rPr>
          <w:rFonts w:hint="eastAsia" w:ascii="仿宋" w:hAnsi="仿宋" w:eastAsia="仿宋" w:cs="仿宋"/>
          <w:color w:val="auto"/>
          <w:kern w:val="0"/>
          <w:sz w:val="28"/>
          <w:szCs w:val="28"/>
          <w:highlight w:val="none"/>
        </w:rPr>
        <w:t>）。由中标（成交）人支付</w:t>
      </w:r>
      <w:r>
        <w:rPr>
          <w:rFonts w:hint="eastAsia" w:ascii="仿宋" w:hAnsi="仿宋" w:eastAsia="仿宋" w:cs="仿宋"/>
          <w:color w:val="auto"/>
          <w:kern w:val="0"/>
          <w:sz w:val="28"/>
          <w:szCs w:val="28"/>
          <w:highlight w:val="none"/>
          <w:lang w:eastAsia="zh-CN"/>
        </w:rPr>
        <w:t>。</w:t>
      </w:r>
    </w:p>
    <w:p>
      <w:pPr>
        <w:tabs>
          <w:tab w:val="left" w:pos="720"/>
        </w:tabs>
        <w:spacing w:line="360" w:lineRule="auto"/>
        <w:ind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十、</w:t>
      </w:r>
      <w:r>
        <w:rPr>
          <w:rFonts w:hint="eastAsia" w:ascii="仿宋" w:hAnsi="仿宋" w:eastAsia="仿宋" w:cs="仿宋"/>
          <w:b/>
          <w:color w:val="auto"/>
          <w:sz w:val="28"/>
          <w:szCs w:val="28"/>
          <w:highlight w:val="none"/>
        </w:rPr>
        <w:t>质疑</w:t>
      </w:r>
    </w:p>
    <w:p>
      <w:pPr>
        <w:tabs>
          <w:tab w:val="left" w:pos="714"/>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质疑</w:t>
      </w:r>
    </w:p>
    <w:p>
      <w:pPr>
        <w:tabs>
          <w:tab w:val="left" w:pos="72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供应商认为采购文件、采购过程或成交结果使自己的权益受到损害的，可以在知道或者应知其权益受到损害之日起七个工作日内，以书面形式向采购人或招标代理机构书面提出质疑。</w:t>
      </w:r>
    </w:p>
    <w:p>
      <w:pPr>
        <w:tabs>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十一、签订合同</w:t>
      </w:r>
    </w:p>
    <w:p>
      <w:pPr>
        <w:tabs>
          <w:tab w:val="left" w:pos="720"/>
        </w:tabs>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23.成交供应商应当在成交通知书发出之日起三十日内，按规定与采购人签订政府采购合同。</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十二、适用法律</w:t>
      </w:r>
    </w:p>
    <w:p>
      <w:pPr>
        <w:tabs>
          <w:tab w:val="left" w:pos="0"/>
        </w:tabs>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u w:val="none"/>
        </w:rPr>
        <w:t>采购人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rPr>
        <w:t>政府采购代理机构</w:t>
      </w:r>
      <w:r>
        <w:rPr>
          <w:rFonts w:hint="eastAsia" w:ascii="仿宋" w:hAnsi="仿宋" w:eastAsia="仿宋" w:cs="仿宋"/>
          <w:color w:val="auto"/>
          <w:sz w:val="28"/>
          <w:szCs w:val="28"/>
          <w:highlight w:val="none"/>
        </w:rPr>
        <w:t>及响应供应商的一切采购活动均适用《政府采购法》及其配套的法规、规章、政策。工程类项目适用《中华人民共和国招标投标法》及其配套的法规、规章、政策。</w:t>
      </w:r>
    </w:p>
    <w:p>
      <w:pPr>
        <w:pStyle w:val="6"/>
        <w:spacing w:line="240" w:lineRule="auto"/>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br w:type="page"/>
      </w:r>
      <w:bookmarkStart w:id="47" w:name="_Toc12474"/>
      <w:r>
        <w:rPr>
          <w:rFonts w:hint="eastAsia" w:ascii="仿宋" w:hAnsi="仿宋" w:eastAsia="仿宋" w:cs="仿宋"/>
          <w:b/>
          <w:color w:val="auto"/>
          <w:sz w:val="28"/>
          <w:szCs w:val="28"/>
          <w:highlight w:val="none"/>
          <w:lang w:val="en-GB"/>
        </w:rPr>
        <w:t>附件一：</w:t>
      </w:r>
      <w:bookmarkEnd w:id="47"/>
      <w:r>
        <w:rPr>
          <w:rFonts w:hint="eastAsia" w:ascii="仿宋" w:hAnsi="仿宋" w:eastAsia="仿宋" w:cs="仿宋"/>
          <w:b/>
          <w:color w:val="auto"/>
          <w:sz w:val="28"/>
          <w:szCs w:val="28"/>
          <w:highlight w:val="none"/>
        </w:rPr>
        <w:t>资格审查表</w:t>
      </w:r>
    </w:p>
    <w:tbl>
      <w:tblPr>
        <w:tblStyle w:val="38"/>
        <w:tblW w:w="9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256"/>
        <w:gridCol w:w="6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w:t>
            </w:r>
          </w:p>
        </w:tc>
        <w:tc>
          <w:tcPr>
            <w:tcW w:w="8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资格审查内容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具有独立承担民事责任的能力</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在中华人民共和国境内注册的法人或其他组织，投标（响应）时提交有效的营业执照副本（或事业法人登记证或身份证等相关证明）复印件。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kern w:val="0"/>
                <w:sz w:val="28"/>
                <w:szCs w:val="28"/>
                <w:highlight w:val="none"/>
                <w:u w:val="none"/>
                <w:lang w:bidi="ar"/>
              </w:rPr>
              <w:t>有依法缴纳税收</w:t>
            </w:r>
            <w:r>
              <w:rPr>
                <w:rFonts w:hint="eastAsia" w:ascii="仿宋" w:hAnsi="仿宋" w:eastAsia="仿宋" w:cs="仿宋"/>
                <w:color w:val="auto"/>
                <w:kern w:val="0"/>
                <w:sz w:val="28"/>
                <w:szCs w:val="28"/>
                <w:highlight w:val="none"/>
                <w:u w:val="none"/>
                <w:lang w:val="en-US" w:eastAsia="zh-CN" w:bidi="ar"/>
              </w:rPr>
              <w:t>和</w:t>
            </w:r>
            <w:r>
              <w:rPr>
                <w:rFonts w:hint="eastAsia" w:ascii="仿宋" w:hAnsi="仿宋" w:eastAsia="仿宋" w:cs="仿宋"/>
                <w:color w:val="auto"/>
                <w:sz w:val="28"/>
                <w:szCs w:val="28"/>
                <w:highlight w:val="none"/>
                <w:lang w:val="en-US" w:eastAsia="zh-CN"/>
              </w:rPr>
              <w:t>社会保障资金</w:t>
            </w:r>
            <w:r>
              <w:rPr>
                <w:rFonts w:hint="eastAsia" w:ascii="仿宋" w:hAnsi="仿宋" w:eastAsia="仿宋" w:cs="仿宋"/>
                <w:color w:val="auto"/>
                <w:kern w:val="0"/>
                <w:sz w:val="28"/>
                <w:szCs w:val="28"/>
                <w:highlight w:val="none"/>
                <w:u w:val="none"/>
                <w:lang w:bidi="ar"/>
              </w:rPr>
              <w:t>的良好记录</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lang w:val="en-US" w:eastAsia="zh-CN"/>
              </w:rPr>
              <w:t>有依法缴纳税收和社会保障资金的良好记录：提供投标截止日前6个月内任意1个月依法缴纳税收和社会保障资金的相关材料。如依法免税或不需要缴纳社会保障资金的，提供相应证明材料。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具有良好的商业信誉和健全的财务会计制度</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供应商必须具有良好的商业信誉和健全的财务会计制度</w:t>
            </w:r>
            <w:r>
              <w:rPr>
                <w:rFonts w:hint="eastAsia" w:ascii="仿宋" w:hAnsi="仿宋" w:eastAsia="仿宋" w:cs="仿宋"/>
                <w:color w:val="auto"/>
                <w:kern w:val="0"/>
                <w:sz w:val="28"/>
                <w:szCs w:val="28"/>
                <w:highlight w:val="none"/>
                <w:u w:val="none"/>
                <w:lang w:bidi="ar"/>
              </w:rPr>
              <w:t>（提供2021年度财务状况报告，新成立公司提供成立至今的月或季度财务报表复印件或银行出具的资信证明）。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履行合同所必须的设备和专业技术能力</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kern w:val="0"/>
                <w:sz w:val="28"/>
                <w:szCs w:val="28"/>
                <w:highlight w:val="none"/>
                <w:u w:val="none"/>
                <w:lang w:bidi="ar"/>
              </w:rPr>
              <w:t>提供具备履行合同所必需的设备和专业技术能力</w:t>
            </w:r>
            <w:r>
              <w:rPr>
                <w:rFonts w:hint="eastAsia" w:ascii="仿宋" w:hAnsi="仿宋" w:eastAsia="仿宋" w:cs="仿宋"/>
                <w:color w:val="auto"/>
                <w:kern w:val="0"/>
                <w:sz w:val="28"/>
                <w:szCs w:val="28"/>
                <w:highlight w:val="none"/>
                <w:u w:val="none"/>
                <w:lang w:eastAsia="zh-CN" w:bidi="ar"/>
              </w:rPr>
              <w:t>（</w:t>
            </w:r>
            <w:r>
              <w:rPr>
                <w:rFonts w:hint="eastAsia" w:ascii="仿宋" w:hAnsi="仿宋" w:eastAsia="仿宋" w:cs="仿宋"/>
                <w:color w:val="auto"/>
                <w:kern w:val="0"/>
                <w:sz w:val="28"/>
                <w:szCs w:val="28"/>
                <w:highlight w:val="none"/>
                <w:u w:val="none"/>
                <w:lang w:val="en-US" w:eastAsia="zh-CN" w:bidi="ar"/>
              </w:rPr>
              <w:t>提供</w:t>
            </w:r>
            <w:r>
              <w:rPr>
                <w:rFonts w:hint="eastAsia" w:ascii="仿宋" w:hAnsi="仿宋" w:eastAsia="仿宋" w:cs="仿宋"/>
                <w:color w:val="auto"/>
                <w:kern w:val="0"/>
                <w:sz w:val="28"/>
                <w:szCs w:val="28"/>
                <w:highlight w:val="none"/>
                <w:u w:val="none"/>
                <w:lang w:bidi="ar"/>
              </w:rPr>
              <w:t>承诺函</w:t>
            </w:r>
            <w:r>
              <w:rPr>
                <w:rFonts w:hint="eastAsia" w:ascii="仿宋" w:hAnsi="仿宋" w:eastAsia="仿宋" w:cs="仿宋"/>
                <w:color w:val="auto"/>
                <w:kern w:val="0"/>
                <w:sz w:val="28"/>
                <w:szCs w:val="28"/>
                <w:highlight w:val="none"/>
                <w:u w:val="none"/>
                <w:lang w:eastAsia="zh-CN" w:bidi="ar"/>
              </w:rPr>
              <w:t>，</w:t>
            </w:r>
            <w:r>
              <w:rPr>
                <w:rFonts w:hint="eastAsia" w:ascii="仿宋" w:hAnsi="仿宋" w:eastAsia="仿宋" w:cs="仿宋"/>
                <w:color w:val="auto"/>
                <w:kern w:val="0"/>
                <w:sz w:val="28"/>
                <w:szCs w:val="28"/>
                <w:highlight w:val="none"/>
                <w:u w:val="none"/>
                <w:lang w:val="en-US" w:eastAsia="zh-CN" w:bidi="ar"/>
              </w:rPr>
              <w:t>格式自拟）</w:t>
            </w:r>
            <w:r>
              <w:rPr>
                <w:rFonts w:hint="eastAsia" w:ascii="仿宋" w:hAnsi="仿宋" w:eastAsia="仿宋" w:cs="仿宋"/>
                <w:i w:val="0"/>
                <w:iCs w:val="0"/>
                <w:color w:val="auto"/>
                <w:kern w:val="0"/>
                <w:sz w:val="28"/>
                <w:szCs w:val="2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参加采购活动前3年内，在经营活动中没有重大违法记录</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kern w:val="0"/>
                <w:sz w:val="28"/>
                <w:szCs w:val="28"/>
                <w:highlight w:val="none"/>
                <w:u w:val="none"/>
                <w:lang w:bidi="ar"/>
              </w:rPr>
              <w:t>参加采购活动前三年内，在经营活动中没有重大违法记录（提供书面声明函</w:t>
            </w:r>
            <w:r>
              <w:rPr>
                <w:rFonts w:hint="eastAsia" w:ascii="仿宋" w:hAnsi="仿宋" w:eastAsia="仿宋" w:cs="仿宋"/>
                <w:color w:val="auto"/>
                <w:kern w:val="0"/>
                <w:sz w:val="28"/>
                <w:szCs w:val="28"/>
                <w:highlight w:val="none"/>
                <w:u w:val="none"/>
                <w:lang w:eastAsia="zh-CN" w:bidi="ar"/>
              </w:rPr>
              <w:t>，</w:t>
            </w:r>
            <w:r>
              <w:rPr>
                <w:rFonts w:hint="eastAsia" w:ascii="仿宋" w:hAnsi="仿宋" w:eastAsia="仿宋" w:cs="仿宋"/>
                <w:color w:val="auto"/>
                <w:kern w:val="0"/>
                <w:sz w:val="28"/>
                <w:szCs w:val="28"/>
                <w:highlight w:val="none"/>
                <w:u w:val="none"/>
                <w:lang w:val="en-US" w:eastAsia="zh-CN" w:bidi="ar"/>
              </w:rPr>
              <w:t>格式自拟</w:t>
            </w:r>
            <w:r>
              <w:rPr>
                <w:rFonts w:hint="eastAsia" w:ascii="仿宋" w:hAnsi="仿宋" w:eastAsia="仿宋" w:cs="仿宋"/>
                <w:color w:val="auto"/>
                <w:kern w:val="0"/>
                <w:sz w:val="28"/>
                <w:szCs w:val="28"/>
                <w:highlight w:val="none"/>
                <w:u w:val="none"/>
                <w:lang w:bidi="ar"/>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信用记录</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spacing w:beforeLines="0" w:afterLines="0" w:line="500" w:lineRule="exact"/>
              <w:jc w:val="left"/>
              <w:textAlignment w:val="auto"/>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sz w:val="28"/>
                <w:szCs w:val="28"/>
                <w:highlight w:val="none"/>
                <w:lang w:val="zh-CN"/>
              </w:rPr>
              <w:t>供应商未被列入“信用中国”网站(www.creditchina.gov.cn)“记录失信被执行人或重大税收违法失信主体”；不处于中国政府采购网(www.ccgp.gov.cn)“政府采购严重违法失信行为信息记录”中的禁止参加政府采购活动期间。请供应商提供查询结果截图（以资格审查人员于投标（响应）截止时间当天在“信用中国”网站（www.creditchina.gov.cn）及中国政府采购网（http://www.ccgp.gov.cn/）查询结果为准，如相关失信记录已失效，供应商需提供相关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供应商必须符合法律、行政法规规定的其他条件</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单位负责人为同一人或者存在直接控股、管理关系的不同供应商，不得同时参加本采购项目（或采购包） 投标（响应）；为本项目提供整体设计、规范编制或者项目管理、监理、检测等服务的供应商，不得再参与本项目投标（响应）</w:t>
            </w:r>
            <w:r>
              <w:rPr>
                <w:rFonts w:hint="eastAsia" w:ascii="仿宋" w:hAnsi="仿宋" w:eastAsia="仿宋" w:cs="仿宋"/>
                <w:color w:val="auto"/>
                <w:kern w:val="0"/>
                <w:sz w:val="28"/>
                <w:szCs w:val="28"/>
                <w:highlight w:val="none"/>
                <w:u w:val="none"/>
                <w:lang w:bidi="ar"/>
              </w:rPr>
              <w:t>（提供书面声明</w:t>
            </w:r>
            <w:r>
              <w:rPr>
                <w:rFonts w:hint="eastAsia" w:ascii="仿宋" w:hAnsi="仿宋" w:eastAsia="仿宋" w:cs="仿宋"/>
                <w:color w:val="auto"/>
                <w:kern w:val="0"/>
                <w:sz w:val="28"/>
                <w:szCs w:val="28"/>
                <w:highlight w:val="none"/>
                <w:u w:val="none"/>
                <w:lang w:val="en-US" w:eastAsia="zh-CN" w:bidi="ar"/>
              </w:rPr>
              <w:t>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kern w:val="0"/>
                <w:sz w:val="28"/>
                <w:szCs w:val="28"/>
                <w:highlight w:val="none"/>
                <w:u w:val="none"/>
                <w:lang w:bidi="ar"/>
              </w:rPr>
              <w:t>）</w:t>
            </w:r>
            <w:r>
              <w:rPr>
                <w:rFonts w:hint="eastAsia" w:ascii="仿宋" w:hAnsi="仿宋" w:eastAsia="仿宋" w:cs="仿宋"/>
                <w:i w:val="0"/>
                <w:iCs w:val="0"/>
                <w:color w:val="auto"/>
                <w:kern w:val="0"/>
                <w:sz w:val="28"/>
                <w:szCs w:val="2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kern w:val="0"/>
                <w:sz w:val="28"/>
                <w:szCs w:val="28"/>
                <w:highlight w:val="none"/>
                <w:u w:val="none"/>
                <w:lang w:bidi="ar"/>
              </w:rPr>
              <w:t>联合体投标</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本项目不接受联合体投标，不允许供应商对本采购内容进行分包和转包。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仿宋" w:hAnsi="仿宋" w:eastAsia="仿宋" w:cs="仿宋"/>
                <w:color w:val="auto"/>
                <w:kern w:val="0"/>
                <w:sz w:val="28"/>
                <w:szCs w:val="28"/>
                <w:highlight w:val="none"/>
                <w:u w:val="none"/>
                <w:lang w:val="en-US" w:eastAsia="zh-CN" w:bidi="ar"/>
              </w:rPr>
            </w:pPr>
            <w:r>
              <w:rPr>
                <w:rFonts w:hint="eastAsia" w:ascii="仿宋" w:hAnsi="仿宋" w:eastAsia="仿宋" w:cs="仿宋"/>
                <w:color w:val="auto"/>
                <w:sz w:val="28"/>
                <w:szCs w:val="28"/>
                <w:highlight w:val="none"/>
                <w:lang w:val="en-US" w:eastAsia="zh-CN"/>
              </w:rPr>
              <w:t>本项目专门面向中小企业采购。</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2"/>
              <w:numPr>
                <w:ilvl w:val="0"/>
                <w:numId w:val="0"/>
              </w:numPr>
              <w:tabs>
                <w:tab w:val="left" w:pos="540"/>
              </w:tabs>
              <w:adjustRightInd w:val="0"/>
              <w:snapToGrid w:val="0"/>
              <w:spacing w:line="560" w:lineRule="exact"/>
              <w:ind w:leftChars="0" w:firstLine="0" w:firstLineChars="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参与的供应商服务全部由符合政策要求的中小企业承接。监狱企业、残疾人福利单位视同小型、微型企业。供应商响应时提供《中小企业声明函》。（注：中小企业以供应商填写的《中小企业声明函》（见第五部分 响应文件格式）为判定标准，残疾人福利性单位以供应商填写的《残疾人福利性单位声明函》（见第五部分 响应文件格式）为判定标准，监狱企业须供应商提供由省级以上监狱管理局、戒毒管理局（含新疆生产建设兵团）出具的属于监狱企业的证明文件，否则不予认定。） </w:t>
            </w:r>
          </w:p>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bl>
    <w:p>
      <w:pPr>
        <w:rPr>
          <w:rFonts w:hint="eastAsia" w:ascii="仿宋" w:hAnsi="仿宋" w:eastAsia="仿宋" w:cs="仿宋"/>
          <w:b/>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1、响应供应商分栏中填写“○”表示该项符合招标文件要求，“×”表示该项不符合招标文件要求；</w:t>
      </w:r>
    </w:p>
    <w:p>
      <w:p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结论栏中填写“通过”表示该响应供应商投标文件符合招标文件要求，“不通过”表示该响应供应商投标文件不符合招标文件要求。</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3、结论汇总意见采取少数服从多数原则，即超过半数评委的结论为“通过”则该响应供应商通过</w:t>
      </w:r>
      <w:r>
        <w:rPr>
          <w:rFonts w:hint="eastAsia" w:ascii="仿宋" w:hAnsi="仿宋" w:eastAsia="仿宋" w:cs="仿宋"/>
          <w:bCs/>
          <w:color w:val="auto"/>
          <w:sz w:val="24"/>
          <w:szCs w:val="24"/>
          <w:highlight w:val="none"/>
        </w:rPr>
        <w:t>初步评审，否则不通过</w:t>
      </w:r>
      <w:r>
        <w:rPr>
          <w:rFonts w:hint="eastAsia" w:ascii="仿宋" w:hAnsi="仿宋" w:eastAsia="仿宋" w:cs="仿宋"/>
          <w:color w:val="auto"/>
          <w:sz w:val="24"/>
          <w:szCs w:val="24"/>
          <w:highlight w:val="none"/>
        </w:rPr>
        <w:t>。</w:t>
      </w:r>
      <w:r>
        <w:rPr>
          <w:rFonts w:hint="eastAsia" w:ascii="仿宋" w:hAnsi="仿宋" w:eastAsia="仿宋" w:cs="仿宋"/>
          <w:color w:val="auto"/>
          <w:sz w:val="28"/>
          <w:szCs w:val="28"/>
          <w:highlight w:val="none"/>
        </w:rPr>
        <w:br w:type="page"/>
      </w:r>
      <w:bookmarkStart w:id="48" w:name="_Toc3094"/>
    </w:p>
    <w:p>
      <w:pPr>
        <w:pStyle w:val="6"/>
        <w:keepNext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lang w:val="en-GB" w:eastAsia="zh-CN"/>
        </w:rPr>
        <w:t>二</w:t>
      </w:r>
      <w:r>
        <w:rPr>
          <w:rFonts w:hint="eastAsia" w:ascii="仿宋" w:hAnsi="仿宋" w:eastAsia="仿宋" w:cs="仿宋"/>
          <w:color w:val="auto"/>
          <w:sz w:val="28"/>
          <w:szCs w:val="28"/>
          <w:highlight w:val="none"/>
          <w:lang w:val="en-GB"/>
        </w:rPr>
        <w:t>：</w:t>
      </w:r>
      <w:r>
        <w:rPr>
          <w:rFonts w:hint="eastAsia" w:ascii="仿宋" w:hAnsi="仿宋" w:eastAsia="仿宋" w:cs="仿宋"/>
          <w:color w:val="auto"/>
          <w:sz w:val="28"/>
          <w:szCs w:val="28"/>
          <w:highlight w:val="none"/>
        </w:rPr>
        <w:t>符合性审查表</w:t>
      </w:r>
    </w:p>
    <w:tbl>
      <w:tblPr>
        <w:tblStyle w:val="38"/>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4193"/>
        <w:gridCol w:w="4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序</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评审点要求概况</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磋商有效期是否满足磋商文件要求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磋商有效期是否满足磋商文件要求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响应文件符合磋商文件的签署和盖章要求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响应文件符合磋商文件的签署和盖章要求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带★号条款是否满足磋商文件要求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带★号条款是否满足磋商文件要求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磋商最终报价是固定唯一价且未超预算价的</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磋商最终报价是固定唯一价且未超预算价的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响应文件的实质性响应情况符合磋商文件要求，且无磋商小组认定为无效投标的</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响应文件的实质性响应情况符合磋商文件要求，且无磋商小组认定为无效投标的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rPr>
              <w:t>认为供应商没有串通投标情形</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rPr>
              <w:t>认为供应商没有串通投标情形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无法律、法规、规章规定无效投标、未实质性响应的其他情形</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无法律、法规、规章规定无效投标、未实质性响应的其他情形</w:t>
            </w: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1、响应供应商分栏中填写“○”表示该项符合招标文件要求，“×”表示该项不符合招标文件要求；</w:t>
      </w:r>
    </w:p>
    <w:p>
      <w:p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结论栏中填写“通过”表示该响应供应商投标文件符合招标文件要求，“不通过”表示该响应供应商投标文件不符合招标文件要求。</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3、结论汇总意见采取少数服从多数原则，即超过半数评委的结论为“通过”则该响应供应商通过</w:t>
      </w:r>
      <w:r>
        <w:rPr>
          <w:rFonts w:hint="eastAsia" w:ascii="仿宋" w:hAnsi="仿宋" w:eastAsia="仿宋" w:cs="仿宋"/>
          <w:bCs w:val="0"/>
          <w:color w:val="auto"/>
          <w:sz w:val="24"/>
          <w:szCs w:val="24"/>
          <w:highlight w:val="none"/>
        </w:rPr>
        <w:t>初步评审，否则不通过</w:t>
      </w:r>
      <w:r>
        <w:rPr>
          <w:rFonts w:hint="eastAsia" w:ascii="仿宋" w:hAnsi="仿宋" w:eastAsia="仿宋" w:cs="仿宋"/>
          <w:color w:val="auto"/>
          <w:sz w:val="24"/>
          <w:szCs w:val="24"/>
          <w:highlight w:val="none"/>
        </w:rPr>
        <w:t>。</w:t>
      </w:r>
    </w:p>
    <w:p>
      <w:pPr>
        <w:pStyle w:val="6"/>
        <w:keepNext/>
        <w:ind w:firstLine="0"/>
        <w:rPr>
          <w:rFonts w:hint="eastAsia" w:ascii="仿宋" w:hAnsi="仿宋" w:eastAsia="仿宋" w:cs="仿宋"/>
          <w:b/>
          <w:bCs/>
          <w:color w:val="auto"/>
          <w:sz w:val="28"/>
          <w:szCs w:val="28"/>
          <w:highlight w:val="none"/>
          <w:lang w:val="en-GB" w:eastAsia="zh-CN"/>
        </w:rPr>
      </w:pP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lang w:val="en-GB" w:eastAsia="zh-CN"/>
        </w:rPr>
        <w:t>三</w:t>
      </w:r>
      <w:r>
        <w:rPr>
          <w:rFonts w:hint="eastAsia" w:ascii="仿宋" w:hAnsi="仿宋" w:eastAsia="仿宋" w:cs="仿宋"/>
          <w:color w:val="auto"/>
          <w:sz w:val="28"/>
          <w:szCs w:val="28"/>
          <w:highlight w:val="none"/>
          <w:lang w:val="en-GB"/>
        </w:rPr>
        <w:t>：</w:t>
      </w:r>
      <w:bookmarkEnd w:id="48"/>
      <w:r>
        <w:rPr>
          <w:rFonts w:hint="eastAsia" w:ascii="仿宋" w:hAnsi="仿宋" w:eastAsia="仿宋" w:cs="仿宋"/>
          <w:b/>
          <w:bCs/>
          <w:color w:val="auto"/>
          <w:sz w:val="28"/>
          <w:szCs w:val="28"/>
          <w:highlight w:val="none"/>
          <w:lang w:val="en-GB" w:eastAsia="zh-CN"/>
        </w:rPr>
        <w:t>技术商务、价格评分表</w:t>
      </w:r>
    </w:p>
    <w:tbl>
      <w:tblPr>
        <w:tblStyle w:val="38"/>
        <w:tblW w:w="9496" w:type="dxa"/>
        <w:tblInd w:w="-2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8"/>
        <w:gridCol w:w="1802"/>
        <w:gridCol w:w="62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tcBorders>
              <w:top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评审因素</w:t>
            </w:r>
          </w:p>
        </w:tc>
        <w:tc>
          <w:tcPr>
            <w:tcW w:w="8038" w:type="dxa"/>
            <w:gridSpan w:val="2"/>
            <w:tcBorders>
              <w:top w:val="single" w:color="auto" w:sz="4" w:space="0"/>
              <w:left w:val="single" w:color="auto" w:sz="4" w:space="0"/>
              <w:right w:val="single" w:color="auto" w:sz="4" w:space="0"/>
            </w:tcBorders>
            <w:vAlign w:val="center"/>
          </w:tcPr>
          <w:p>
            <w:pPr>
              <w:pStyle w:val="7"/>
              <w:spacing w:line="500" w:lineRule="exact"/>
              <w:ind w:firstLine="0" w:firstLineChars="0"/>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tcBorders>
              <w:top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分值构成</w:t>
            </w:r>
          </w:p>
        </w:tc>
        <w:tc>
          <w:tcPr>
            <w:tcW w:w="8038" w:type="dxa"/>
            <w:gridSpan w:val="2"/>
            <w:tcBorders>
              <w:top w:val="single" w:color="auto" w:sz="4" w:space="0"/>
              <w:left w:val="single" w:color="auto" w:sz="4" w:space="0"/>
              <w:right w:val="single" w:color="auto" w:sz="4" w:space="0"/>
            </w:tcBorders>
            <w:vAlign w:val="center"/>
          </w:tcPr>
          <w:p>
            <w:pPr>
              <w:widowControl/>
              <w:spacing w:line="50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1、报价部分</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u w:val="single"/>
                <w:lang w:val="en-US" w:eastAsia="zh-CN"/>
              </w:rPr>
              <w:t>0</w:t>
            </w:r>
            <w:r>
              <w:rPr>
                <w:rFonts w:hint="eastAsia" w:ascii="仿宋" w:hAnsi="仿宋" w:eastAsia="仿宋" w:cs="仿宋"/>
                <w:b/>
                <w:bCs/>
                <w:color w:val="auto"/>
                <w:sz w:val="28"/>
                <w:szCs w:val="28"/>
                <w:highlight w:val="none"/>
                <w:lang w:val="en-US"/>
              </w:rPr>
              <w:t>分</w:t>
            </w:r>
          </w:p>
          <w:p>
            <w:pPr>
              <w:widowControl/>
              <w:spacing w:line="50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rPr>
              <w:t>2、</w:t>
            </w:r>
            <w:r>
              <w:rPr>
                <w:rFonts w:hint="eastAsia" w:ascii="仿宋" w:hAnsi="仿宋" w:eastAsia="仿宋" w:cs="仿宋"/>
                <w:b/>
                <w:bCs/>
                <w:color w:val="auto"/>
                <w:sz w:val="28"/>
                <w:szCs w:val="28"/>
                <w:highlight w:val="none"/>
                <w:lang w:val="en-US" w:eastAsia="zh-CN"/>
              </w:rPr>
              <w:t>技术</w:t>
            </w:r>
            <w:r>
              <w:rPr>
                <w:rFonts w:hint="eastAsia" w:ascii="仿宋" w:hAnsi="仿宋" w:eastAsia="仿宋" w:cs="仿宋"/>
                <w:b/>
                <w:bCs/>
                <w:color w:val="auto"/>
                <w:sz w:val="28"/>
                <w:szCs w:val="28"/>
                <w:highlight w:val="none"/>
                <w:lang w:val="en-US"/>
              </w:rPr>
              <w:t>部分</w:t>
            </w:r>
            <w:r>
              <w:rPr>
                <w:rFonts w:hint="eastAsia" w:ascii="仿宋" w:hAnsi="仿宋" w:eastAsia="仿宋" w:cs="仿宋"/>
                <w:b/>
                <w:bCs/>
                <w:color w:val="auto"/>
                <w:sz w:val="28"/>
                <w:szCs w:val="28"/>
                <w:highlight w:val="none"/>
                <w:lang w:val="en-US" w:eastAsia="zh-CN"/>
              </w:rPr>
              <w:t>55</w:t>
            </w:r>
            <w:r>
              <w:rPr>
                <w:rFonts w:hint="eastAsia" w:ascii="仿宋" w:hAnsi="仿宋" w:eastAsia="仿宋" w:cs="仿宋"/>
                <w:b/>
                <w:bCs/>
                <w:color w:val="auto"/>
                <w:sz w:val="28"/>
                <w:szCs w:val="28"/>
                <w:highlight w:val="none"/>
                <w:lang w:val="en-US"/>
              </w:rPr>
              <w:t>分</w:t>
            </w:r>
          </w:p>
          <w:p>
            <w:pPr>
              <w:pStyle w:val="7"/>
              <w:spacing w:line="500" w:lineRule="exact"/>
              <w:ind w:firstLine="0" w:firstLineChars="0"/>
              <w:rPr>
                <w:rFonts w:hint="eastAsia" w:ascii="仿宋" w:hAnsi="仿宋" w:eastAsia="仿宋" w:cs="仿宋"/>
                <w:b/>
                <w:color w:val="auto"/>
                <w:sz w:val="28"/>
                <w:szCs w:val="28"/>
                <w:highlight w:val="none"/>
                <w:lang w:val="en-US" w:eastAsia="zh-CN"/>
              </w:rPr>
            </w:pPr>
            <w:r>
              <w:rPr>
                <w:rFonts w:hint="eastAsia" w:ascii="仿宋" w:hAnsi="仿宋" w:eastAsia="仿宋" w:cs="仿宋"/>
                <w:b/>
                <w:bCs/>
                <w:color w:val="auto"/>
                <w:sz w:val="28"/>
                <w:szCs w:val="28"/>
                <w:highlight w:val="none"/>
                <w:lang w:val="en-US"/>
              </w:rPr>
              <w:t>3、</w:t>
            </w:r>
            <w:r>
              <w:rPr>
                <w:rFonts w:hint="eastAsia" w:ascii="仿宋" w:hAnsi="仿宋" w:eastAsia="仿宋" w:cs="仿宋"/>
                <w:b/>
                <w:bCs/>
                <w:color w:val="auto"/>
                <w:sz w:val="28"/>
                <w:szCs w:val="28"/>
                <w:highlight w:val="none"/>
                <w:lang w:val="en-US" w:eastAsia="zh-CN"/>
              </w:rPr>
              <w:t>商务</w:t>
            </w:r>
            <w:r>
              <w:rPr>
                <w:rFonts w:hint="eastAsia" w:ascii="仿宋" w:hAnsi="仿宋" w:eastAsia="仿宋" w:cs="仿宋"/>
                <w:b/>
                <w:bCs/>
                <w:color w:val="auto"/>
                <w:sz w:val="28"/>
                <w:szCs w:val="28"/>
                <w:highlight w:val="none"/>
                <w:lang w:val="en-US"/>
              </w:rPr>
              <w:t>部分</w:t>
            </w:r>
            <w:r>
              <w:rPr>
                <w:rFonts w:hint="eastAsia" w:ascii="仿宋" w:hAnsi="仿宋" w:eastAsia="仿宋" w:cs="仿宋"/>
                <w:b/>
                <w:bCs/>
                <w:color w:val="auto"/>
                <w:sz w:val="28"/>
                <w:szCs w:val="28"/>
                <w:highlight w:val="none"/>
                <w:lang w:val="en-US" w:eastAsia="zh-CN"/>
              </w:rPr>
              <w:t>25</w:t>
            </w:r>
            <w:r>
              <w:rPr>
                <w:rFonts w:hint="eastAsia" w:ascii="仿宋" w:hAnsi="仿宋" w:eastAsia="仿宋" w:cs="仿宋"/>
                <w:b/>
                <w:bCs/>
                <w:color w:val="auto"/>
                <w:sz w:val="28"/>
                <w:szCs w:val="28"/>
                <w:highlight w:val="none"/>
                <w:lang w:val="en-US"/>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tcBorders>
              <w:top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报价</w:t>
            </w:r>
            <w:r>
              <w:rPr>
                <w:rFonts w:hint="eastAsia" w:ascii="仿宋" w:hAnsi="仿宋" w:eastAsia="仿宋" w:cs="仿宋"/>
                <w:b/>
                <w:bCs/>
                <w:color w:val="auto"/>
                <w:sz w:val="28"/>
                <w:szCs w:val="28"/>
                <w:highlight w:val="none"/>
                <w:lang w:val="en-US"/>
              </w:rPr>
              <w:t>部分</w:t>
            </w:r>
          </w:p>
        </w:tc>
        <w:tc>
          <w:tcPr>
            <w:tcW w:w="1802" w:type="dxa"/>
            <w:tcBorders>
              <w:top w:val="single" w:color="auto" w:sz="4" w:space="0"/>
              <w:left w:val="single" w:color="auto" w:sz="4" w:space="0"/>
              <w:right w:val="single" w:color="auto" w:sz="4" w:space="0"/>
            </w:tcBorders>
            <w:vAlign w:val="center"/>
          </w:tcPr>
          <w:p>
            <w:pPr>
              <w:widowControl/>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投标报价</w:t>
            </w:r>
          </w:p>
          <w:p>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得分（</w:t>
            </w:r>
            <w:r>
              <w:rPr>
                <w:rFonts w:hint="eastAsia" w:ascii="仿宋" w:hAnsi="仿宋" w:eastAsia="仿宋" w:cs="仿宋"/>
                <w:b/>
                <w:bCs/>
                <w:color w:val="auto"/>
                <w:sz w:val="28"/>
                <w:szCs w:val="28"/>
                <w:highlight w:val="none"/>
                <w:lang w:val="en-US" w:eastAsia="zh-CN"/>
              </w:rPr>
              <w:t>20</w:t>
            </w:r>
            <w:r>
              <w:rPr>
                <w:rFonts w:hint="eastAsia" w:ascii="仿宋" w:hAnsi="仿宋" w:eastAsia="仿宋" w:cs="仿宋"/>
                <w:b/>
                <w:bCs/>
                <w:color w:val="auto"/>
                <w:sz w:val="28"/>
                <w:szCs w:val="28"/>
                <w:highlight w:val="none"/>
                <w:lang w:val="en-US"/>
              </w:rPr>
              <w:t>分</w:t>
            </w:r>
            <w:r>
              <w:rPr>
                <w:rFonts w:hint="eastAsia" w:ascii="仿宋" w:hAnsi="仿宋" w:eastAsia="仿宋" w:cs="仿宋"/>
                <w:b/>
                <w:bCs/>
                <w:color w:val="auto"/>
                <w:sz w:val="28"/>
                <w:szCs w:val="28"/>
                <w:highlight w:val="none"/>
              </w:rPr>
              <w:t>）</w:t>
            </w:r>
          </w:p>
        </w:tc>
        <w:tc>
          <w:tcPr>
            <w:tcW w:w="6236" w:type="dxa"/>
            <w:tcBorders>
              <w:top w:val="single" w:color="auto" w:sz="4" w:space="0"/>
              <w:left w:val="single" w:color="auto" w:sz="4" w:space="0"/>
              <w:bottom w:val="single" w:color="auto" w:sz="4" w:space="0"/>
              <w:right w:val="single" w:color="auto" w:sz="4" w:space="0"/>
            </w:tcBorders>
            <w:vAlign w:val="center"/>
          </w:tcPr>
          <w:p>
            <w:pPr>
              <w:pStyle w:val="7"/>
              <w:spacing w:line="48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采用低价优先法计算，即满足磋商文件要求且投标价格最低的投标报价为磋商基准价，其价格分为满分，其他供应商的价格分统一按下列公式计算：</w:t>
            </w:r>
          </w:p>
          <w:p>
            <w:pPr>
              <w:pStyle w:val="7"/>
              <w:spacing w:line="48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磋商报价得分=（磋商基准价/最后磋商报价）×价格权值×100</w:t>
            </w:r>
            <w:r>
              <w:rPr>
                <w:rFonts w:hint="eastAsia" w:ascii="仿宋" w:hAnsi="仿宋" w:eastAsia="仿宋" w:cs="仿宋"/>
                <w:color w:val="auto"/>
                <w:sz w:val="28"/>
                <w:szCs w:val="28"/>
                <w:highlight w:val="none"/>
                <w:lang w:val="en-US" w:eastAsia="zh-CN"/>
              </w:rPr>
              <w:t xml:space="preserve"> （注：</w:t>
            </w:r>
            <w:r>
              <w:rPr>
                <w:rFonts w:hint="eastAsia" w:ascii="仿宋" w:hAnsi="仿宋" w:eastAsia="仿宋" w:cs="仿宋"/>
                <w:color w:val="auto"/>
                <w:sz w:val="28"/>
                <w:szCs w:val="28"/>
                <w:highlight w:val="none"/>
              </w:rPr>
              <w:t>最低报价不是中标的唯一依据</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vMerge w:val="restart"/>
            <w:tcBorders>
              <w:top w:val="single" w:color="auto" w:sz="4" w:space="0"/>
              <w:right w:val="single" w:color="auto" w:sz="4" w:space="0"/>
            </w:tcBorders>
            <w:vAlign w:val="center"/>
          </w:tcPr>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pStyle w:val="14"/>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b/>
                <w:bCs/>
                <w:color w:val="auto"/>
                <w:sz w:val="28"/>
                <w:szCs w:val="28"/>
                <w:highlight w:val="none"/>
              </w:rPr>
            </w:pPr>
          </w:p>
          <w:p>
            <w:pPr>
              <w:spacing w:line="48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技术部分</w:t>
            </w:r>
          </w:p>
          <w:p>
            <w:pPr>
              <w:spacing w:line="480" w:lineRule="exact"/>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（55分）</w:t>
            </w: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napToGrid/>
              <w:spacing w:line="480" w:lineRule="exact"/>
              <w:ind w:firstLine="0" w:firstLineChars="0"/>
              <w:jc w:val="both"/>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numPr>
                <w:ilvl w:val="-1"/>
                <w:numId w:val="0"/>
              </w:numPr>
              <w:spacing w:line="480" w:lineRule="exact"/>
              <w:jc w:val="left"/>
              <w:rPr>
                <w:rFonts w:hint="eastAsia" w:ascii="仿宋" w:hAnsi="仿宋" w:eastAsia="仿宋" w:cs="仿宋"/>
                <w:b w:val="0"/>
                <w:bCs w:val="0"/>
                <w:color w:val="auto"/>
                <w:sz w:val="28"/>
                <w:szCs w:val="28"/>
                <w:highlight w:val="none"/>
                <w:lang w:eastAsia="zh-CN"/>
              </w:rPr>
            </w:pPr>
            <w:r>
              <w:rPr>
                <w:rFonts w:hint="eastAsia" w:ascii="仿宋" w:hAnsi="仿宋" w:eastAsia="仿宋" w:cs="仿宋"/>
                <w:b/>
                <w:bCs/>
                <w:color w:val="auto"/>
                <w:sz w:val="28"/>
                <w:szCs w:val="28"/>
                <w:highlight w:val="none"/>
                <w:lang w:eastAsia="zh-CN"/>
              </w:rPr>
              <w:t>服务内容</w:t>
            </w:r>
            <w:r>
              <w:rPr>
                <w:rFonts w:hint="eastAsia" w:ascii="仿宋" w:hAnsi="仿宋" w:eastAsia="仿宋" w:cs="仿宋"/>
                <w:b/>
                <w:bCs/>
                <w:color w:val="auto"/>
                <w:sz w:val="28"/>
                <w:szCs w:val="28"/>
                <w:highlight w:val="none"/>
              </w:rPr>
              <w:t>响应程度</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15分</w:t>
            </w:r>
            <w:r>
              <w:rPr>
                <w:rFonts w:hint="eastAsia" w:ascii="仿宋" w:hAnsi="仿宋" w:eastAsia="仿宋" w:cs="仿宋"/>
                <w:b/>
                <w:bCs/>
                <w:color w:val="auto"/>
                <w:sz w:val="28"/>
                <w:szCs w:val="28"/>
                <w:highlight w:val="none"/>
                <w:lang w:eastAsia="zh-CN"/>
              </w:rPr>
              <w:t>）</w:t>
            </w:r>
          </w:p>
        </w:tc>
        <w:tc>
          <w:tcPr>
            <w:tcW w:w="6236"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480" w:lineRule="exact"/>
              <w:jc w:val="left"/>
              <w:rPr>
                <w:rFonts w:hint="eastAsia" w:ascii="仿宋" w:hAnsi="仿宋" w:eastAsia="仿宋" w:cs="仿宋"/>
                <w:bCs w:val="0"/>
                <w:color w:val="auto"/>
                <w:kern w:val="2"/>
                <w:sz w:val="28"/>
                <w:szCs w:val="28"/>
                <w:highlight w:val="none"/>
                <w:lang w:val="en-US" w:bidi="zh-CN"/>
              </w:rPr>
            </w:pPr>
            <w:r>
              <w:rPr>
                <w:rFonts w:hint="eastAsia" w:ascii="仿宋" w:hAnsi="仿宋" w:eastAsia="仿宋" w:cs="仿宋"/>
                <w:b w:val="0"/>
                <w:bCs w:val="0"/>
                <w:color w:val="auto"/>
                <w:sz w:val="28"/>
                <w:szCs w:val="28"/>
                <w:highlight w:val="none"/>
                <w:vertAlign w:val="baseline"/>
                <w:lang w:val="en-US" w:eastAsia="zh-CN"/>
              </w:rPr>
              <w:t>根据各供应商对磋商文件的“技术参数指标、技术规格及要求”是否满足采购需求的情况进行评审：</w:t>
            </w:r>
          </w:p>
          <w:p>
            <w:pPr>
              <w:numPr>
                <w:ilvl w:val="-1"/>
                <w:numId w:val="0"/>
              </w:numPr>
              <w:spacing w:line="48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vertAlign w:val="baseline"/>
                <w:lang w:val="en-US" w:eastAsia="zh-CN"/>
              </w:rPr>
              <w:t>标“▲”号的重要技术参数未响应或不满足的，每1项负偏离扣3分，一</w:t>
            </w:r>
            <w:r>
              <w:rPr>
                <w:rFonts w:hint="eastAsia" w:ascii="仿宋" w:hAnsi="仿宋" w:eastAsia="仿宋" w:cs="仿宋"/>
                <w:bCs w:val="0"/>
                <w:color w:val="auto"/>
                <w:kern w:val="2"/>
                <w:sz w:val="28"/>
                <w:szCs w:val="28"/>
                <w:highlight w:val="none"/>
                <w:lang w:val="en-US" w:bidi="zh-CN"/>
              </w:rPr>
              <w:t>般条款未响应或不满足，每1项负偏离扣1分；直至本项分数扣完为止。</w:t>
            </w:r>
            <w:r>
              <w:rPr>
                <w:rFonts w:hint="eastAsia" w:ascii="仿宋" w:hAnsi="仿宋" w:eastAsia="仿宋" w:cs="仿宋"/>
                <w:b w:val="0"/>
                <w:bCs w:val="0"/>
                <w:color w:val="auto"/>
                <w:sz w:val="28"/>
                <w:szCs w:val="28"/>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8" w:type="dxa"/>
            <w:vMerge w:val="continue"/>
            <w:tcBorders>
              <w:right w:val="single" w:color="auto" w:sz="4" w:space="0"/>
            </w:tcBorders>
            <w:vAlign w:val="center"/>
          </w:tcPr>
          <w:p>
            <w:pPr>
              <w:snapToGrid/>
              <w:spacing w:line="480" w:lineRule="exact"/>
              <w:ind w:firstLine="0" w:firstLineChars="0"/>
              <w:jc w:val="both"/>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spacing w:line="480" w:lineRule="exact"/>
              <w:ind w:firstLine="0" w:firstLineChars="0"/>
              <w:jc w:val="center"/>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snapToGrid w:val="0"/>
                <w:color w:val="auto"/>
                <w:kern w:val="0"/>
                <w:sz w:val="28"/>
                <w:szCs w:val="28"/>
                <w:highlight w:val="none"/>
                <w:lang w:val="en-US" w:eastAsia="zh-CN"/>
              </w:rPr>
              <w:t>项目实施方案（10.0分）</w:t>
            </w:r>
          </w:p>
        </w:tc>
        <w:tc>
          <w:tcPr>
            <w:tcW w:w="6236"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根据供应商提供的专业化防控实施方案进行评审（实施方案包含但不限于采购项目的专业防控管理机制，防控技术指导服务支撑，实时监控防控</w:t>
            </w:r>
          </w:p>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轨迹、防控过程和药剂使用情况调查评价等）进行评审： </w:t>
            </w:r>
          </w:p>
          <w:p>
            <w:pPr>
              <w:numPr>
                <w:ilvl w:val="0"/>
                <w:numId w:val="4"/>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实施方案内容描述清晰、完整，完全满足本项目的实际需要，可操作性强的，得10分；</w:t>
            </w:r>
          </w:p>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2、实施方案描述较清晰，较完整，较满足本项目的实际需要，可操作性较强的，得7分；</w:t>
            </w:r>
          </w:p>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3、实施方案描述基本清晰、基本完整，基本满足本项目的实际需要，可操作性一般的，得4分；</w:t>
            </w:r>
          </w:p>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4、实施方案描述基本清晰、基本完整，基本满足本项目的实际需要，可操作性较差的，得2分；</w:t>
            </w:r>
          </w:p>
          <w:p>
            <w:pPr>
              <w:numPr>
                <w:ilvl w:val="-1"/>
                <w:numId w:val="0"/>
              </w:numPr>
              <w:spacing w:line="480" w:lineRule="exact"/>
              <w:ind w:left="0" w:leftChars="0" w:firstLine="0" w:firstLineChars="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rPr>
              <w:t>5、未提供方案不得分。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8" w:type="dxa"/>
            <w:vMerge w:val="continue"/>
            <w:tcBorders>
              <w:right w:val="single" w:color="auto" w:sz="4" w:space="0"/>
            </w:tcBorders>
            <w:vAlign w:val="center"/>
          </w:tcPr>
          <w:p>
            <w:pPr>
              <w:snapToGrid/>
              <w:spacing w:line="480" w:lineRule="exact"/>
              <w:ind w:firstLine="0" w:firstLineChars="0"/>
              <w:jc w:val="both"/>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hint="eastAsia" w:ascii="仿宋" w:hAnsi="仿宋" w:eastAsia="仿宋" w:cs="仿宋"/>
                <w:color w:val="auto"/>
                <w:kern w:val="2"/>
                <w:sz w:val="28"/>
                <w:szCs w:val="28"/>
                <w:highlight w:val="none"/>
                <w:lang w:val="en-US" w:eastAsia="zh-CN" w:bidi="ar-SA"/>
              </w:rPr>
            </w:pPr>
          </w:p>
          <w:p>
            <w:pPr>
              <w:spacing w:line="360" w:lineRule="exact"/>
              <w:ind w:firstLine="0" w:firstLineChars="0"/>
              <w:jc w:val="center"/>
              <w:rPr>
                <w:rFonts w:hint="eastAsia" w:ascii="仿宋" w:hAnsi="仿宋" w:eastAsia="仿宋" w:cs="仿宋"/>
                <w:color w:val="auto"/>
                <w:kern w:val="2"/>
                <w:sz w:val="28"/>
                <w:szCs w:val="28"/>
                <w:highlight w:val="none"/>
                <w:lang w:val="en-US" w:eastAsia="zh-CN" w:bidi="ar-SA"/>
              </w:rPr>
            </w:pPr>
          </w:p>
          <w:p>
            <w:pPr>
              <w:spacing w:line="360" w:lineRule="exact"/>
              <w:ind w:firstLine="0" w:firstLineChars="0"/>
              <w:jc w:val="center"/>
              <w:rPr>
                <w:rFonts w:hint="eastAsia" w:ascii="仿宋" w:hAnsi="仿宋" w:eastAsia="仿宋" w:cs="仿宋"/>
                <w:color w:val="auto"/>
                <w:kern w:val="2"/>
                <w:sz w:val="28"/>
                <w:szCs w:val="28"/>
                <w:highlight w:val="none"/>
                <w:lang w:val="en-US" w:eastAsia="zh-CN" w:bidi="ar-SA"/>
              </w:rPr>
            </w:pPr>
          </w:p>
          <w:p>
            <w:pPr>
              <w:spacing w:line="360" w:lineRule="exact"/>
              <w:ind w:firstLine="0" w:firstLineChars="0"/>
              <w:jc w:val="cente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color w:val="auto"/>
                <w:kern w:val="2"/>
                <w:sz w:val="28"/>
                <w:szCs w:val="28"/>
                <w:highlight w:val="none"/>
                <w:lang w:val="en-US" w:eastAsia="zh-CN" w:bidi="ar-SA"/>
              </w:rPr>
              <w:t>应急预案</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10.0分</w:t>
            </w:r>
            <w:r>
              <w:rPr>
                <w:rFonts w:hint="eastAsia" w:ascii="仿宋" w:hAnsi="仿宋" w:eastAsia="仿宋" w:cs="仿宋"/>
                <w:b/>
                <w:bCs/>
                <w:color w:val="auto"/>
                <w:sz w:val="28"/>
                <w:szCs w:val="28"/>
                <w:highlight w:val="none"/>
                <w:lang w:eastAsia="zh-CN"/>
              </w:rPr>
              <w:t>）</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根据供应商针对本项目的特点提出的各种可能出现的突发状况以及作出的相应</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案，依据考虑全面、应对措施有效可行、针对性强的原则进行综合评审：</w:t>
            </w:r>
          </w:p>
          <w:p>
            <w:pPr>
              <w:widowControl/>
              <w:numPr>
                <w:ilvl w:val="0"/>
                <w:numId w:val="0"/>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应急方案考虑全面、应急保障措施有效可行、针对性强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p>
            <w:pPr>
              <w:widowControl/>
              <w:numPr>
                <w:ilvl w:val="0"/>
                <w:numId w:val="0"/>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应急方案考虑较全面、应急保障措施较可行、针对性较强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分；</w:t>
            </w:r>
          </w:p>
          <w:p>
            <w:pPr>
              <w:numPr>
                <w:ilvl w:val="-1"/>
                <w:numId w:val="0"/>
              </w:numPr>
              <w:spacing w:line="48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应急方案</w:t>
            </w:r>
            <w:r>
              <w:rPr>
                <w:rFonts w:hint="eastAsia" w:ascii="仿宋" w:hAnsi="仿宋" w:eastAsia="仿宋" w:cs="仿宋"/>
                <w:color w:val="auto"/>
                <w:sz w:val="28"/>
                <w:szCs w:val="28"/>
                <w:highlight w:val="none"/>
                <w:lang w:val="en-US" w:eastAsia="zh-CN"/>
              </w:rPr>
              <w:t>基本</w:t>
            </w:r>
            <w:r>
              <w:rPr>
                <w:rFonts w:hint="eastAsia" w:ascii="仿宋" w:hAnsi="仿宋" w:eastAsia="仿宋" w:cs="仿宋"/>
                <w:color w:val="auto"/>
                <w:sz w:val="28"/>
                <w:szCs w:val="28"/>
                <w:highlight w:val="none"/>
              </w:rPr>
              <w:t>全面、应急保障措施</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针对性一般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p>
          <w:p>
            <w:pPr>
              <w:numPr>
                <w:ilvl w:val="-1"/>
                <w:numId w:val="0"/>
              </w:numPr>
              <w:spacing w:line="48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应急方案</w:t>
            </w:r>
            <w:r>
              <w:rPr>
                <w:rFonts w:hint="eastAsia" w:ascii="仿宋" w:hAnsi="仿宋" w:eastAsia="仿宋" w:cs="仿宋"/>
                <w:color w:val="auto"/>
                <w:sz w:val="28"/>
                <w:szCs w:val="28"/>
                <w:highlight w:val="none"/>
                <w:lang w:val="en-US" w:eastAsia="zh-CN"/>
              </w:rPr>
              <w:t>基本</w:t>
            </w:r>
            <w:r>
              <w:rPr>
                <w:rFonts w:hint="eastAsia" w:ascii="仿宋" w:hAnsi="仿宋" w:eastAsia="仿宋" w:cs="仿宋"/>
                <w:color w:val="auto"/>
                <w:sz w:val="28"/>
                <w:szCs w:val="28"/>
                <w:highlight w:val="none"/>
              </w:rPr>
              <w:t>全面、应急保障措施</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较差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p>
          <w:p>
            <w:pPr>
              <w:numPr>
                <w:ilvl w:val="-1"/>
                <w:numId w:val="0"/>
              </w:numPr>
              <w:spacing w:line="480" w:lineRule="exac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5、未</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方案</w:t>
            </w:r>
            <w:r>
              <w:rPr>
                <w:rFonts w:hint="eastAsia" w:ascii="仿宋" w:hAnsi="仿宋" w:eastAsia="仿宋" w:cs="仿宋"/>
                <w:color w:val="auto"/>
                <w:sz w:val="28"/>
                <w:szCs w:val="28"/>
                <w:highlight w:val="none"/>
              </w:rPr>
              <w:t>不得分</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2" w:hRule="atLeast"/>
        </w:trPr>
        <w:tc>
          <w:tcPr>
            <w:tcW w:w="1458" w:type="dxa"/>
            <w:vMerge w:val="continue"/>
            <w:tcBorders>
              <w:right w:val="single" w:color="auto" w:sz="4" w:space="0"/>
            </w:tcBorders>
            <w:vAlign w:val="center"/>
          </w:tcPr>
          <w:p>
            <w:pPr>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培训方案 (1</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.0分)</w:t>
            </w:r>
          </w:p>
        </w:tc>
        <w:tc>
          <w:tcPr>
            <w:tcW w:w="6236" w:type="dxa"/>
            <w:tcBorders>
              <w:top w:val="single" w:color="auto" w:sz="4" w:space="0"/>
              <w:left w:val="single" w:color="auto" w:sz="4" w:space="0"/>
              <w:bottom w:val="single" w:color="auto" w:sz="4" w:space="0"/>
              <w:right w:val="single" w:color="auto" w:sz="4" w:space="0"/>
            </w:tcBorders>
            <w:vAlign w:val="top"/>
          </w:tcPr>
          <w:p>
            <w:pPr>
              <w:widowControl/>
              <w:numPr>
                <w:ilvl w:val="-1"/>
                <w:numId w:val="0"/>
              </w:numPr>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 xml:space="preserve">提供的培训计划、技术团队实力和培训内容等进行评审： </w:t>
            </w:r>
          </w:p>
          <w:p>
            <w:pPr>
              <w:widowControl/>
              <w:numPr>
                <w:ilvl w:val="-1"/>
                <w:numId w:val="0"/>
              </w:numPr>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1、培训</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描述详细具体</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经验丰富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及可</w:t>
            </w:r>
            <w:r>
              <w:rPr>
                <w:rFonts w:hint="eastAsia" w:ascii="仿宋" w:hAnsi="仿宋" w:eastAsia="仿宋" w:cs="仿宋"/>
                <w:color w:val="auto"/>
                <w:sz w:val="28"/>
                <w:szCs w:val="28"/>
                <w:highlight w:val="none"/>
              </w:rPr>
              <w:t>操作性</w:t>
            </w:r>
            <w:r>
              <w:rPr>
                <w:rFonts w:hint="eastAsia" w:ascii="仿宋" w:hAnsi="仿宋" w:eastAsia="仿宋" w:cs="仿宋"/>
                <w:color w:val="auto"/>
                <w:sz w:val="28"/>
                <w:szCs w:val="28"/>
                <w:highlight w:val="none"/>
                <w:lang w:val="en-US" w:eastAsia="zh-CN"/>
              </w:rPr>
              <w:t>强，</w:t>
            </w:r>
            <w:r>
              <w:rPr>
                <w:rFonts w:hint="eastAsia" w:ascii="仿宋" w:hAnsi="仿宋" w:eastAsia="仿宋" w:cs="仿宋"/>
                <w:color w:val="auto"/>
                <w:sz w:val="28"/>
                <w:szCs w:val="28"/>
                <w:highlight w:val="none"/>
              </w:rPr>
              <w:t>得10分；</w:t>
            </w:r>
          </w:p>
          <w:p>
            <w:pPr>
              <w:widowControl/>
              <w:numPr>
                <w:ilvl w:val="-1"/>
                <w:numId w:val="0"/>
              </w:numPr>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2、培训</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描述较详细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较</w:t>
            </w:r>
            <w:r>
              <w:rPr>
                <w:rFonts w:hint="eastAsia" w:ascii="仿宋" w:hAnsi="仿宋" w:eastAsia="仿宋" w:cs="仿宋"/>
                <w:color w:val="auto"/>
                <w:sz w:val="28"/>
                <w:szCs w:val="28"/>
                <w:highlight w:val="none"/>
              </w:rPr>
              <w:t>具体、经验</w:t>
            </w:r>
            <w:r>
              <w:rPr>
                <w:rFonts w:hint="eastAsia" w:ascii="仿宋" w:hAnsi="仿宋" w:eastAsia="仿宋" w:cs="仿宋"/>
                <w:color w:val="auto"/>
                <w:sz w:val="28"/>
                <w:szCs w:val="28"/>
                <w:highlight w:val="none"/>
                <w:lang w:val="en-US" w:eastAsia="zh-CN"/>
              </w:rPr>
              <w:t>较</w:t>
            </w:r>
            <w:r>
              <w:rPr>
                <w:rFonts w:hint="eastAsia" w:ascii="仿宋" w:hAnsi="仿宋" w:eastAsia="仿宋" w:cs="仿宋"/>
                <w:color w:val="auto"/>
                <w:sz w:val="28"/>
                <w:szCs w:val="28"/>
                <w:highlight w:val="none"/>
              </w:rPr>
              <w:t>丰富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及可</w:t>
            </w:r>
            <w:r>
              <w:rPr>
                <w:rFonts w:hint="eastAsia" w:ascii="仿宋" w:hAnsi="仿宋" w:eastAsia="仿宋" w:cs="仿宋"/>
                <w:color w:val="auto"/>
                <w:sz w:val="28"/>
                <w:szCs w:val="28"/>
                <w:highlight w:val="none"/>
              </w:rPr>
              <w:t>操作性</w:t>
            </w:r>
            <w:r>
              <w:rPr>
                <w:rFonts w:hint="eastAsia" w:ascii="仿宋" w:hAnsi="仿宋" w:eastAsia="仿宋" w:cs="仿宋"/>
                <w:color w:val="auto"/>
                <w:sz w:val="28"/>
                <w:szCs w:val="28"/>
                <w:highlight w:val="none"/>
                <w:lang w:val="en-US" w:eastAsia="zh-CN"/>
              </w:rPr>
              <w:t>较强，</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xml:space="preserve">分； </w:t>
            </w:r>
          </w:p>
          <w:p>
            <w:pPr>
              <w:widowControl/>
              <w:numPr>
                <w:ilvl w:val="-1"/>
                <w:numId w:val="0"/>
              </w:numPr>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3、培训</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描述</w:t>
            </w:r>
            <w:r>
              <w:rPr>
                <w:rFonts w:hint="eastAsia" w:ascii="仿宋" w:hAnsi="仿宋" w:eastAsia="仿宋" w:cs="仿宋"/>
                <w:color w:val="auto"/>
                <w:sz w:val="28"/>
                <w:szCs w:val="28"/>
                <w:highlight w:val="none"/>
                <w:lang w:val="en-US" w:eastAsia="zh-CN"/>
              </w:rPr>
              <w:t>基本详细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基本具体</w:t>
            </w:r>
            <w:r>
              <w:rPr>
                <w:rFonts w:hint="eastAsia" w:ascii="仿宋" w:hAnsi="仿宋" w:eastAsia="仿宋" w:cs="仿宋"/>
                <w:color w:val="auto"/>
                <w:sz w:val="28"/>
                <w:szCs w:val="28"/>
                <w:highlight w:val="none"/>
              </w:rPr>
              <w:t>、经验</w:t>
            </w:r>
            <w:r>
              <w:rPr>
                <w:rFonts w:hint="eastAsia" w:ascii="仿宋" w:hAnsi="仿宋" w:eastAsia="仿宋" w:cs="仿宋"/>
                <w:color w:val="auto"/>
                <w:sz w:val="28"/>
                <w:szCs w:val="28"/>
                <w:highlight w:val="none"/>
                <w:lang w:val="en-US" w:eastAsia="zh-CN"/>
              </w:rPr>
              <w:t>基本</w:t>
            </w:r>
            <w:r>
              <w:rPr>
                <w:rFonts w:hint="eastAsia" w:ascii="仿宋" w:hAnsi="仿宋" w:eastAsia="仿宋" w:cs="仿宋"/>
                <w:color w:val="auto"/>
                <w:sz w:val="28"/>
                <w:szCs w:val="28"/>
                <w:highlight w:val="none"/>
              </w:rPr>
              <w:t>丰富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及可</w:t>
            </w:r>
            <w:r>
              <w:rPr>
                <w:rFonts w:hint="eastAsia" w:ascii="仿宋" w:hAnsi="仿宋" w:eastAsia="仿宋" w:cs="仿宋"/>
                <w:color w:val="auto"/>
                <w:sz w:val="28"/>
                <w:szCs w:val="28"/>
                <w:highlight w:val="none"/>
              </w:rPr>
              <w:t>操作性</w:t>
            </w:r>
            <w:r>
              <w:rPr>
                <w:rFonts w:hint="eastAsia" w:ascii="仿宋" w:hAnsi="仿宋" w:eastAsia="仿宋" w:cs="仿宋"/>
                <w:color w:val="auto"/>
                <w:sz w:val="28"/>
                <w:szCs w:val="28"/>
                <w:highlight w:val="none"/>
                <w:lang w:val="en-US" w:eastAsia="zh-CN"/>
              </w:rPr>
              <w:t>一般，</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p>
            <w:pPr>
              <w:numPr>
                <w:ilvl w:val="0"/>
                <w:numId w:val="0"/>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4、培训</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描述</w:t>
            </w:r>
            <w:r>
              <w:rPr>
                <w:rFonts w:hint="eastAsia" w:ascii="仿宋" w:hAnsi="仿宋" w:eastAsia="仿宋" w:cs="仿宋"/>
                <w:color w:val="auto"/>
                <w:sz w:val="28"/>
                <w:szCs w:val="28"/>
                <w:highlight w:val="none"/>
                <w:lang w:val="en-US" w:eastAsia="zh-CN"/>
              </w:rPr>
              <w:t>基本详细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基本具体</w:t>
            </w:r>
            <w:r>
              <w:rPr>
                <w:rFonts w:hint="eastAsia" w:ascii="仿宋" w:hAnsi="仿宋" w:eastAsia="仿宋" w:cs="仿宋"/>
                <w:color w:val="auto"/>
                <w:sz w:val="28"/>
                <w:szCs w:val="28"/>
                <w:highlight w:val="none"/>
              </w:rPr>
              <w:t>、经验</w:t>
            </w:r>
            <w:r>
              <w:rPr>
                <w:rFonts w:hint="eastAsia" w:ascii="仿宋" w:hAnsi="仿宋" w:eastAsia="仿宋" w:cs="仿宋"/>
                <w:color w:val="auto"/>
                <w:sz w:val="28"/>
                <w:szCs w:val="28"/>
                <w:highlight w:val="none"/>
                <w:lang w:val="en-US" w:eastAsia="zh-CN"/>
              </w:rPr>
              <w:t>不足</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及可</w:t>
            </w:r>
            <w:r>
              <w:rPr>
                <w:rFonts w:hint="eastAsia" w:ascii="仿宋" w:hAnsi="仿宋" w:eastAsia="仿宋" w:cs="仿宋"/>
                <w:color w:val="auto"/>
                <w:sz w:val="28"/>
                <w:szCs w:val="28"/>
                <w:highlight w:val="none"/>
              </w:rPr>
              <w:t>操作性</w:t>
            </w:r>
            <w:r>
              <w:rPr>
                <w:rFonts w:hint="eastAsia" w:ascii="仿宋" w:hAnsi="仿宋" w:eastAsia="仿宋" w:cs="仿宋"/>
                <w:color w:val="auto"/>
                <w:sz w:val="28"/>
                <w:szCs w:val="28"/>
                <w:highlight w:val="none"/>
                <w:lang w:val="en-US" w:eastAsia="zh-CN"/>
              </w:rPr>
              <w:t>较差，</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p>
          <w:p>
            <w:pPr>
              <w:numPr>
                <w:ilvl w:val="0"/>
                <w:numId w:val="0"/>
              </w:numPr>
              <w:spacing w:line="480" w:lineRule="exact"/>
              <w:rPr>
                <w:rFonts w:hint="eastAsia"/>
                <w:color w:val="auto"/>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8" w:hRule="atLeast"/>
        </w:trPr>
        <w:tc>
          <w:tcPr>
            <w:tcW w:w="1458" w:type="dxa"/>
            <w:vMerge w:val="continue"/>
            <w:tcBorders>
              <w:right w:val="single" w:color="auto" w:sz="4" w:space="0"/>
            </w:tcBorders>
            <w:vAlign w:val="top"/>
          </w:tcPr>
          <w:p>
            <w:pPr>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exac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售后服务方案（</w:t>
            </w:r>
            <w:r>
              <w:rPr>
                <w:rFonts w:hint="eastAsia" w:ascii="仿宋" w:hAnsi="仿宋" w:eastAsia="仿宋" w:cs="仿宋"/>
                <w:b/>
                <w:bCs/>
                <w:color w:val="auto"/>
                <w:sz w:val="28"/>
                <w:szCs w:val="28"/>
                <w:highlight w:val="none"/>
                <w:lang w:val="en-US" w:eastAsia="zh-CN"/>
              </w:rPr>
              <w:t>10.0分</w:t>
            </w:r>
            <w:r>
              <w:rPr>
                <w:rFonts w:hint="eastAsia" w:ascii="仿宋" w:hAnsi="仿宋" w:eastAsia="仿宋" w:cs="仿宋"/>
                <w:b/>
                <w:bCs/>
                <w:color w:val="auto"/>
                <w:sz w:val="28"/>
                <w:szCs w:val="28"/>
                <w:highlight w:val="none"/>
                <w:lang w:eastAsia="zh-CN"/>
              </w:rPr>
              <w:t>）</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hint="eastAsia" w:ascii="仿宋" w:hAnsi="仿宋" w:eastAsia="仿宋" w:cs="仿宋"/>
                <w:b w:val="0"/>
                <w:bCs w:val="0"/>
                <w:color w:val="auto"/>
                <w:kern w:val="0"/>
                <w:sz w:val="28"/>
                <w:szCs w:val="28"/>
                <w:highlight w:val="none"/>
                <w:lang w:val="zh-CN" w:eastAsia="zh-CN" w:bidi="zh-CN"/>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的</w:t>
            </w:r>
            <w:r>
              <w:rPr>
                <w:rFonts w:hint="eastAsia" w:ascii="仿宋" w:hAnsi="仿宋" w:eastAsia="仿宋" w:cs="仿宋"/>
                <w:b w:val="0"/>
                <w:bCs w:val="0"/>
                <w:color w:val="auto"/>
                <w:kern w:val="0"/>
                <w:sz w:val="28"/>
                <w:szCs w:val="28"/>
                <w:highlight w:val="none"/>
                <w:lang w:val="zh-CN" w:eastAsia="zh-CN" w:bidi="zh-CN"/>
              </w:rPr>
              <w:t>售后服务方案的完善性</w:t>
            </w:r>
            <w:r>
              <w:rPr>
                <w:rFonts w:hint="eastAsia" w:ascii="仿宋" w:hAnsi="仿宋" w:eastAsia="仿宋" w:cs="仿宋"/>
                <w:b w:val="0"/>
                <w:bCs w:val="0"/>
                <w:color w:val="auto"/>
                <w:kern w:val="0"/>
                <w:sz w:val="28"/>
                <w:szCs w:val="28"/>
                <w:highlight w:val="none"/>
                <w:lang w:val="en-US" w:eastAsia="zh-CN" w:bidi="zh-CN"/>
              </w:rPr>
              <w:t>进行评审</w:t>
            </w:r>
            <w:r>
              <w:rPr>
                <w:rFonts w:hint="eastAsia" w:ascii="仿宋" w:hAnsi="仿宋" w:eastAsia="仿宋" w:cs="仿宋"/>
                <w:b w:val="0"/>
                <w:bCs w:val="0"/>
                <w:color w:val="auto"/>
                <w:kern w:val="0"/>
                <w:sz w:val="28"/>
                <w:szCs w:val="28"/>
                <w:highlight w:val="none"/>
                <w:lang w:val="zh-CN" w:eastAsia="zh-CN" w:bidi="zh-CN"/>
              </w:rPr>
              <w:t>：</w:t>
            </w:r>
          </w:p>
          <w:p>
            <w:pPr>
              <w:widowControl/>
              <w:spacing w:line="480" w:lineRule="exact"/>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lang w:val="zh-CN" w:eastAsia="zh-CN" w:bidi="zh-CN"/>
              </w:rPr>
              <w:t>1、</w:t>
            </w:r>
            <w:r>
              <w:rPr>
                <w:rFonts w:hint="eastAsia" w:ascii="仿宋" w:hAnsi="仿宋" w:eastAsia="仿宋" w:cs="仿宋"/>
                <w:b w:val="0"/>
                <w:bCs w:val="0"/>
                <w:color w:val="auto"/>
                <w:kern w:val="2"/>
                <w:sz w:val="28"/>
                <w:szCs w:val="28"/>
                <w:highlight w:val="none"/>
                <w:vertAlign w:val="baseline"/>
                <w:lang w:val="en-US" w:eastAsia="zh-CN" w:bidi="ar-SA"/>
              </w:rPr>
              <w:t xml:space="preserve">售后服务方案完善具体，服务计划合理，可行性强，得10分； </w:t>
            </w:r>
          </w:p>
          <w:p>
            <w:pPr>
              <w:widowControl/>
              <w:spacing w:line="480" w:lineRule="exact"/>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 xml:space="preserve">2、售后服务方案较完善具体，服务计划较合理，可行性较强，得7分； </w:t>
            </w:r>
          </w:p>
          <w:p>
            <w:pPr>
              <w:widowControl/>
              <w:spacing w:line="480" w:lineRule="exact"/>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3、售后服务方案基本完善具体，服务计划基本合理，可行性一般，得4分；</w:t>
            </w:r>
          </w:p>
          <w:p>
            <w:pPr>
              <w:widowControl/>
              <w:spacing w:line="480" w:lineRule="exact"/>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4、售后服务方案基本完善具体，服务计划基本合理，可行性较差，得2分；</w:t>
            </w:r>
          </w:p>
          <w:p>
            <w:pPr>
              <w:widowControl/>
              <w:spacing w:line="480" w:lineRule="exact"/>
              <w:rPr>
                <w:rFonts w:hint="eastAsia" w:ascii="仿宋" w:hAnsi="仿宋" w:eastAsia="仿宋" w:cs="仿宋"/>
                <w:b w:val="0"/>
                <w:bCs w:val="0"/>
                <w:color w:val="auto"/>
                <w:kern w:val="0"/>
                <w:sz w:val="28"/>
                <w:szCs w:val="28"/>
                <w:highlight w:val="none"/>
                <w:lang w:val="zh-CN" w:eastAsia="zh-CN" w:bidi="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未提供不得分</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8" w:type="dxa"/>
            <w:vMerge w:val="restart"/>
            <w:tcBorders>
              <w:top w:val="single" w:color="auto" w:sz="4" w:space="0"/>
              <w:right w:val="single" w:color="auto" w:sz="4" w:space="0"/>
            </w:tcBorders>
            <w:vAlign w:val="center"/>
          </w:tcPr>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lang w:val="en-US" w:eastAsia="zh-CN"/>
              </w:rPr>
            </w:pPr>
          </w:p>
          <w:p>
            <w:pPr>
              <w:spacing w:line="480" w:lineRule="exact"/>
              <w:ind w:firstLine="0" w:firstLineChars="0"/>
              <w:jc w:val="both"/>
              <w:rPr>
                <w:rFonts w:hint="eastAsia" w:ascii="仿宋" w:hAnsi="仿宋" w:eastAsia="仿宋" w:cs="仿宋"/>
                <w:b/>
                <w:bCs/>
                <w:color w:val="auto"/>
                <w:sz w:val="28"/>
                <w:szCs w:val="28"/>
                <w:highlight w:val="none"/>
                <w:lang w:val="en-US" w:eastAsia="zh-CN"/>
              </w:rPr>
            </w:pPr>
          </w:p>
          <w:p>
            <w:pPr>
              <w:spacing w:line="480" w:lineRule="exact"/>
              <w:ind w:firstLine="0" w:firstLineChars="0"/>
              <w:jc w:val="both"/>
              <w:rPr>
                <w:rFonts w:hint="eastAsia" w:ascii="仿宋" w:hAnsi="仿宋" w:eastAsia="仿宋" w:cs="仿宋"/>
                <w:b/>
                <w:bCs/>
                <w:color w:val="auto"/>
                <w:sz w:val="28"/>
                <w:szCs w:val="28"/>
                <w:highlight w:val="none"/>
                <w:lang w:val="en-US" w:eastAsia="zh-CN"/>
              </w:rPr>
            </w:pPr>
          </w:p>
          <w:p>
            <w:pPr>
              <w:spacing w:line="480" w:lineRule="exact"/>
              <w:ind w:firstLine="0" w:firstLineChars="0"/>
              <w:jc w:val="both"/>
              <w:rPr>
                <w:rFonts w:hint="eastAsia" w:ascii="仿宋" w:hAnsi="仿宋" w:eastAsia="仿宋" w:cs="仿宋"/>
                <w:b/>
                <w:bCs/>
                <w:color w:val="auto"/>
                <w:sz w:val="28"/>
                <w:szCs w:val="28"/>
                <w:highlight w:val="none"/>
                <w:lang w:val="en-US" w:eastAsia="zh-CN"/>
              </w:rPr>
            </w:pPr>
          </w:p>
          <w:p>
            <w:pPr>
              <w:spacing w:line="480" w:lineRule="exact"/>
              <w:ind w:firstLine="0" w:firstLineChars="0"/>
              <w:jc w:val="both"/>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商务部分（25分）</w:t>
            </w: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lang w:eastAsia="zh-CN"/>
              </w:rPr>
            </w:pPr>
          </w:p>
          <w:p>
            <w:pPr>
              <w:snapToGrid/>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snapToGrid/>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同类</w:t>
            </w:r>
            <w:r>
              <w:rPr>
                <w:rFonts w:hint="eastAsia" w:ascii="仿宋" w:hAnsi="仿宋" w:eastAsia="仿宋" w:cs="仿宋"/>
                <w:b/>
                <w:bCs/>
                <w:color w:val="auto"/>
                <w:sz w:val="28"/>
                <w:szCs w:val="28"/>
                <w:highlight w:val="none"/>
              </w:rPr>
              <w:t>业绩</w:t>
            </w:r>
          </w:p>
          <w:p>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分）</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80" w:lineRule="exact"/>
              <w:rPr>
                <w:rFonts w:hint="eastAsia" w:ascii="仿宋" w:hAnsi="仿宋" w:eastAsia="仿宋" w:cs="仿宋"/>
                <w:b w:val="0"/>
                <w:bCs w:val="0"/>
                <w:color w:val="auto"/>
                <w:spacing w:val="-7"/>
                <w:sz w:val="28"/>
                <w:szCs w:val="28"/>
                <w:highlight w:val="none"/>
              </w:rPr>
            </w:pPr>
            <w:r>
              <w:rPr>
                <w:rFonts w:hint="eastAsia" w:ascii="仿宋" w:hAnsi="仿宋" w:eastAsia="仿宋" w:cs="仿宋"/>
                <w:b w:val="0"/>
                <w:bCs w:val="0"/>
                <w:color w:val="auto"/>
                <w:spacing w:val="-18"/>
                <w:sz w:val="28"/>
                <w:szCs w:val="28"/>
                <w:highlight w:val="none"/>
                <w:lang w:val="en-US" w:eastAsia="zh-CN"/>
              </w:rPr>
              <w:t>供应商</w:t>
            </w:r>
            <w:r>
              <w:rPr>
                <w:rFonts w:hint="eastAsia" w:ascii="仿宋" w:hAnsi="仿宋" w:eastAsia="仿宋" w:cs="仿宋"/>
                <w:b w:val="0"/>
                <w:bCs w:val="0"/>
                <w:color w:val="auto"/>
                <w:spacing w:val="-9"/>
                <w:sz w:val="28"/>
                <w:szCs w:val="28"/>
                <w:highlight w:val="none"/>
              </w:rPr>
              <w:t>提供</w:t>
            </w:r>
            <w:r>
              <w:rPr>
                <w:rFonts w:hint="eastAsia" w:ascii="仿宋" w:hAnsi="仿宋" w:eastAsia="仿宋" w:cs="仿宋"/>
                <w:b w:val="0"/>
                <w:bCs w:val="0"/>
                <w:color w:val="auto"/>
                <w:spacing w:val="-9"/>
                <w:sz w:val="28"/>
                <w:szCs w:val="28"/>
                <w:highlight w:val="none"/>
                <w:lang w:val="en-US" w:eastAsia="zh-CN"/>
              </w:rPr>
              <w:t>近三年(自</w:t>
            </w:r>
            <w:r>
              <w:rPr>
                <w:rFonts w:hint="eastAsia" w:ascii="仿宋" w:hAnsi="仿宋" w:eastAsia="仿宋" w:cs="仿宋"/>
                <w:b w:val="0"/>
                <w:bCs w:val="0"/>
                <w:color w:val="auto"/>
                <w:spacing w:val="-9"/>
                <w:sz w:val="28"/>
                <w:szCs w:val="28"/>
                <w:highlight w:val="none"/>
              </w:rPr>
              <w:t>20</w:t>
            </w:r>
            <w:r>
              <w:rPr>
                <w:rFonts w:hint="eastAsia" w:ascii="仿宋" w:hAnsi="仿宋" w:eastAsia="仿宋" w:cs="仿宋"/>
                <w:b w:val="0"/>
                <w:bCs w:val="0"/>
                <w:color w:val="auto"/>
                <w:spacing w:val="-9"/>
                <w:sz w:val="28"/>
                <w:szCs w:val="28"/>
                <w:highlight w:val="none"/>
                <w:lang w:val="en-US" w:eastAsia="zh-CN"/>
              </w:rPr>
              <w:t>20</w:t>
            </w:r>
            <w:r>
              <w:rPr>
                <w:rFonts w:hint="eastAsia" w:ascii="仿宋" w:hAnsi="仿宋" w:eastAsia="仿宋" w:cs="仿宋"/>
                <w:b w:val="0"/>
                <w:bCs w:val="0"/>
                <w:color w:val="auto"/>
                <w:spacing w:val="-9"/>
                <w:sz w:val="28"/>
                <w:szCs w:val="28"/>
                <w:highlight w:val="none"/>
              </w:rPr>
              <w:t>年1月1日至今</w:t>
            </w:r>
            <w:r>
              <w:rPr>
                <w:rFonts w:hint="eastAsia" w:ascii="仿宋" w:hAnsi="仿宋" w:eastAsia="仿宋" w:cs="仿宋"/>
                <w:b w:val="0"/>
                <w:bCs w:val="0"/>
                <w:color w:val="auto"/>
                <w:spacing w:val="-9"/>
                <w:sz w:val="28"/>
                <w:szCs w:val="28"/>
                <w:highlight w:val="none"/>
                <w:lang w:val="en-US" w:eastAsia="zh-CN"/>
              </w:rPr>
              <w:t>)承担过的同类项目</w:t>
            </w:r>
            <w:r>
              <w:rPr>
                <w:rFonts w:hint="eastAsia" w:ascii="仿宋" w:hAnsi="仿宋" w:eastAsia="仿宋" w:cs="仿宋"/>
                <w:b w:val="0"/>
                <w:bCs w:val="0"/>
                <w:color w:val="auto"/>
                <w:spacing w:val="-9"/>
                <w:sz w:val="28"/>
                <w:szCs w:val="28"/>
                <w:highlight w:val="none"/>
              </w:rPr>
              <w:t>业绩进行评审。</w:t>
            </w:r>
            <w:r>
              <w:rPr>
                <w:rFonts w:hint="eastAsia" w:ascii="仿宋" w:hAnsi="仿宋" w:eastAsia="仿宋" w:cs="仿宋"/>
                <w:b w:val="0"/>
                <w:bCs w:val="0"/>
                <w:color w:val="auto"/>
                <w:spacing w:val="-14"/>
                <w:sz w:val="28"/>
                <w:szCs w:val="28"/>
                <w:highlight w:val="none"/>
              </w:rPr>
              <w:t>每</w:t>
            </w:r>
            <w:r>
              <w:rPr>
                <w:rFonts w:hint="eastAsia" w:ascii="仿宋" w:hAnsi="仿宋" w:eastAsia="仿宋" w:cs="仿宋"/>
                <w:b w:val="0"/>
                <w:bCs w:val="0"/>
                <w:color w:val="auto"/>
                <w:spacing w:val="-9"/>
                <w:sz w:val="28"/>
                <w:szCs w:val="28"/>
                <w:highlight w:val="none"/>
              </w:rPr>
              <w:t>提</w:t>
            </w:r>
            <w:r>
              <w:rPr>
                <w:rFonts w:hint="eastAsia" w:ascii="仿宋" w:hAnsi="仿宋" w:eastAsia="仿宋" w:cs="仿宋"/>
                <w:b w:val="0"/>
                <w:bCs w:val="0"/>
                <w:color w:val="auto"/>
                <w:spacing w:val="-7"/>
                <w:sz w:val="28"/>
                <w:szCs w:val="28"/>
                <w:highlight w:val="none"/>
              </w:rPr>
              <w:t>供</w:t>
            </w:r>
            <w:r>
              <w:rPr>
                <w:rFonts w:hint="eastAsia" w:ascii="仿宋" w:hAnsi="仿宋" w:eastAsia="仿宋" w:cs="仿宋"/>
                <w:b w:val="0"/>
                <w:bCs w:val="0"/>
                <w:color w:val="auto"/>
                <w:spacing w:val="-7"/>
                <w:sz w:val="28"/>
                <w:szCs w:val="28"/>
                <w:highlight w:val="none"/>
                <w:lang w:val="en-US" w:eastAsia="zh-CN"/>
              </w:rPr>
              <w:t>1</w:t>
            </w:r>
            <w:r>
              <w:rPr>
                <w:rFonts w:hint="eastAsia" w:ascii="仿宋" w:hAnsi="仿宋" w:eastAsia="仿宋" w:cs="仿宋"/>
                <w:b w:val="0"/>
                <w:bCs w:val="0"/>
                <w:color w:val="auto"/>
                <w:spacing w:val="-7"/>
                <w:sz w:val="28"/>
                <w:szCs w:val="28"/>
                <w:highlight w:val="none"/>
              </w:rPr>
              <w:t>份</w:t>
            </w:r>
            <w:r>
              <w:rPr>
                <w:rFonts w:hint="eastAsia" w:ascii="仿宋" w:hAnsi="仿宋" w:eastAsia="仿宋" w:cs="仿宋"/>
                <w:b w:val="0"/>
                <w:bCs w:val="0"/>
                <w:color w:val="auto"/>
                <w:spacing w:val="-7"/>
                <w:sz w:val="28"/>
                <w:szCs w:val="28"/>
                <w:highlight w:val="none"/>
                <w:lang w:val="en-US" w:eastAsia="zh-CN"/>
              </w:rPr>
              <w:t>同类</w:t>
            </w:r>
            <w:r>
              <w:rPr>
                <w:rFonts w:hint="eastAsia" w:ascii="仿宋" w:hAnsi="仿宋" w:eastAsia="仿宋" w:cs="仿宋"/>
                <w:b w:val="0"/>
                <w:bCs w:val="0"/>
                <w:color w:val="auto"/>
                <w:spacing w:val="-7"/>
                <w:sz w:val="28"/>
                <w:szCs w:val="28"/>
                <w:highlight w:val="none"/>
              </w:rPr>
              <w:t>业绩得</w:t>
            </w:r>
            <w:r>
              <w:rPr>
                <w:rFonts w:hint="eastAsia" w:ascii="仿宋" w:hAnsi="仿宋" w:eastAsia="仿宋" w:cs="仿宋"/>
                <w:b w:val="0"/>
                <w:bCs w:val="0"/>
                <w:color w:val="auto"/>
                <w:spacing w:val="-7"/>
                <w:sz w:val="28"/>
                <w:szCs w:val="28"/>
                <w:highlight w:val="none"/>
                <w:lang w:val="en-US" w:eastAsia="zh-CN"/>
              </w:rPr>
              <w:t>3</w:t>
            </w:r>
            <w:r>
              <w:rPr>
                <w:rFonts w:hint="eastAsia" w:ascii="仿宋" w:hAnsi="仿宋" w:eastAsia="仿宋" w:cs="仿宋"/>
                <w:b w:val="0"/>
                <w:bCs w:val="0"/>
                <w:color w:val="auto"/>
                <w:spacing w:val="-7"/>
                <w:sz w:val="28"/>
                <w:szCs w:val="28"/>
                <w:highlight w:val="none"/>
              </w:rPr>
              <w:t>分，最高得</w:t>
            </w:r>
            <w:r>
              <w:rPr>
                <w:rFonts w:hint="eastAsia" w:ascii="仿宋" w:hAnsi="仿宋" w:eastAsia="仿宋" w:cs="仿宋"/>
                <w:b w:val="0"/>
                <w:bCs w:val="0"/>
                <w:color w:val="auto"/>
                <w:spacing w:val="-7"/>
                <w:sz w:val="28"/>
                <w:szCs w:val="28"/>
                <w:highlight w:val="none"/>
                <w:lang w:val="en-US" w:eastAsia="zh-CN"/>
              </w:rPr>
              <w:t>9</w:t>
            </w:r>
            <w:r>
              <w:rPr>
                <w:rFonts w:hint="eastAsia" w:ascii="仿宋" w:hAnsi="仿宋" w:eastAsia="仿宋" w:cs="仿宋"/>
                <w:b w:val="0"/>
                <w:bCs w:val="0"/>
                <w:color w:val="auto"/>
                <w:spacing w:val="-7"/>
                <w:sz w:val="28"/>
                <w:szCs w:val="28"/>
                <w:highlight w:val="none"/>
              </w:rPr>
              <w:t>分。</w:t>
            </w:r>
          </w:p>
          <w:p>
            <w:pPr>
              <w:widowControl/>
              <w:spacing w:before="0" w:beforeLines="0" w:after="0" w:afterLines="0" w:line="480" w:lineRule="exac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7"/>
                <w:sz w:val="28"/>
                <w:szCs w:val="28"/>
                <w:highlight w:val="none"/>
                <w:lang w:val="en-US" w:eastAsia="zh-CN"/>
              </w:rPr>
              <w:t>【注：需提供中标（成交）通知书或采购合同扫描件或复印件作为凭证】。未提供不得分。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458" w:type="dxa"/>
            <w:vMerge w:val="continue"/>
            <w:tcBorders>
              <w:right w:val="single" w:color="auto" w:sz="4" w:space="0"/>
            </w:tcBorders>
            <w:vAlign w:val="center"/>
          </w:tcPr>
          <w:p>
            <w:pPr>
              <w:snapToGrid/>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4"/>
              <w:spacing w:line="480" w:lineRule="exact"/>
              <w:rPr>
                <w:rFonts w:hint="eastAsia" w:ascii="仿宋" w:hAnsi="仿宋" w:eastAsia="仿宋" w:cs="仿宋"/>
                <w:b/>
                <w:bCs/>
                <w:color w:val="auto"/>
                <w:sz w:val="28"/>
                <w:szCs w:val="28"/>
                <w:highlight w:val="none"/>
                <w:lang w:val="en-US" w:eastAsia="zh-CN"/>
              </w:rPr>
            </w:pPr>
          </w:p>
          <w:p>
            <w:pPr>
              <w:pStyle w:val="14"/>
              <w:spacing w:line="480" w:lineRule="exact"/>
              <w:rPr>
                <w:rFonts w:hint="eastAsia" w:ascii="仿宋" w:hAnsi="仿宋" w:eastAsia="仿宋" w:cs="仿宋"/>
                <w:b/>
                <w:bCs/>
                <w:color w:val="auto"/>
                <w:sz w:val="28"/>
                <w:szCs w:val="28"/>
                <w:highlight w:val="none"/>
                <w:lang w:val="en-US" w:eastAsia="zh-CN"/>
              </w:rPr>
            </w:pPr>
          </w:p>
          <w:p>
            <w:pPr>
              <w:pStyle w:val="14"/>
              <w:spacing w:line="480" w:lineRule="exact"/>
              <w:rPr>
                <w:rFonts w:hint="eastAsia" w:ascii="仿宋" w:hAnsi="仿宋" w:eastAsia="仿宋" w:cs="仿宋"/>
                <w:b/>
                <w:bCs/>
                <w:color w:val="auto"/>
                <w:sz w:val="28"/>
                <w:szCs w:val="28"/>
                <w:highlight w:val="none"/>
                <w:lang w:val="en-US" w:eastAsia="zh-CN"/>
              </w:rPr>
            </w:pPr>
          </w:p>
          <w:p>
            <w:pPr>
              <w:pStyle w:val="14"/>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项目负责人（16分）</w:t>
            </w:r>
          </w:p>
        </w:tc>
        <w:tc>
          <w:tcPr>
            <w:tcW w:w="6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80" w:lineRule="exact"/>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根据各供应商对本项目拟派出项目负责人情况和技术团队进行评审：</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1、拟派出项目负责人具有植保、农学、昆虫学等涉农专业本科及以上学历，有红火蚁防控示范点服务相关工作经验及红火蚁培训班授课经验，且服务团队配备的防控人员数量完全满足项目需求的（超过15人），得16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2、拟派出项目负责人具有植保、农学、昆虫学等涉农专业大专学历，有红火蚁防控示范点服务相关工作经验，且服务团队配备防控人员数量基本满足项目需求的（10-15人），得12分；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3、拟派出项目负责人具有植保、农学、昆虫学等涉农专业学历，红火蚁防控示范点服务的相关工作经验不足，且服务团队配备防控人员数量未满足项目需求的（5-10人），得6分；</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4、拟派出项目负责人不具有植保、农学、昆虫学等涉农专业学历，且红火蚁防控示范点服务的相关工作经验不足，且服务团队配备防控人员数量未满足项目需求的（5-10人），得2分；</w:t>
            </w:r>
          </w:p>
          <w:p>
            <w:pPr>
              <w:widowControl/>
              <w:numPr>
                <w:ilvl w:val="0"/>
                <w:numId w:val="0"/>
              </w:numPr>
              <w:spacing w:beforeLines="0" w:afterLines="0" w:line="480" w:lineRule="exact"/>
              <w:jc w:val="left"/>
              <w:rPr>
                <w:rFonts w:hint="eastAsia" w:ascii="仿宋" w:hAnsi="仿宋" w:eastAsia="仿宋" w:cs="仿宋"/>
                <w:color w:val="auto"/>
                <w:spacing w:val="-9"/>
                <w:sz w:val="28"/>
                <w:szCs w:val="28"/>
                <w:highlight w:val="none"/>
                <w:lang w:val="en-US" w:eastAsia="zh-CN"/>
              </w:rPr>
            </w:pPr>
            <w:r>
              <w:rPr>
                <w:rFonts w:hint="eastAsia" w:ascii="仿宋" w:hAnsi="仿宋" w:eastAsia="仿宋" w:cs="仿宋"/>
                <w:color w:val="auto"/>
                <w:spacing w:val="-9"/>
                <w:sz w:val="28"/>
                <w:szCs w:val="28"/>
                <w:highlight w:val="none"/>
                <w:lang w:val="en-US" w:eastAsia="zh-CN"/>
              </w:rPr>
              <w:t>5、未提供不得分。</w:t>
            </w:r>
          </w:p>
          <w:p>
            <w:pPr>
              <w:widowControl/>
              <w:numPr>
                <w:ilvl w:val="-1"/>
                <w:numId w:val="0"/>
              </w:numPr>
              <w:spacing w:beforeLines="0" w:afterLines="0" w:line="480" w:lineRule="exact"/>
              <w:ind w:firstLine="524" w:firstLineChars="200"/>
              <w:jc w:val="left"/>
              <w:rPr>
                <w:rFonts w:hint="eastAsia" w:ascii="仿宋" w:hAnsi="仿宋" w:eastAsia="仿宋" w:cs="仿宋"/>
                <w:color w:val="auto"/>
                <w:sz w:val="28"/>
                <w:szCs w:val="28"/>
                <w:highlight w:val="none"/>
              </w:rPr>
            </w:pPr>
            <w:r>
              <w:rPr>
                <w:rFonts w:hint="eastAsia" w:ascii="仿宋" w:hAnsi="仿宋" w:eastAsia="仿宋" w:cs="仿宋"/>
                <w:b w:val="0"/>
                <w:bCs w:val="0"/>
                <w:color w:val="auto"/>
                <w:spacing w:val="-9"/>
                <w:kern w:val="2"/>
                <w:sz w:val="28"/>
                <w:szCs w:val="28"/>
                <w:highlight w:val="none"/>
                <w:lang w:val="en-US" w:eastAsia="zh-CN" w:bidi="ar-SA"/>
              </w:rPr>
              <w:t>注：提供项目负责人学历证书复印件及相关工作经验的证明资料。提供项目负责人在投标单位购买的近三个月的社保证明材料复印件（新成立公司提供成立至今的社保缴交证明材料，退休人员提供退休证明和聘用合同)。</w:t>
            </w:r>
          </w:p>
        </w:tc>
      </w:tr>
    </w:tbl>
    <w:p>
      <w:pPr>
        <w:pStyle w:val="7"/>
        <w:ind w:firstLine="0"/>
        <w:rPr>
          <w:rFonts w:hint="eastAsia"/>
          <w:b/>
          <w:bCs/>
          <w:color w:val="auto"/>
          <w:highlight w:val="none"/>
          <w:lang w:val="en-GB" w:eastAsia="zh-CN"/>
        </w:rPr>
      </w:pPr>
    </w:p>
    <w:p>
      <w:pPr>
        <w:rPr>
          <w:rFonts w:hint="eastAsia" w:ascii="仿宋" w:hAnsi="仿宋" w:eastAsia="仿宋" w:cs="仿宋"/>
          <w:b/>
          <w:bCs/>
          <w:color w:val="auto"/>
          <w:sz w:val="28"/>
          <w:szCs w:val="28"/>
          <w:highlight w:val="none"/>
          <w:lang w:val="en-GB" w:eastAsia="zh-CN"/>
        </w:rPr>
      </w:pPr>
    </w:p>
    <w:p>
      <w:pPr>
        <w:pStyle w:val="37"/>
        <w:rPr>
          <w:rFonts w:hint="eastAsia"/>
          <w:color w:val="auto"/>
          <w:highlight w:val="none"/>
          <w:lang w:val="en-GB"/>
        </w:rPr>
      </w:pPr>
    </w:p>
    <w:p>
      <w:pPr>
        <w:pStyle w:val="14"/>
        <w:rPr>
          <w:rFonts w:hint="eastAsia" w:ascii="仿宋" w:hAnsi="仿宋" w:eastAsia="仿宋" w:cs="仿宋"/>
          <w:color w:val="auto"/>
          <w:sz w:val="28"/>
          <w:szCs w:val="28"/>
          <w:highlight w:val="none"/>
        </w:rPr>
      </w:pPr>
      <w:bookmarkStart w:id="49" w:name="_Toc274896626"/>
      <w:bookmarkStart w:id="50" w:name="_Toc274896492"/>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color w:val="auto"/>
          <w:highlight w:val="none"/>
        </w:rPr>
      </w:pPr>
    </w:p>
    <w:p>
      <w:pPr>
        <w:pStyle w:val="290"/>
        <w:rPr>
          <w:rFonts w:hint="eastAsia" w:ascii="仿宋" w:hAnsi="仿宋" w:eastAsia="仿宋" w:cs="仿宋"/>
          <w:color w:val="auto"/>
          <w:sz w:val="28"/>
          <w:szCs w:val="28"/>
          <w:highlight w:val="none"/>
        </w:rPr>
      </w:pPr>
      <w:bookmarkStart w:id="51" w:name="_Toc11354"/>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7"/>
        <w:rPr>
          <w:rFonts w:hint="eastAsia"/>
          <w:color w:val="auto"/>
          <w:highlight w:val="none"/>
        </w:rPr>
      </w:pPr>
    </w:p>
    <w:p>
      <w:pPr>
        <w:pStyle w:val="5"/>
        <w:spacing w:before="240" w:beforeLines="100" w:after="240" w:afterLines="100" w:line="360" w:lineRule="auto"/>
        <w:jc w:val="center"/>
        <w:rPr>
          <w:rFonts w:hint="eastAsia" w:ascii="仿宋" w:hAnsi="仿宋" w:eastAsia="仿宋" w:cs="仿宋"/>
          <w:color w:val="auto"/>
          <w:sz w:val="52"/>
          <w:szCs w:val="52"/>
          <w:highlight w:val="none"/>
        </w:rPr>
      </w:pPr>
      <w:bookmarkStart w:id="52" w:name="_Toc5485"/>
      <w:bookmarkStart w:id="53" w:name="_Toc7414"/>
      <w:bookmarkStart w:id="54" w:name="_Toc14979"/>
      <w:bookmarkStart w:id="55" w:name="_Toc17136"/>
      <w:bookmarkStart w:id="56" w:name="_Toc11133"/>
      <w:bookmarkStart w:id="57" w:name="_Toc2646"/>
      <w:bookmarkStart w:id="58" w:name="_Toc24976"/>
      <w:bookmarkStart w:id="59" w:name="_Toc12389"/>
      <w:bookmarkStart w:id="60" w:name="_Toc30971"/>
      <w:bookmarkStart w:id="61" w:name="_Toc28137"/>
      <w:bookmarkStart w:id="62" w:name="_Toc13213"/>
      <w:bookmarkStart w:id="63" w:name="_Toc1298"/>
      <w:bookmarkStart w:id="64" w:name="_Toc14788"/>
      <w:bookmarkStart w:id="65" w:name="_Toc30273"/>
      <w:bookmarkStart w:id="66" w:name="_Toc11949"/>
      <w:bookmarkStart w:id="67" w:name="_Toc18284"/>
      <w:bookmarkStart w:id="68" w:name="_Toc30824"/>
    </w:p>
    <w:p>
      <w:pPr>
        <w:pStyle w:val="5"/>
        <w:spacing w:before="240" w:beforeLines="100" w:after="240" w:afterLines="100" w:line="360" w:lineRule="auto"/>
        <w:jc w:val="center"/>
        <w:rPr>
          <w:rFonts w:hint="eastAsia" w:ascii="仿宋" w:hAnsi="仿宋" w:eastAsia="仿宋" w:cs="仿宋"/>
          <w:color w:val="auto"/>
          <w:sz w:val="52"/>
          <w:szCs w:val="52"/>
          <w:highlight w:val="none"/>
        </w:rPr>
      </w:pPr>
    </w:p>
    <w:p>
      <w:pPr>
        <w:pStyle w:val="5"/>
        <w:spacing w:before="240" w:beforeLines="100" w:after="240" w:afterLines="100"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第四部分  合同书格式</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tabs>
          <w:tab w:val="left" w:pos="720"/>
        </w:tabs>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8"/>
          <w:szCs w:val="28"/>
          <w:highlight w:val="none"/>
        </w:rPr>
        <w:br w:type="page"/>
      </w:r>
    </w:p>
    <w:p>
      <w:pPr>
        <w:tabs>
          <w:tab w:val="left" w:pos="720"/>
        </w:tabs>
        <w:spacing w:line="360" w:lineRule="auto"/>
        <w:jc w:val="center"/>
        <w:rPr>
          <w:rFonts w:hint="eastAsia" w:ascii="仿宋" w:hAnsi="仿宋" w:eastAsia="仿宋" w:cs="仿宋"/>
          <w:b/>
          <w:color w:val="auto"/>
          <w:sz w:val="24"/>
          <w:highlight w:val="none"/>
        </w:rPr>
      </w:pPr>
    </w:p>
    <w:p>
      <w:pPr>
        <w:pStyle w:val="2"/>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color w:val="auto"/>
          <w:highlight w:val="none"/>
        </w:rPr>
      </w:pPr>
    </w:p>
    <w:p>
      <w:pPr>
        <w:tabs>
          <w:tab w:val="left" w:pos="720"/>
        </w:tabs>
        <w:spacing w:line="360" w:lineRule="auto"/>
        <w:jc w:val="center"/>
        <w:rPr>
          <w:rFonts w:hint="eastAsia" w:ascii="仿宋" w:hAnsi="仿宋" w:eastAsia="仿宋" w:cs="仿宋"/>
          <w:b/>
          <w:color w:val="auto"/>
          <w:sz w:val="24"/>
          <w:highlight w:val="none"/>
        </w:rPr>
      </w:pPr>
    </w:p>
    <w:p>
      <w:pPr>
        <w:tabs>
          <w:tab w:val="left" w:pos="720"/>
        </w:tabs>
        <w:spacing w:line="360" w:lineRule="auto"/>
        <w:jc w:val="center"/>
        <w:rPr>
          <w:rFonts w:hint="eastAsia" w:ascii="仿宋" w:hAnsi="仿宋" w:eastAsia="仿宋" w:cs="仿宋"/>
          <w:b/>
          <w:color w:val="auto"/>
          <w:sz w:val="24"/>
          <w:highlight w:val="none"/>
        </w:rPr>
      </w:pPr>
    </w:p>
    <w:p>
      <w:pPr>
        <w:tabs>
          <w:tab w:val="left" w:pos="720"/>
        </w:tabs>
        <w:spacing w:line="360" w:lineRule="auto"/>
        <w:jc w:val="center"/>
        <w:rPr>
          <w:rFonts w:hint="eastAsia" w:ascii="仿宋" w:hAnsi="仿宋" w:eastAsia="仿宋" w:cs="仿宋"/>
          <w:b/>
          <w:color w:val="auto"/>
          <w:sz w:val="24"/>
          <w:highlight w:val="none"/>
        </w:rPr>
      </w:pPr>
    </w:p>
    <w:p>
      <w:pPr>
        <w:tabs>
          <w:tab w:val="left" w:pos="720"/>
        </w:tabs>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u w:val="single"/>
        </w:rPr>
        <w:t xml:space="preserve">        </w:t>
      </w:r>
      <w:r>
        <w:rPr>
          <w:rFonts w:hint="eastAsia" w:ascii="仿宋" w:hAnsi="仿宋" w:eastAsia="仿宋" w:cs="仿宋"/>
          <w:b/>
          <w:color w:val="auto"/>
          <w:sz w:val="72"/>
          <w:szCs w:val="72"/>
          <w:highlight w:val="none"/>
        </w:rPr>
        <w:t>政府采购</w:t>
      </w:r>
    </w:p>
    <w:p>
      <w:pPr>
        <w:tabs>
          <w:tab w:val="left" w:pos="720"/>
        </w:tabs>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合同书</w:t>
      </w:r>
    </w:p>
    <w:p>
      <w:pPr>
        <w:tabs>
          <w:tab w:val="left" w:pos="720"/>
        </w:tabs>
        <w:spacing w:line="360" w:lineRule="auto"/>
        <w:jc w:val="center"/>
        <w:rPr>
          <w:rFonts w:hint="eastAsia" w:ascii="仿宋" w:hAnsi="仿宋" w:eastAsia="仿宋" w:cs="仿宋"/>
          <w:b/>
          <w:color w:val="auto"/>
          <w:sz w:val="44"/>
          <w:szCs w:val="44"/>
          <w:highlight w:val="none"/>
        </w:rPr>
      </w:pPr>
    </w:p>
    <w:p>
      <w:pPr>
        <w:tabs>
          <w:tab w:val="left" w:pos="720"/>
        </w:tabs>
        <w:spacing w:line="360" w:lineRule="auto"/>
        <w:jc w:val="center"/>
        <w:rPr>
          <w:rFonts w:hint="eastAsia" w:ascii="仿宋" w:hAnsi="仿宋" w:eastAsia="仿宋" w:cs="仿宋"/>
          <w:b/>
          <w:color w:val="auto"/>
          <w:sz w:val="44"/>
          <w:szCs w:val="44"/>
          <w:highlight w:val="none"/>
        </w:rPr>
      </w:pPr>
    </w:p>
    <w:p>
      <w:pPr>
        <w:tabs>
          <w:tab w:val="left" w:pos="720"/>
        </w:tabs>
        <w:spacing w:line="360" w:lineRule="auto"/>
        <w:ind w:firstLine="842" w:firstLineChars="262"/>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合同编号：</w:t>
      </w:r>
      <w:r>
        <w:rPr>
          <w:rFonts w:hint="eastAsia" w:ascii="仿宋" w:hAnsi="仿宋" w:eastAsia="仿宋" w:cs="仿宋"/>
          <w:b/>
          <w:color w:val="auto"/>
          <w:sz w:val="32"/>
          <w:szCs w:val="32"/>
          <w:highlight w:val="none"/>
          <w:u w:val="single"/>
        </w:rPr>
        <w:t xml:space="preserve">               </w:t>
      </w:r>
    </w:p>
    <w:p>
      <w:pPr>
        <w:spacing w:after="120" w:afterLines="50" w:line="360" w:lineRule="auto"/>
        <w:ind w:firstLine="842" w:firstLineChars="26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采购编号：</w:t>
      </w:r>
    </w:p>
    <w:p>
      <w:pPr>
        <w:tabs>
          <w:tab w:val="left" w:pos="720"/>
        </w:tabs>
        <w:spacing w:line="360" w:lineRule="auto"/>
        <w:ind w:left="638" w:leftChars="304" w:firstLine="196" w:firstLineChars="6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p>
    <w:p>
      <w:pPr>
        <w:tabs>
          <w:tab w:val="left" w:pos="720"/>
        </w:tabs>
        <w:spacing w:line="360" w:lineRule="auto"/>
        <w:ind w:firstLine="900" w:firstLineChars="280"/>
        <w:rPr>
          <w:rFonts w:hint="eastAsia" w:ascii="仿宋" w:hAnsi="仿宋" w:eastAsia="仿宋" w:cs="仿宋"/>
          <w:b/>
          <w:color w:val="auto"/>
          <w:sz w:val="32"/>
          <w:szCs w:val="32"/>
          <w:highlight w:val="none"/>
          <w:u w:val="singl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rPr>
          <w:rFonts w:hint="eastAsia" w:ascii="仿宋" w:hAnsi="仿宋" w:eastAsia="仿宋" w:cs="仿宋"/>
          <w:color w:val="auto"/>
          <w:highlight w:val="none"/>
        </w:rPr>
      </w:pPr>
      <w:r>
        <w:rPr>
          <w:rFonts w:hint="eastAsia" w:ascii="仿宋" w:hAnsi="仿宋" w:eastAsia="仿宋" w:cs="仿宋"/>
          <w:b/>
          <w:color w:val="auto"/>
          <w:sz w:val="28"/>
          <w:szCs w:val="28"/>
          <w:highlight w:val="none"/>
        </w:rPr>
        <w:t>注：本合同仅为合同的参考文本，合同签订双方可根据项目的具体要求进行修订。</w:t>
      </w:r>
    </w:p>
    <w:p>
      <w:pPr>
        <w:jc w:val="center"/>
        <w:rPr>
          <w:rFonts w:hint="eastAsia" w:ascii="仿宋" w:hAnsi="仿宋" w:eastAsia="仿宋" w:cs="仿宋"/>
          <w:color w:val="auto"/>
          <w:highlight w:val="none"/>
        </w:rPr>
      </w:pPr>
    </w:p>
    <w:p>
      <w:pPr>
        <w:tabs>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    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传  真：           地  址：</w:t>
      </w:r>
    </w:p>
    <w:p>
      <w:pPr>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乙    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    话：                传  真：           地  址：   </w:t>
      </w:r>
    </w:p>
    <w:p>
      <w:pPr>
        <w:tabs>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项目名称：                                   采购编号：               </w:t>
      </w:r>
    </w:p>
    <w:p>
      <w:pPr>
        <w:pStyle w:val="205"/>
        <w:snapToGrid w:val="0"/>
        <w:spacing w:before="0" w:beforeAutospacing="0" w:after="0" w:afterAutospacing="0" w:line="460" w:lineRule="exact"/>
        <w:ind w:right="420" w:firstLine="0" w:firstLineChars="0"/>
        <w:jc w:val="both"/>
        <w:textAlignment w:val="baseline"/>
        <w:rPr>
          <w:rFonts w:hint="eastAsia" w:ascii="仿宋" w:hAnsi="仿宋" w:eastAsia="仿宋" w:cs="仿宋"/>
          <w:b w:val="0"/>
          <w:i w:val="0"/>
          <w:caps w:val="0"/>
          <w:color w:val="auto"/>
          <w:spacing w:val="0"/>
          <w:w w:val="100"/>
          <w:kern w:val="28"/>
          <w:sz w:val="28"/>
          <w:szCs w:val="28"/>
          <w:highlight w:val="none"/>
        </w:rPr>
      </w:pPr>
      <w:r>
        <w:rPr>
          <w:rFonts w:hint="eastAsia" w:ascii="仿宋" w:hAnsi="仿宋" w:eastAsia="仿宋" w:cs="仿宋"/>
          <w:b w:val="0"/>
          <w:i w:val="0"/>
          <w:caps w:val="0"/>
          <w:color w:val="auto"/>
          <w:spacing w:val="0"/>
          <w:w w:val="100"/>
          <w:kern w:val="28"/>
          <w:sz w:val="28"/>
          <w:szCs w:val="28"/>
          <w:highlight w:val="none"/>
          <w:u w:val="single" w:color="000000"/>
        </w:rPr>
        <w:t xml:space="preserve">                                       </w:t>
      </w:r>
    </w:p>
    <w:p>
      <w:pPr>
        <w:snapToGrid w:val="0"/>
        <w:spacing w:before="0" w:beforeAutospacing="0" w:after="0" w:afterAutospacing="0" w:line="500" w:lineRule="exact"/>
        <w:ind w:right="480" w:firstLine="560" w:firstLineChars="200"/>
        <w:jc w:val="both"/>
        <w:textAlignment w:val="baseline"/>
        <w:rPr>
          <w:rFonts w:hint="eastAsia" w:ascii="仿宋" w:hAnsi="仿宋" w:eastAsia="仿宋" w:cs="仿宋"/>
          <w:b w:val="0"/>
          <w:bCs/>
          <w:i w:val="0"/>
          <w:caps w:val="0"/>
          <w:color w:val="auto"/>
          <w:spacing w:val="0"/>
          <w:w w:val="100"/>
          <w:sz w:val="28"/>
          <w:szCs w:val="28"/>
          <w:highlight w:val="none"/>
        </w:rPr>
      </w:pPr>
      <w:r>
        <w:rPr>
          <w:rFonts w:hint="eastAsia" w:ascii="仿宋" w:hAnsi="仿宋" w:eastAsia="仿宋" w:cs="仿宋"/>
          <w:b w:val="0"/>
          <w:bCs/>
          <w:i w:val="0"/>
          <w:caps w:val="0"/>
          <w:color w:val="auto"/>
          <w:spacing w:val="0"/>
          <w:w w:val="100"/>
          <w:sz w:val="28"/>
          <w:szCs w:val="28"/>
          <w:highlight w:val="none"/>
        </w:rPr>
        <w:t>根据</w:t>
      </w:r>
      <w:r>
        <w:rPr>
          <w:rFonts w:hint="eastAsia" w:ascii="仿宋" w:hAnsi="仿宋" w:eastAsia="仿宋" w:cs="仿宋"/>
          <w:b w:val="0"/>
          <w:bCs/>
          <w:i w:val="0"/>
          <w:caps w:val="0"/>
          <w:color w:val="auto"/>
          <w:spacing w:val="0"/>
          <w:w w:val="100"/>
          <w:sz w:val="28"/>
          <w:szCs w:val="28"/>
          <w:highlight w:val="none"/>
          <w:u w:val="single" w:color="000000"/>
        </w:rPr>
        <w:t xml:space="preserve">      </w:t>
      </w:r>
      <w:r>
        <w:rPr>
          <w:rFonts w:hint="eastAsia" w:ascii="仿宋" w:hAnsi="仿宋" w:eastAsia="仿宋" w:cs="仿宋"/>
          <w:b w:val="0"/>
          <w:bCs/>
          <w:i w:val="0"/>
          <w:caps w:val="0"/>
          <w:color w:val="auto"/>
          <w:spacing w:val="0"/>
          <w:w w:val="100"/>
          <w:sz w:val="28"/>
          <w:szCs w:val="28"/>
          <w:highlight w:val="none"/>
        </w:rPr>
        <w:t>项目的采购结果，按照《中华人民共和国政府采购法》、《中华人民共和国</w:t>
      </w:r>
      <w:r>
        <w:rPr>
          <w:rFonts w:hint="eastAsia" w:ascii="仿宋" w:hAnsi="仿宋" w:eastAsia="仿宋" w:cs="仿宋"/>
          <w:b w:val="0"/>
          <w:bCs/>
          <w:i w:val="0"/>
          <w:caps w:val="0"/>
          <w:color w:val="auto"/>
          <w:spacing w:val="0"/>
          <w:w w:val="100"/>
          <w:sz w:val="28"/>
          <w:szCs w:val="28"/>
          <w:highlight w:val="none"/>
          <w:lang w:eastAsia="zh-CN"/>
        </w:rPr>
        <w:t>民</w:t>
      </w:r>
      <w:r>
        <w:rPr>
          <w:rFonts w:hint="eastAsia" w:ascii="仿宋" w:hAnsi="仿宋" w:eastAsia="仿宋" w:cs="仿宋"/>
          <w:b w:val="0"/>
          <w:bCs/>
          <w:i w:val="0"/>
          <w:caps w:val="0"/>
          <w:color w:val="auto"/>
          <w:spacing w:val="0"/>
          <w:w w:val="100"/>
          <w:sz w:val="28"/>
          <w:szCs w:val="28"/>
          <w:highlight w:val="none"/>
        </w:rPr>
        <w:t>法</w:t>
      </w:r>
      <w:r>
        <w:rPr>
          <w:rFonts w:hint="eastAsia" w:ascii="仿宋" w:hAnsi="仿宋" w:eastAsia="仿宋" w:cs="仿宋"/>
          <w:b w:val="0"/>
          <w:bCs/>
          <w:i w:val="0"/>
          <w:caps w:val="0"/>
          <w:color w:val="auto"/>
          <w:spacing w:val="0"/>
          <w:w w:val="100"/>
          <w:sz w:val="28"/>
          <w:szCs w:val="28"/>
          <w:highlight w:val="none"/>
          <w:lang w:eastAsia="zh-CN"/>
        </w:rPr>
        <w:t>典</w:t>
      </w:r>
      <w:r>
        <w:rPr>
          <w:rFonts w:hint="eastAsia" w:ascii="仿宋" w:hAnsi="仿宋" w:eastAsia="仿宋" w:cs="仿宋"/>
          <w:b w:val="0"/>
          <w:bCs/>
          <w:i w:val="0"/>
          <w:caps w:val="0"/>
          <w:color w:val="auto"/>
          <w:spacing w:val="0"/>
          <w:w w:val="100"/>
          <w:sz w:val="28"/>
          <w:szCs w:val="28"/>
          <w:highlight w:val="none"/>
        </w:rPr>
        <w:t>》的规定，经双方协商，本着平等互利和诚实信用的原则，一致同意签订本合同如下。</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第一条 合同项目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1、项目名称：   </w:t>
      </w:r>
    </w:p>
    <w:p>
      <w:pPr>
        <w:widowControl/>
        <w:spacing w:line="500" w:lineRule="exact"/>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2、采购编号：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第二条 合同组成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1、合同文件组成内容包括：本合同书 、成交通知书、投标文件（含澄清内容）、招标文件（含招标文件澄清通知）等。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第三条 服务内容、标准及要求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1、服务内容：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2、服务标准：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3、服务要求：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4、具体服务内容服务标准及要求以招标文件用户需求书及乙方投标文件承诺条款及方案为准。</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第四条 价格 </w:t>
      </w:r>
    </w:p>
    <w:p>
      <w:pPr>
        <w:widowControl/>
        <w:spacing w:line="500" w:lineRule="exact"/>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1、</w:t>
      </w:r>
      <w:r>
        <w:rPr>
          <w:rFonts w:hint="eastAsia" w:ascii="仿宋" w:hAnsi="仿宋" w:eastAsia="仿宋" w:cs="仿宋"/>
          <w:color w:val="auto"/>
          <w:kern w:val="0"/>
          <w:sz w:val="28"/>
          <w:szCs w:val="28"/>
          <w:highlight w:val="none"/>
          <w:lang w:val="en-US" w:eastAsia="zh-CN" w:bidi="ar"/>
        </w:rPr>
        <w:t>报价范围包括：</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2、合同总价：（人民币）大写</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3、本合同价为固定不变价。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第五条 服务期限及地点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1、服务期： </w:t>
      </w:r>
      <w:r>
        <w:rPr>
          <w:rFonts w:hint="eastAsia" w:ascii="仿宋" w:hAnsi="仿宋" w:eastAsia="仿宋" w:cs="仿宋"/>
          <w:color w:val="auto"/>
          <w:kern w:val="0"/>
          <w:sz w:val="28"/>
          <w:szCs w:val="28"/>
          <w:highlight w:val="none"/>
          <w:lang w:val="en-US" w:eastAsia="zh-CN" w:bidi="ar"/>
        </w:rPr>
        <w:t xml:space="preserve"> 个月</w:t>
      </w:r>
      <w:r>
        <w:rPr>
          <w:rFonts w:hint="eastAsia" w:ascii="仿宋" w:hAnsi="仿宋" w:eastAsia="仿宋" w:cs="仿宋"/>
          <w:color w:val="auto"/>
          <w:kern w:val="0"/>
          <w:sz w:val="28"/>
          <w:szCs w:val="28"/>
          <w:highlight w:val="none"/>
          <w:lang w:bidi="ar"/>
        </w:rPr>
        <w:t xml:space="preserve">，合同生效之日自 </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年 月 日至 年 月 日止。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2、服务地点：</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或甲方指定地点。</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第六条 付款方式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1、本合同的付款方式为：</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第七条 验收方式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1、验收应在甲乙双方共同参加下进行，依据</w:t>
      </w:r>
      <w:r>
        <w:rPr>
          <w:rFonts w:hint="eastAsia" w:ascii="仿宋" w:hAnsi="仿宋" w:eastAsia="仿宋" w:cs="仿宋"/>
          <w:color w:val="auto"/>
          <w:kern w:val="0"/>
          <w:sz w:val="28"/>
          <w:szCs w:val="28"/>
          <w:highlight w:val="none"/>
          <w:lang w:val="en-US" w:eastAsia="zh-CN" w:bidi="ar"/>
        </w:rPr>
        <w:t>磋商</w:t>
      </w:r>
      <w:r>
        <w:rPr>
          <w:rFonts w:hint="eastAsia" w:ascii="仿宋" w:hAnsi="仿宋" w:eastAsia="仿宋" w:cs="仿宋"/>
          <w:color w:val="auto"/>
          <w:kern w:val="0"/>
          <w:sz w:val="28"/>
          <w:szCs w:val="28"/>
          <w:highlight w:val="none"/>
          <w:lang w:bidi="ar"/>
        </w:rPr>
        <w:t xml:space="preserve">文件及本合同的有关规定制定的方案进行验收，并按国家有关规定、规范进行。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2、甲方组织项目验收小组按国家有关规定、规范进行验收，必要时邀请相关专业人员或机构参与验收。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3、对验收不合格的部分，乙方应在甲方规定时间内及时整改完善直至合格。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第八条 税和关税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1、中国政府根据现行税法对甲方征收的与本合同有关的一切税费均应由甲方承担。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2、中国政府根据现行税法规定对乙方或其雇员征收的与本合同有关的一切税费应由乙方承担。</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3、在中国境外发生的与本合同执行有关的一切税费均应由乙方承担。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第九条 其它约定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1、严禁转包，未经甲方书面同意不得分包。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2、乙方全部工作人员，须符合惠州市政府用工标准要求。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3、乙方服务人员进行服务期间的过失或故意行为，造成甲方经济损失的，由乙方负责赔偿。</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4、服务人员的劳动关系隶属乙方，乙方负责服务人员的工资、节假日和超时加班补助费、 社会保险、住宿、伙食等。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5、乙方负责本项目服务人员购买因意外身故或伤残和因意外事故住院治疗保险，并负责办理一切保险赔偿手续。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第十条 违约责任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1、合同双方任何一方不履行合同条款或不按合同约定履行条款的其它情况，均属违约，由违约方承担违约责任，赔偿因其违约造成的损失，并支付合同价款总额</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%的违约金。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2、由于乙方的原因，导致双方签订的合同终止，乙方因此而遭受的损失，将由乙方独立承担，甲方对此不负任何责任，也不作任何赔偿。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3、乙方不履行合同义务或者履行合同义务不符合约定的，应当承担继续履行、采取补救措施或者赔偿损失等违约责任。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第十一条 争议的解决</w:t>
      </w:r>
      <w:r>
        <w:rPr>
          <w:rFonts w:hint="eastAsia" w:ascii="仿宋" w:hAnsi="仿宋" w:eastAsia="仿宋" w:cs="仿宋"/>
          <w:color w:val="auto"/>
          <w:kern w:val="0"/>
          <w:sz w:val="28"/>
          <w:szCs w:val="28"/>
          <w:highlight w:val="none"/>
          <w:lang w:bidi="ar"/>
        </w:rPr>
        <w:t xml:space="preserve">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1、凡与本合同有关而引起的一切争议，甲乙双方应首先通过友好协商解决，如经协商后仍不能达成协议时，任何一方可以向法院提出诉讼。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2、本合同发生的诉讼管辖地为惠州市有管辖权的法院。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3、在进行法院审理期间，除提交法院审理的事项外，合同其他部分仍继续履行。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4、本合同按照中华人民共和国的法律进行解释。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第十二条 合同生效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1、本合同由双方法定代表人或委托代理人签字盖章后立即生效，具有同等法律效力，合同有效期随服务期结束而自然终止。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2、本合同一式 </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份，其中甲方</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份、乙方</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份。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第十三条 其它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1、本合同未尽事宜，双方可签订补充合同，补充合同与所有附件均为合同的有效组成部分，与本合同具有同等法律效力。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2、在执行本合同的过程中，所有经甲乙双方签署确认的文件（包括会议纪要、补充协议、往来信函、合同附件等）即成为本合同的有效组成部分，其生效日期为双方签字盖章或确认之日期。</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本合同合计   页 A4 纸张，缺页之合同</w:t>
      </w:r>
      <w:r>
        <w:rPr>
          <w:rFonts w:hint="eastAsia" w:ascii="仿宋" w:hAnsi="仿宋" w:eastAsia="仿宋" w:cs="仿宋"/>
          <w:color w:val="auto"/>
          <w:kern w:val="0"/>
          <w:sz w:val="28"/>
          <w:szCs w:val="28"/>
          <w:highlight w:val="none"/>
          <w:lang w:val="en-US" w:eastAsia="zh-CN" w:bidi="ar"/>
        </w:rPr>
        <w:t>视为</w:t>
      </w:r>
      <w:r>
        <w:rPr>
          <w:rFonts w:hint="eastAsia" w:ascii="仿宋" w:hAnsi="仿宋" w:eastAsia="仿宋" w:cs="仿宋"/>
          <w:color w:val="auto"/>
          <w:kern w:val="0"/>
          <w:sz w:val="28"/>
          <w:szCs w:val="28"/>
          <w:highlight w:val="none"/>
          <w:lang w:bidi="ar"/>
        </w:rPr>
        <w:t>无效。</w:t>
      </w: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b/>
          <w:color w:val="auto"/>
          <w:sz w:val="28"/>
          <w:szCs w:val="28"/>
          <w:highlight w:val="none"/>
        </w:rPr>
      </w:pPr>
    </w:p>
    <w:p>
      <w:pPr>
        <w:spacing w:line="5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甲方（盖章）：                    乙方（盖章）：</w:t>
      </w:r>
    </w:p>
    <w:p>
      <w:pPr>
        <w:spacing w:line="500" w:lineRule="exact"/>
        <w:ind w:right="25" w:rightChars="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代表：                            代表： </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签定地点：</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签定日期：  年     月    日        签定日期：     年     月     日    </w:t>
      </w:r>
    </w:p>
    <w:p>
      <w:pPr>
        <w:spacing w:line="500" w:lineRule="exact"/>
        <w:rPr>
          <w:rFonts w:hint="eastAsia" w:ascii="仿宋" w:hAnsi="仿宋" w:eastAsia="仿宋" w:cs="仿宋"/>
          <w:color w:val="auto"/>
          <w:sz w:val="28"/>
          <w:szCs w:val="28"/>
          <w:highlight w:val="none"/>
        </w:rPr>
      </w:pPr>
    </w:p>
    <w:p>
      <w:pPr>
        <w:spacing w:line="500" w:lineRule="exact"/>
        <w:ind w:firstLine="48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开户名称：</w:t>
      </w:r>
    </w:p>
    <w:p>
      <w:pPr>
        <w:spacing w:line="500" w:lineRule="exact"/>
        <w:ind w:firstLine="48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银行帐号：</w:t>
      </w:r>
    </w:p>
    <w:p>
      <w:pPr>
        <w:spacing w:line="500" w:lineRule="exact"/>
        <w:ind w:firstLine="48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 户 行：</w:t>
      </w: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pStyle w:val="6"/>
        <w:rPr>
          <w:rFonts w:hint="eastAsia" w:ascii="仿宋" w:hAnsi="仿宋" w:eastAsia="仿宋" w:cs="仿宋"/>
          <w:b/>
          <w:color w:val="auto"/>
          <w:kern w:val="0"/>
          <w:sz w:val="28"/>
          <w:szCs w:val="28"/>
          <w:highlight w:val="none"/>
        </w:rPr>
      </w:pPr>
    </w:p>
    <w:p>
      <w:pPr>
        <w:rPr>
          <w:rFonts w:hint="eastAsia" w:ascii="仿宋" w:hAnsi="仿宋" w:eastAsia="仿宋" w:cs="仿宋"/>
          <w:b/>
          <w:color w:val="auto"/>
          <w:kern w:val="0"/>
          <w:sz w:val="28"/>
          <w:szCs w:val="28"/>
          <w:highlight w:val="none"/>
        </w:rPr>
      </w:pPr>
    </w:p>
    <w:p>
      <w:pPr>
        <w:pStyle w:val="6"/>
        <w:rPr>
          <w:rFonts w:hint="eastAsia" w:ascii="仿宋" w:hAnsi="仿宋" w:eastAsia="仿宋" w:cs="仿宋"/>
          <w:b/>
          <w:color w:val="auto"/>
          <w:kern w:val="0"/>
          <w:sz w:val="28"/>
          <w:szCs w:val="28"/>
          <w:highlight w:val="none"/>
        </w:rPr>
      </w:pPr>
    </w:p>
    <w:p>
      <w:pPr>
        <w:rPr>
          <w:rFonts w:hint="eastAsia" w:ascii="仿宋" w:hAnsi="仿宋" w:eastAsia="仿宋" w:cs="仿宋"/>
          <w:b/>
          <w:color w:val="auto"/>
          <w:kern w:val="0"/>
          <w:sz w:val="28"/>
          <w:szCs w:val="28"/>
          <w:highlight w:val="none"/>
        </w:rPr>
      </w:pPr>
    </w:p>
    <w:p>
      <w:pPr>
        <w:pStyle w:val="6"/>
        <w:rPr>
          <w:rFonts w:hint="eastAsia"/>
          <w:color w:val="auto"/>
          <w:highlight w:val="none"/>
        </w:rPr>
      </w:pPr>
    </w:p>
    <w:p>
      <w:pPr>
        <w:pStyle w:val="7"/>
        <w:rPr>
          <w:rFonts w:hint="eastAsia"/>
          <w:color w:val="auto"/>
          <w:highlight w:val="none"/>
        </w:rPr>
      </w:pPr>
    </w:p>
    <w:p>
      <w:pPr>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adjustRightInd w:val="0"/>
        <w:snapToGrid w:val="0"/>
        <w:spacing w:line="360" w:lineRule="auto"/>
        <w:jc w:val="center"/>
        <w:rPr>
          <w:rFonts w:hint="eastAsia" w:ascii="仿宋" w:hAnsi="仿宋" w:eastAsia="仿宋" w:cs="仿宋"/>
          <w:b/>
          <w:color w:val="auto"/>
          <w:kern w:val="0"/>
          <w:sz w:val="28"/>
          <w:szCs w:val="28"/>
          <w:highlight w:val="none"/>
        </w:rPr>
      </w:pPr>
    </w:p>
    <w:p>
      <w:pPr>
        <w:pStyle w:val="5"/>
        <w:spacing w:before="240" w:beforeLines="100" w:after="240" w:afterLines="100" w:line="360" w:lineRule="auto"/>
        <w:jc w:val="center"/>
        <w:rPr>
          <w:rFonts w:hint="eastAsia" w:ascii="仿宋" w:hAnsi="仿宋" w:eastAsia="仿宋" w:cs="仿宋"/>
          <w:color w:val="auto"/>
          <w:sz w:val="44"/>
          <w:szCs w:val="44"/>
          <w:highlight w:val="none"/>
        </w:rPr>
      </w:pPr>
      <w:bookmarkStart w:id="69" w:name="_Toc274896627"/>
      <w:bookmarkStart w:id="70" w:name="_Toc14761"/>
      <w:bookmarkStart w:id="71" w:name="_Toc21367"/>
      <w:bookmarkStart w:id="72" w:name="_Toc16592"/>
      <w:bookmarkStart w:id="73" w:name="_Toc29536"/>
      <w:bookmarkStart w:id="74" w:name="_Toc6145"/>
      <w:bookmarkStart w:id="75" w:name="_Toc15963"/>
      <w:bookmarkStart w:id="76" w:name="_Toc25228"/>
      <w:bookmarkStart w:id="77" w:name="_Toc25059"/>
      <w:bookmarkStart w:id="78" w:name="_Toc4776"/>
      <w:bookmarkStart w:id="79" w:name="_Toc32365"/>
      <w:bookmarkStart w:id="80" w:name="_Toc6283"/>
      <w:bookmarkStart w:id="81" w:name="_Toc30098"/>
      <w:bookmarkStart w:id="82" w:name="_Toc30595"/>
      <w:bookmarkStart w:id="83" w:name="_Toc14693"/>
      <w:bookmarkStart w:id="84" w:name="_Toc7669"/>
      <w:bookmarkStart w:id="85" w:name="_Toc274896493"/>
      <w:bookmarkStart w:id="86" w:name="_Toc6721"/>
      <w:bookmarkStart w:id="87" w:name="_Toc31640"/>
      <w:bookmarkStart w:id="88" w:name="_Toc24898"/>
      <w:r>
        <w:rPr>
          <w:rFonts w:hint="eastAsia" w:ascii="仿宋" w:hAnsi="仿宋" w:eastAsia="仿宋" w:cs="仿宋"/>
          <w:color w:val="auto"/>
          <w:sz w:val="44"/>
          <w:szCs w:val="44"/>
          <w:highlight w:val="none"/>
        </w:rPr>
        <w:t>第五部分  响应文件格式</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89" w:name="_Toc20504"/>
      <w:bookmarkStart w:id="90" w:name="_Toc1331"/>
      <w:bookmarkStart w:id="91" w:name="_Toc9929"/>
      <w:bookmarkStart w:id="92" w:name="_Toc5978"/>
      <w:bookmarkStart w:id="93" w:name="_Toc24751"/>
      <w:bookmarkStart w:id="94" w:name="_Toc2903"/>
      <w:bookmarkStart w:id="95" w:name="_Toc12371"/>
      <w:bookmarkStart w:id="96" w:name="_Toc14470"/>
      <w:bookmarkStart w:id="97" w:name="_Toc26541"/>
      <w:bookmarkStart w:id="98" w:name="_Toc25987"/>
      <w:bookmarkStart w:id="99" w:name="_Toc24169"/>
      <w:bookmarkStart w:id="100" w:name="_Toc12232"/>
      <w:bookmarkStart w:id="101" w:name="_Toc30905"/>
      <w:bookmarkStart w:id="102" w:name="_Toc27437"/>
      <w:bookmarkStart w:id="103" w:name="_Toc23250"/>
      <w:bookmarkStart w:id="104" w:name="_Toc26342"/>
      <w:bookmarkStart w:id="105" w:name="_Toc12970"/>
      <w:r>
        <w:rPr>
          <w:rFonts w:hint="eastAsia" w:ascii="仿宋" w:hAnsi="仿宋" w:eastAsia="仿宋" w:cs="仿宋"/>
          <w:b/>
          <w:color w:val="auto"/>
          <w:sz w:val="32"/>
          <w:szCs w:val="32"/>
          <w:highlight w:val="none"/>
        </w:rPr>
        <w:t>项目响应文件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rPr>
          <w:rFonts w:hint="eastAsia" w:ascii="仿宋" w:hAnsi="仿宋" w:eastAsia="仿宋" w:cs="仿宋"/>
          <w:color w:val="auto"/>
          <w:highlight w:val="none"/>
        </w:rPr>
      </w:pPr>
    </w:p>
    <w:p>
      <w:pPr>
        <w:adjustRightInd w:val="0"/>
        <w:snapToGrid w:val="0"/>
        <w:spacing w:line="360" w:lineRule="auto"/>
        <w:outlineLvl w:val="0"/>
        <w:rPr>
          <w:rFonts w:hint="eastAsia" w:ascii="仿宋" w:hAnsi="仿宋" w:eastAsia="仿宋" w:cs="仿宋"/>
          <w:color w:val="auto"/>
          <w:sz w:val="28"/>
          <w:szCs w:val="28"/>
          <w:highlight w:val="none"/>
        </w:rPr>
      </w:pPr>
      <w:bookmarkStart w:id="106" w:name="_Toc16848"/>
      <w:bookmarkStart w:id="107" w:name="_Toc15856"/>
      <w:bookmarkStart w:id="108" w:name="_Toc17607"/>
      <w:bookmarkStart w:id="109" w:name="_Toc32679"/>
      <w:bookmarkStart w:id="110" w:name="_Toc16632"/>
      <w:bookmarkStart w:id="111" w:name="_Toc27813"/>
      <w:bookmarkStart w:id="112" w:name="_Toc1265"/>
      <w:bookmarkStart w:id="113" w:name="_Toc11077"/>
      <w:bookmarkStart w:id="114" w:name="_Toc3027"/>
      <w:bookmarkStart w:id="115" w:name="_Toc23512"/>
      <w:bookmarkStart w:id="116" w:name="_Toc32185"/>
      <w:bookmarkStart w:id="117" w:name="_Toc7655"/>
      <w:bookmarkStart w:id="118" w:name="_Toc16000"/>
      <w:bookmarkStart w:id="119" w:name="_Toc30173"/>
      <w:bookmarkStart w:id="120" w:name="_Toc11259"/>
      <w:bookmarkStart w:id="121" w:name="_Toc21422"/>
      <w:bookmarkStart w:id="122" w:name="_Toc5303"/>
      <w:r>
        <w:rPr>
          <w:rFonts w:hint="eastAsia" w:ascii="仿宋" w:hAnsi="仿宋" w:eastAsia="仿宋" w:cs="仿宋"/>
          <w:color w:val="auto"/>
          <w:sz w:val="28"/>
          <w:szCs w:val="28"/>
          <w:highlight w:val="none"/>
        </w:rPr>
        <w:t>一、  自查表</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line="360" w:lineRule="auto"/>
        <w:outlineLvl w:val="0"/>
        <w:rPr>
          <w:rFonts w:hint="eastAsia" w:ascii="仿宋" w:hAnsi="仿宋" w:eastAsia="仿宋" w:cs="仿宋"/>
          <w:color w:val="auto"/>
          <w:sz w:val="28"/>
          <w:szCs w:val="28"/>
          <w:highlight w:val="none"/>
        </w:rPr>
      </w:pPr>
      <w:bookmarkStart w:id="123" w:name="_Toc10940"/>
      <w:bookmarkStart w:id="124" w:name="_Toc15239"/>
      <w:bookmarkStart w:id="125" w:name="_Toc32032"/>
      <w:bookmarkStart w:id="126" w:name="_Toc27131"/>
      <w:bookmarkStart w:id="127" w:name="_Toc1007"/>
      <w:bookmarkStart w:id="128" w:name="_Toc29434"/>
      <w:bookmarkStart w:id="129" w:name="_Toc14437"/>
      <w:bookmarkStart w:id="130" w:name="_Toc32656"/>
      <w:bookmarkStart w:id="131" w:name="_Toc444"/>
      <w:bookmarkStart w:id="132" w:name="_Toc12549"/>
      <w:bookmarkStart w:id="133" w:name="_Toc12102"/>
      <w:bookmarkStart w:id="134" w:name="_Toc17673"/>
      <w:bookmarkStart w:id="135" w:name="_Toc28188"/>
      <w:bookmarkStart w:id="136" w:name="_Toc7942"/>
      <w:bookmarkStart w:id="137" w:name="_Toc27966"/>
      <w:bookmarkStart w:id="138" w:name="_Toc331"/>
      <w:bookmarkStart w:id="139" w:name="_Toc25462"/>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"_Toc175110017"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二、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资格性文件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line="360" w:lineRule="auto"/>
        <w:outlineLvl w:val="0"/>
        <w:rPr>
          <w:rFonts w:hint="eastAsia" w:ascii="仿宋" w:hAnsi="仿宋" w:eastAsia="仿宋" w:cs="仿宋"/>
          <w:color w:val="auto"/>
          <w:sz w:val="28"/>
          <w:szCs w:val="28"/>
          <w:highlight w:val="none"/>
        </w:rPr>
      </w:pPr>
      <w:bookmarkStart w:id="140" w:name="_Toc30850"/>
      <w:bookmarkStart w:id="141" w:name="_Toc2331"/>
      <w:bookmarkStart w:id="142" w:name="_Toc31755"/>
      <w:bookmarkStart w:id="143" w:name="_Toc31122"/>
      <w:bookmarkStart w:id="144" w:name="_Toc29301"/>
      <w:bookmarkStart w:id="145" w:name="_Toc4880"/>
      <w:bookmarkStart w:id="146" w:name="_Toc24713"/>
      <w:bookmarkStart w:id="147" w:name="_Toc31782"/>
      <w:bookmarkStart w:id="148" w:name="_Toc12737"/>
      <w:bookmarkStart w:id="149" w:name="_Toc6360"/>
      <w:bookmarkStart w:id="150" w:name="_Toc26856"/>
      <w:bookmarkStart w:id="151" w:name="_Toc16765"/>
      <w:bookmarkStart w:id="152" w:name="_Toc4932"/>
      <w:bookmarkStart w:id="153" w:name="_Toc20641"/>
      <w:bookmarkStart w:id="154" w:name="_Toc9397"/>
      <w:bookmarkStart w:id="155" w:name="_Toc7707"/>
      <w:bookmarkStart w:id="156" w:name="_Toc12819"/>
      <w:r>
        <w:rPr>
          <w:rFonts w:hint="eastAsia" w:ascii="仿宋" w:hAnsi="仿宋" w:eastAsia="仿宋" w:cs="仿宋"/>
          <w:color w:val="auto"/>
          <w:sz w:val="28"/>
          <w:szCs w:val="28"/>
          <w:highlight w:val="none"/>
        </w:rPr>
        <w:t>三、  商务部分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outlineLvl w:val="0"/>
        <w:rPr>
          <w:rFonts w:hint="eastAsia" w:ascii="仿宋" w:hAnsi="仿宋" w:eastAsia="仿宋" w:cs="仿宋"/>
          <w:color w:val="auto"/>
          <w:sz w:val="28"/>
          <w:szCs w:val="28"/>
          <w:highlight w:val="none"/>
        </w:rPr>
      </w:pPr>
      <w:bookmarkStart w:id="157" w:name="_Toc28208"/>
      <w:bookmarkStart w:id="158" w:name="_Toc1946"/>
      <w:bookmarkStart w:id="159" w:name="_Toc3730"/>
      <w:bookmarkStart w:id="160" w:name="_Toc26900"/>
      <w:bookmarkStart w:id="161" w:name="_Toc21227"/>
      <w:bookmarkStart w:id="162" w:name="_Toc31735"/>
      <w:bookmarkStart w:id="163" w:name="_Toc12720"/>
      <w:bookmarkStart w:id="164" w:name="_Toc702"/>
      <w:bookmarkStart w:id="165" w:name="_Toc10467"/>
      <w:bookmarkStart w:id="166" w:name="_Toc18132"/>
      <w:bookmarkStart w:id="167" w:name="_Toc6865"/>
      <w:bookmarkStart w:id="168" w:name="_Toc21684"/>
      <w:bookmarkStart w:id="169" w:name="_Toc5105"/>
      <w:bookmarkStart w:id="170" w:name="_Toc15983"/>
      <w:bookmarkStart w:id="171" w:name="_Toc28488"/>
      <w:bookmarkStart w:id="172" w:name="_Toc6302"/>
      <w:bookmarkStart w:id="173" w:name="_Toc9140"/>
      <w:r>
        <w:rPr>
          <w:rFonts w:hint="eastAsia" w:ascii="仿宋" w:hAnsi="仿宋" w:eastAsia="仿宋" w:cs="仿宋"/>
          <w:color w:val="auto"/>
          <w:sz w:val="28"/>
          <w:szCs w:val="28"/>
          <w:highlight w:val="none"/>
        </w:rPr>
        <w:t>四、  技术部分</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adjustRightInd w:val="0"/>
        <w:snapToGrid w:val="0"/>
        <w:spacing w:line="360" w:lineRule="auto"/>
        <w:outlineLvl w:val="0"/>
        <w:rPr>
          <w:rFonts w:hint="eastAsia" w:ascii="仿宋" w:hAnsi="仿宋" w:eastAsia="仿宋" w:cs="仿宋"/>
          <w:color w:val="auto"/>
          <w:sz w:val="28"/>
          <w:szCs w:val="28"/>
          <w:highlight w:val="none"/>
        </w:rPr>
      </w:pPr>
      <w:bookmarkStart w:id="174" w:name="_Toc10838"/>
      <w:bookmarkStart w:id="175" w:name="_Toc7492"/>
      <w:bookmarkStart w:id="176" w:name="_Toc1800"/>
      <w:bookmarkStart w:id="177" w:name="_Toc6744"/>
      <w:bookmarkStart w:id="178" w:name="_Toc30843"/>
      <w:bookmarkStart w:id="179" w:name="_Toc15885"/>
      <w:bookmarkStart w:id="180" w:name="_Toc6267"/>
      <w:bookmarkStart w:id="181" w:name="_Toc8455"/>
      <w:bookmarkStart w:id="182" w:name="_Toc15849"/>
      <w:bookmarkStart w:id="183" w:name="_Toc14529"/>
      <w:bookmarkStart w:id="184" w:name="_Toc8340"/>
      <w:bookmarkStart w:id="185" w:name="_Toc2855"/>
      <w:bookmarkStart w:id="186" w:name="_Toc32617"/>
      <w:bookmarkStart w:id="187" w:name="_Toc15579"/>
      <w:bookmarkStart w:id="188" w:name="_Toc14789"/>
      <w:bookmarkStart w:id="189" w:name="_Toc18678"/>
      <w:bookmarkStart w:id="190" w:name="_Toc19869"/>
      <w:r>
        <w:rPr>
          <w:rFonts w:hint="eastAsia" w:ascii="仿宋" w:hAnsi="仿宋" w:eastAsia="仿宋" w:cs="仿宋"/>
          <w:color w:val="auto"/>
          <w:sz w:val="28"/>
          <w:szCs w:val="28"/>
          <w:highlight w:val="none"/>
        </w:rPr>
        <w:t>五、  价格部分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注：1.</w:t>
      </w:r>
      <w:r>
        <w:rPr>
          <w:rFonts w:hint="eastAsia" w:ascii="仿宋" w:hAnsi="仿宋" w:eastAsia="仿宋" w:cs="仿宋"/>
          <w:color w:val="auto"/>
          <w:sz w:val="28"/>
          <w:szCs w:val="28"/>
          <w:highlight w:val="none"/>
          <w:u w:val="single"/>
        </w:rPr>
        <w:t xml:space="preserve"> 请报价人/响应供应商按照以下文件的要求格式、内容，顺序制作响应文件，并请编制目录及页码，否则可能将影响对响应文件的评价。</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8"/>
        <w:spacing w:line="360" w:lineRule="auto"/>
        <w:jc w:val="center"/>
        <w:rPr>
          <w:rFonts w:hint="eastAsia" w:ascii="仿宋" w:hAnsi="仿宋" w:eastAsia="仿宋" w:cs="仿宋"/>
          <w:b/>
          <w:color w:val="auto"/>
          <w:sz w:val="28"/>
          <w:szCs w:val="28"/>
          <w:highlight w:val="none"/>
        </w:rPr>
      </w:pPr>
    </w:p>
    <w:p>
      <w:pPr>
        <w:pStyle w:val="18"/>
        <w:tabs>
          <w:tab w:val="left" w:pos="1260"/>
        </w:tabs>
        <w:adjustRightInd w:val="0"/>
        <w:snapToGrid w:val="0"/>
        <w:spacing w:line="360" w:lineRule="auto"/>
        <w:jc w:val="center"/>
        <w:rPr>
          <w:rFonts w:hint="eastAsia" w:ascii="仿宋" w:hAnsi="仿宋" w:eastAsia="仿宋" w:cs="仿宋"/>
          <w:b/>
          <w:color w:val="auto"/>
          <w:spacing w:val="100"/>
          <w:w w:val="110"/>
          <w:kern w:val="0"/>
          <w:sz w:val="48"/>
          <w:szCs w:val="48"/>
          <w:highlight w:val="none"/>
          <w:u w:val="single"/>
        </w:rPr>
      </w:pPr>
      <w:r>
        <w:rPr>
          <w:rFonts w:hint="eastAsia" w:ascii="仿宋" w:hAnsi="仿宋" w:eastAsia="仿宋" w:cs="仿宋"/>
          <w:b/>
          <w:color w:val="auto"/>
          <w:spacing w:val="100"/>
          <w:w w:val="110"/>
          <w:kern w:val="0"/>
          <w:sz w:val="48"/>
          <w:szCs w:val="48"/>
          <w:highlight w:val="none"/>
          <w:u w:val="single"/>
        </w:rPr>
        <w:br w:type="page"/>
      </w:r>
    </w:p>
    <w:p>
      <w:pPr>
        <w:pStyle w:val="18"/>
        <w:tabs>
          <w:tab w:val="left" w:pos="1260"/>
        </w:tabs>
        <w:adjustRightInd w:val="0"/>
        <w:snapToGrid w:val="0"/>
        <w:spacing w:line="360" w:lineRule="auto"/>
        <w:jc w:val="center"/>
        <w:rPr>
          <w:rFonts w:hint="eastAsia" w:ascii="仿宋" w:hAnsi="仿宋" w:eastAsia="仿宋" w:cs="仿宋"/>
          <w:b/>
          <w:color w:val="auto"/>
          <w:spacing w:val="100"/>
          <w:w w:val="110"/>
          <w:kern w:val="0"/>
          <w:sz w:val="48"/>
          <w:szCs w:val="48"/>
          <w:highlight w:val="none"/>
          <w:u w:val="single"/>
        </w:rPr>
      </w:pPr>
    </w:p>
    <w:p>
      <w:pPr>
        <w:pStyle w:val="18"/>
        <w:tabs>
          <w:tab w:val="left" w:pos="1260"/>
        </w:tabs>
        <w:adjustRightInd w:val="0"/>
        <w:snapToGrid w:val="0"/>
        <w:spacing w:line="360" w:lineRule="auto"/>
        <w:jc w:val="center"/>
        <w:outlineLvl w:val="0"/>
        <w:rPr>
          <w:rFonts w:hint="eastAsia" w:ascii="仿宋" w:hAnsi="仿宋" w:eastAsia="仿宋" w:cs="仿宋"/>
          <w:b/>
          <w:color w:val="auto"/>
          <w:spacing w:val="100"/>
          <w:w w:val="110"/>
          <w:kern w:val="0"/>
          <w:sz w:val="48"/>
          <w:szCs w:val="48"/>
          <w:highlight w:val="none"/>
        </w:rPr>
      </w:pPr>
      <w:r>
        <w:rPr>
          <w:rFonts w:hint="eastAsia" w:ascii="仿宋" w:hAnsi="仿宋" w:eastAsia="仿宋" w:cs="仿宋"/>
          <w:b/>
          <w:color w:val="auto"/>
          <w:spacing w:val="100"/>
          <w:w w:val="110"/>
          <w:kern w:val="0"/>
          <w:sz w:val="48"/>
          <w:szCs w:val="48"/>
          <w:highlight w:val="none"/>
          <w:u w:val="single"/>
        </w:rPr>
        <w:t xml:space="preserve">        </w:t>
      </w:r>
      <w:bookmarkStart w:id="191" w:name="_Toc25027"/>
      <w:bookmarkStart w:id="192" w:name="_Toc24323"/>
      <w:bookmarkStart w:id="193" w:name="_Toc13567"/>
      <w:bookmarkStart w:id="194" w:name="_Toc1569"/>
      <w:bookmarkStart w:id="195" w:name="_Toc27302"/>
      <w:bookmarkStart w:id="196" w:name="_Toc30075"/>
      <w:bookmarkStart w:id="197" w:name="_Toc9472"/>
      <w:bookmarkStart w:id="198" w:name="_Toc7081"/>
      <w:bookmarkStart w:id="199" w:name="_Toc184"/>
      <w:bookmarkStart w:id="200" w:name="_Toc7381"/>
      <w:bookmarkStart w:id="201" w:name="_Toc8723"/>
      <w:bookmarkStart w:id="202" w:name="_Toc25619"/>
      <w:bookmarkStart w:id="203" w:name="_Toc23545"/>
      <w:bookmarkStart w:id="204" w:name="_Toc29674"/>
      <w:bookmarkStart w:id="205" w:name="_Toc4860"/>
      <w:bookmarkStart w:id="206" w:name="_Toc7146"/>
      <w:bookmarkStart w:id="207" w:name="_Toc7005"/>
      <w:r>
        <w:rPr>
          <w:rFonts w:hint="eastAsia" w:ascii="仿宋" w:hAnsi="仿宋" w:eastAsia="仿宋" w:cs="仿宋"/>
          <w:b/>
          <w:color w:val="auto"/>
          <w:spacing w:val="100"/>
          <w:w w:val="110"/>
          <w:kern w:val="0"/>
          <w:sz w:val="48"/>
          <w:szCs w:val="48"/>
          <w:highlight w:val="none"/>
        </w:rPr>
        <w:t>政府采购</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Style w:val="18"/>
        <w:adjustRightInd w:val="0"/>
        <w:snapToGrid w:val="0"/>
        <w:spacing w:line="360" w:lineRule="auto"/>
        <w:jc w:val="center"/>
        <w:rPr>
          <w:rFonts w:hint="eastAsia" w:ascii="仿宋" w:hAnsi="仿宋" w:eastAsia="仿宋" w:cs="仿宋"/>
          <w:b/>
          <w:color w:val="auto"/>
          <w:sz w:val="48"/>
          <w:szCs w:val="48"/>
          <w:highlight w:val="none"/>
        </w:rPr>
      </w:pPr>
    </w:p>
    <w:p>
      <w:pPr>
        <w:pStyle w:val="18"/>
        <w:tabs>
          <w:tab w:val="left" w:pos="1260"/>
        </w:tabs>
        <w:adjustRightInd w:val="0"/>
        <w:snapToGrid w:val="0"/>
        <w:spacing w:line="360" w:lineRule="auto"/>
        <w:jc w:val="center"/>
        <w:outlineLvl w:val="0"/>
        <w:rPr>
          <w:rFonts w:hint="eastAsia" w:ascii="仿宋" w:hAnsi="仿宋" w:eastAsia="仿宋" w:cs="仿宋"/>
          <w:b/>
          <w:color w:val="auto"/>
          <w:spacing w:val="100"/>
          <w:w w:val="110"/>
          <w:sz w:val="48"/>
          <w:szCs w:val="48"/>
          <w:highlight w:val="none"/>
        </w:rPr>
      </w:pPr>
      <w:bookmarkStart w:id="208" w:name="_Toc12037"/>
      <w:bookmarkStart w:id="209" w:name="_Toc7131"/>
      <w:bookmarkStart w:id="210" w:name="_Toc7324"/>
      <w:bookmarkStart w:id="211" w:name="_Toc25261"/>
      <w:bookmarkStart w:id="212" w:name="_Toc28514"/>
      <w:bookmarkStart w:id="213" w:name="_Toc3679"/>
      <w:bookmarkStart w:id="214" w:name="_Toc12870"/>
      <w:bookmarkStart w:id="215" w:name="_Toc21850"/>
      <w:bookmarkStart w:id="216" w:name="_Toc7548"/>
      <w:bookmarkStart w:id="217" w:name="_Toc2814"/>
      <w:bookmarkStart w:id="218" w:name="_Toc27126"/>
      <w:bookmarkStart w:id="219" w:name="_Toc1830"/>
      <w:bookmarkStart w:id="220" w:name="_Toc10287"/>
      <w:bookmarkStart w:id="221" w:name="_Toc32248"/>
      <w:bookmarkStart w:id="222" w:name="_Toc18243"/>
      <w:bookmarkStart w:id="223" w:name="_Toc27733"/>
      <w:bookmarkStart w:id="224" w:name="_Toc14075"/>
      <w:r>
        <w:rPr>
          <w:rFonts w:hint="eastAsia" w:ascii="仿宋" w:hAnsi="仿宋" w:eastAsia="仿宋" w:cs="仿宋"/>
          <w:b/>
          <w:color w:val="auto"/>
          <w:spacing w:val="100"/>
          <w:w w:val="110"/>
          <w:kern w:val="0"/>
          <w:sz w:val="48"/>
          <w:szCs w:val="48"/>
          <w:highlight w:val="none"/>
        </w:rPr>
        <w:t>响应文件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pStyle w:val="18"/>
        <w:adjustRightInd w:val="0"/>
        <w:snapToGrid w:val="0"/>
        <w:spacing w:line="360" w:lineRule="auto"/>
        <w:jc w:val="center"/>
        <w:outlineLvl w:val="0"/>
        <w:rPr>
          <w:rFonts w:hint="eastAsia" w:ascii="仿宋" w:hAnsi="仿宋" w:eastAsia="仿宋" w:cs="仿宋"/>
          <w:b/>
          <w:color w:val="auto"/>
          <w:sz w:val="48"/>
          <w:szCs w:val="48"/>
          <w:highlight w:val="none"/>
        </w:rPr>
      </w:pPr>
      <w:bookmarkStart w:id="225" w:name="_Toc3538"/>
      <w:bookmarkStart w:id="226" w:name="_Toc10176"/>
      <w:bookmarkStart w:id="227" w:name="_Toc8641"/>
      <w:bookmarkStart w:id="228" w:name="_Toc22849"/>
      <w:bookmarkStart w:id="229" w:name="_Toc11905"/>
      <w:bookmarkStart w:id="230" w:name="_Toc21479"/>
      <w:bookmarkStart w:id="231" w:name="_Toc31260"/>
      <w:bookmarkStart w:id="232" w:name="_Toc99"/>
      <w:bookmarkStart w:id="233" w:name="_Toc12216"/>
      <w:bookmarkStart w:id="234" w:name="_Toc4081"/>
      <w:bookmarkStart w:id="235" w:name="_Toc5645"/>
      <w:bookmarkStart w:id="236" w:name="_Toc20652"/>
      <w:bookmarkStart w:id="237" w:name="_Toc27069"/>
      <w:bookmarkStart w:id="238" w:name="_Toc32047"/>
      <w:bookmarkStart w:id="239" w:name="_Toc14626"/>
      <w:bookmarkStart w:id="240" w:name="_Toc8883"/>
      <w:bookmarkStart w:id="241" w:name="_Toc18638"/>
      <w:r>
        <w:rPr>
          <w:rFonts w:hint="eastAsia" w:ascii="仿宋" w:hAnsi="仿宋" w:eastAsia="仿宋" w:cs="仿宋"/>
          <w:b/>
          <w:color w:val="auto"/>
          <w:sz w:val="48"/>
          <w:szCs w:val="48"/>
          <w:highlight w:val="none"/>
        </w:rPr>
        <w:t>（正本/副本）</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pStyle w:val="18"/>
        <w:adjustRightInd w:val="0"/>
        <w:snapToGrid w:val="0"/>
        <w:spacing w:line="360" w:lineRule="auto"/>
        <w:jc w:val="center"/>
        <w:rPr>
          <w:rFonts w:hint="eastAsia" w:ascii="仿宋" w:hAnsi="仿宋" w:eastAsia="仿宋" w:cs="仿宋"/>
          <w:b/>
          <w:color w:val="auto"/>
          <w:sz w:val="28"/>
          <w:szCs w:val="28"/>
          <w:highlight w:val="none"/>
        </w:rPr>
      </w:pPr>
    </w:p>
    <w:p>
      <w:pPr>
        <w:pStyle w:val="18"/>
        <w:adjustRightInd w:val="0"/>
        <w:snapToGrid w:val="0"/>
        <w:spacing w:line="360" w:lineRule="auto"/>
        <w:jc w:val="center"/>
        <w:rPr>
          <w:rFonts w:hint="eastAsia" w:ascii="仿宋" w:hAnsi="仿宋" w:eastAsia="仿宋" w:cs="仿宋"/>
          <w:b/>
          <w:color w:val="auto"/>
          <w:sz w:val="28"/>
          <w:szCs w:val="28"/>
          <w:highlight w:val="none"/>
        </w:rPr>
      </w:pPr>
    </w:p>
    <w:p>
      <w:pPr>
        <w:pStyle w:val="18"/>
        <w:adjustRightInd w:val="0"/>
        <w:snapToGrid w:val="0"/>
        <w:spacing w:line="360" w:lineRule="auto"/>
        <w:ind w:firstLine="967" w:firstLineChars="344"/>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采购项目编号（包、组号）：</w:t>
      </w:r>
      <w:r>
        <w:rPr>
          <w:rFonts w:hint="eastAsia" w:ascii="仿宋" w:hAnsi="仿宋" w:eastAsia="仿宋" w:cs="仿宋"/>
          <w:b/>
          <w:color w:val="auto"/>
          <w:sz w:val="28"/>
          <w:szCs w:val="28"/>
          <w:highlight w:val="none"/>
          <w:u w:val="thick"/>
        </w:rPr>
        <w:t xml:space="preserve">                       </w:t>
      </w:r>
    </w:p>
    <w:p>
      <w:pPr>
        <w:pStyle w:val="3"/>
        <w:adjustRightInd w:val="0"/>
        <w:snapToGrid w:val="0"/>
        <w:spacing w:line="360" w:lineRule="auto"/>
        <w:ind w:firstLine="967" w:firstLineChars="344"/>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采购项目名称：</w:t>
      </w:r>
      <w:r>
        <w:rPr>
          <w:rFonts w:hint="eastAsia" w:ascii="仿宋" w:hAnsi="仿宋" w:eastAsia="仿宋" w:cs="仿宋"/>
          <w:b/>
          <w:color w:val="auto"/>
          <w:sz w:val="28"/>
          <w:szCs w:val="28"/>
          <w:highlight w:val="none"/>
          <w:u w:val="thick"/>
        </w:rPr>
        <w:t xml:space="preserve">                              </w:t>
      </w: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3117" w:firstLineChars="1109"/>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响应供应商名称：</w:t>
      </w:r>
      <w:r>
        <w:rPr>
          <w:rFonts w:hint="eastAsia" w:ascii="仿宋" w:hAnsi="仿宋" w:eastAsia="仿宋" w:cs="仿宋"/>
          <w:b/>
          <w:color w:val="auto"/>
          <w:sz w:val="28"/>
          <w:szCs w:val="28"/>
          <w:highlight w:val="none"/>
          <w:u w:val="single"/>
        </w:rPr>
        <w:t xml:space="preserve">                </w:t>
      </w:r>
    </w:p>
    <w:p>
      <w:pPr>
        <w:autoSpaceDE w:val="0"/>
        <w:autoSpaceDN w:val="0"/>
        <w:adjustRightInd w:val="0"/>
        <w:snapToGrid w:val="0"/>
        <w:spacing w:line="360" w:lineRule="auto"/>
        <w:ind w:firstLine="3117" w:firstLineChars="110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pPr>
        <w:pStyle w:val="6"/>
        <w:keepLines w:val="0"/>
        <w:tabs>
          <w:tab w:val="left" w:pos="4320"/>
        </w:tabs>
        <w:spacing w:before="240" w:after="60" w:line="480" w:lineRule="exact"/>
        <w:jc w:val="center"/>
        <w:outlineLvl w:val="0"/>
        <w:rPr>
          <w:rFonts w:hint="eastAsia" w:ascii="仿宋" w:hAnsi="仿宋" w:eastAsia="仿宋" w:cs="仿宋"/>
          <w:bCs w:val="0"/>
          <w:color w:val="auto"/>
          <w:highlight w:val="none"/>
        </w:rPr>
      </w:pPr>
      <w:r>
        <w:rPr>
          <w:rFonts w:hint="eastAsia" w:ascii="仿宋" w:hAnsi="仿宋" w:eastAsia="仿宋" w:cs="仿宋"/>
          <w:b w:val="0"/>
          <w:color w:val="auto"/>
          <w:sz w:val="28"/>
          <w:szCs w:val="28"/>
          <w:highlight w:val="none"/>
        </w:rPr>
        <w:br w:type="page"/>
      </w:r>
      <w:bookmarkStart w:id="242" w:name="_Toc11179"/>
      <w:bookmarkStart w:id="243" w:name="_Toc19319"/>
      <w:bookmarkStart w:id="244" w:name="_Toc202251699"/>
      <w:bookmarkStart w:id="245" w:name="_Toc25607"/>
      <w:bookmarkStart w:id="246" w:name="_Toc202820350"/>
      <w:bookmarkStart w:id="247" w:name="_Toc10163"/>
      <w:bookmarkStart w:id="248" w:name="_Toc8250"/>
      <w:bookmarkStart w:id="249" w:name="_Toc6941"/>
      <w:bookmarkStart w:id="250" w:name="_Toc19286"/>
      <w:bookmarkStart w:id="251" w:name="_Toc14353"/>
      <w:bookmarkStart w:id="252" w:name="_Toc3888"/>
      <w:bookmarkStart w:id="253" w:name="_Toc11613"/>
      <w:bookmarkStart w:id="254" w:name="_Toc6684"/>
      <w:bookmarkStart w:id="255" w:name="_Toc20285"/>
      <w:bookmarkStart w:id="256" w:name="_Toc2292"/>
      <w:bookmarkStart w:id="257" w:name="_Toc202819877"/>
      <w:bookmarkStart w:id="258" w:name="_Toc202252033"/>
      <w:bookmarkStart w:id="259" w:name="_Toc13774"/>
      <w:bookmarkStart w:id="260" w:name="_Toc274896494"/>
      <w:bookmarkStart w:id="261" w:name="_Toc2594"/>
      <w:bookmarkStart w:id="262" w:name="_Toc202251074"/>
      <w:bookmarkStart w:id="263" w:name="_Toc202254104"/>
      <w:bookmarkStart w:id="264" w:name="_Toc202816995"/>
      <w:bookmarkStart w:id="265" w:name="_Toc9279"/>
      <w:bookmarkStart w:id="266" w:name="_Toc2138"/>
      <w:bookmarkStart w:id="267" w:name="_Toc274896628"/>
      <w:bookmarkStart w:id="268" w:name="_Toc17236"/>
      <w:r>
        <w:rPr>
          <w:rFonts w:hint="eastAsia" w:ascii="仿宋" w:hAnsi="仿宋" w:eastAsia="仿宋" w:cs="仿宋"/>
          <w:bCs w:val="0"/>
          <w:color w:val="auto"/>
          <w:highlight w:val="none"/>
        </w:rPr>
        <w:t>一、自查表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autoSpaceDE w:val="0"/>
        <w:autoSpaceDN w:val="0"/>
        <w:adjustRightInd w:val="0"/>
        <w:snapToGrid w:val="0"/>
        <w:spacing w:line="360" w:lineRule="auto"/>
        <w:rPr>
          <w:rFonts w:hint="eastAsia" w:ascii="仿宋" w:hAnsi="仿宋" w:eastAsia="仿宋" w:cs="仿宋"/>
          <w:b/>
          <w:bCs/>
          <w:color w:val="auto"/>
          <w:szCs w:val="21"/>
          <w:highlight w:val="none"/>
        </w:rPr>
      </w:pPr>
    </w:p>
    <w:p>
      <w:pPr>
        <w:autoSpaceDE w:val="0"/>
        <w:autoSpaceDN w:val="0"/>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1.1资格性/符合性自查表</w:t>
      </w:r>
    </w:p>
    <w:tbl>
      <w:tblPr>
        <w:tblStyle w:val="38"/>
        <w:tblW w:w="0" w:type="auto"/>
        <w:jc w:val="center"/>
        <w:tblLayout w:type="fixed"/>
        <w:tblCellMar>
          <w:top w:w="0" w:type="dxa"/>
          <w:left w:w="108" w:type="dxa"/>
          <w:bottom w:w="0" w:type="dxa"/>
          <w:right w:w="108" w:type="dxa"/>
        </w:tblCellMar>
      </w:tblPr>
      <w:tblGrid>
        <w:gridCol w:w="582"/>
        <w:gridCol w:w="1985"/>
        <w:gridCol w:w="2977"/>
        <w:gridCol w:w="1813"/>
        <w:gridCol w:w="2126"/>
      </w:tblGrid>
      <w:tr>
        <w:tblPrEx>
          <w:tblCellMar>
            <w:top w:w="0" w:type="dxa"/>
            <w:left w:w="108" w:type="dxa"/>
            <w:bottom w:w="0" w:type="dxa"/>
            <w:right w:w="108" w:type="dxa"/>
          </w:tblCellMar>
        </w:tblPrEx>
        <w:trPr>
          <w:trHeight w:val="270" w:hRule="atLeast"/>
          <w:jc w:val="center"/>
        </w:trPr>
        <w:tc>
          <w:tcPr>
            <w:tcW w:w="25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bookmarkStart w:id="269" w:name="RANGE!A1"/>
            <w:r>
              <w:rPr>
                <w:rFonts w:hint="eastAsia" w:ascii="仿宋" w:hAnsi="仿宋" w:eastAsia="仿宋" w:cs="仿宋"/>
                <w:b/>
                <w:color w:val="auto"/>
                <w:szCs w:val="21"/>
                <w:highlight w:val="none"/>
              </w:rPr>
              <w:t>评审内容</w:t>
            </w:r>
            <w:bookmarkEnd w:id="269"/>
          </w:p>
        </w:tc>
        <w:tc>
          <w:tcPr>
            <w:tcW w:w="297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采购文件要求</w:t>
            </w:r>
          </w:p>
        </w:tc>
        <w:tc>
          <w:tcPr>
            <w:tcW w:w="181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自查结论</w:t>
            </w:r>
          </w:p>
        </w:tc>
        <w:tc>
          <w:tcPr>
            <w:tcW w:w="2126"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证明资料</w:t>
            </w:r>
          </w:p>
        </w:tc>
      </w:tr>
      <w:tr>
        <w:tblPrEx>
          <w:tblCellMar>
            <w:top w:w="0" w:type="dxa"/>
            <w:left w:w="108" w:type="dxa"/>
            <w:bottom w:w="0" w:type="dxa"/>
            <w:right w:w="108" w:type="dxa"/>
          </w:tblCellMar>
        </w:tblPrEx>
        <w:trPr>
          <w:trHeight w:val="510" w:hRule="atLeast"/>
          <w:jc w:val="center"/>
        </w:trPr>
        <w:tc>
          <w:tcPr>
            <w:tcW w:w="582" w:type="dxa"/>
            <w:vMerge w:val="restart"/>
            <w:tcBorders>
              <w:top w:val="nil"/>
              <w:left w:val="single" w:color="auto" w:sz="4" w:space="0"/>
              <w:bottom w:val="single" w:color="auto" w:sz="4" w:space="0"/>
              <w:right w:val="single" w:color="auto" w:sz="4" w:space="0"/>
            </w:tcBorders>
            <w:textDirection w:val="tbRlV"/>
            <w:vAlign w:val="center"/>
          </w:tcPr>
          <w:p>
            <w:pPr>
              <w:ind w:left="113" w:right="113"/>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资格性检查</w:t>
            </w:r>
          </w:p>
        </w:tc>
        <w:tc>
          <w:tcPr>
            <w:tcW w:w="1985" w:type="dxa"/>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具有独立承担民事责任的能力</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825"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招标文件规定的其他“必须提交”的文件资料</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响应函</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按对应格式文件填写、签署、盖章(原件)</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780"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法定代表人/负责人资格证明书及授权委托书</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按对应格式文件签署、盖章(原件)</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806"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保证金（投标保证金交纳凭证）</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元）（转帐、汇款复印件加盖公章为依据）</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restart"/>
            <w:tcBorders>
              <w:top w:val="nil"/>
              <w:left w:val="single" w:color="auto" w:sz="4" w:space="0"/>
              <w:right w:val="single" w:color="auto" w:sz="4" w:space="0"/>
            </w:tcBorders>
            <w:textDirection w:val="tbRlV"/>
            <w:vAlign w:val="center"/>
          </w:tcPr>
          <w:p>
            <w:pPr>
              <w:ind w:left="113" w:right="113"/>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技术要求</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实质性响应标书中“★”号参数的技术要求</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right w:val="single" w:color="auto" w:sz="4" w:space="0"/>
            </w:tcBorders>
            <w:textDirection w:val="tbRlV"/>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商务要求</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实质性响应标书中“★”号参数的商务要求</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right w:val="single" w:color="auto" w:sz="4" w:space="0"/>
            </w:tcBorders>
            <w:textDirection w:val="tbRlV"/>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报价要求</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报价方案是唯一确定，在经营范围内报价</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bottom w:val="single" w:color="auto" w:sz="4" w:space="0"/>
              <w:right w:val="single" w:color="auto" w:sz="4" w:space="0"/>
            </w:tcBorders>
            <w:textDirection w:val="tbRlV"/>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实质性响应招标文件中规定的其它情况</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bl>
    <w:p>
      <w:pPr>
        <w:pStyle w:val="15"/>
        <w:spacing w:after="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注：以上材料将作为响应供应商合格性和有效性审核的重要内容之一，响应供应商必须严格按照其内容及序列要求在响应文件中对应如实提供，对缺漏和不符合项将会直接导致无效投标！在对应的□打“√”。</w:t>
      </w:r>
    </w:p>
    <w:p>
      <w:pPr>
        <w:pStyle w:val="15"/>
        <w:spacing w:after="0" w:line="460" w:lineRule="exact"/>
        <w:ind w:firstLine="480" w:firstLineChars="200"/>
        <w:rPr>
          <w:rFonts w:hint="eastAsia" w:ascii="仿宋" w:hAnsi="仿宋" w:eastAsia="仿宋" w:cs="仿宋"/>
          <w:color w:val="auto"/>
          <w:sz w:val="24"/>
          <w:szCs w:val="24"/>
          <w:highlight w:val="none"/>
        </w:rPr>
      </w:pPr>
    </w:p>
    <w:p>
      <w:pPr>
        <w:pStyle w:val="15"/>
        <w:spacing w:after="0" w:line="460" w:lineRule="exact"/>
        <w:ind w:firstLine="480" w:firstLineChars="200"/>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bCs/>
          <w:color w:val="auto"/>
          <w:sz w:val="28"/>
          <w:highlight w:val="none"/>
        </w:rPr>
        <w:br w:type="page"/>
      </w:r>
      <w:r>
        <w:rPr>
          <w:rFonts w:hint="eastAsia" w:ascii="仿宋" w:hAnsi="仿宋" w:eastAsia="仿宋" w:cs="仿宋"/>
          <w:b/>
          <w:bCs/>
          <w:color w:val="auto"/>
          <w:sz w:val="28"/>
          <w:highlight w:val="none"/>
        </w:rPr>
        <w:t>1.2 评审项目响应资料表</w:t>
      </w:r>
      <w:r>
        <w:rPr>
          <w:rFonts w:hint="eastAsia" w:ascii="仿宋" w:hAnsi="仿宋" w:eastAsia="仿宋" w:cs="仿宋"/>
          <w:b/>
          <w:color w:val="auto"/>
          <w:sz w:val="28"/>
          <w:szCs w:val="28"/>
          <w:highlight w:val="none"/>
        </w:rPr>
        <w:t>（此为重要格式，请报价人按磋商文件第三部分  报价人须知的附表（技术商务评分表）的要求真实填写，评委有权按找不到资料评分）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556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评审内容</w:t>
            </w: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评审细则</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仿宋" w:hAnsi="仿宋" w:eastAsia="仿宋" w:cs="仿宋"/>
                <w:color w:val="auto"/>
                <w:szCs w:val="21"/>
                <w:highlight w:val="none"/>
                <w:lang w:val="en-US" w:eastAsia="zh-CN"/>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r>
    </w:tbl>
    <w:p>
      <w:pPr>
        <w:spacing w:line="480" w:lineRule="exact"/>
        <w:rPr>
          <w:rFonts w:hint="eastAsia" w:ascii="仿宋" w:hAnsi="仿宋" w:eastAsia="仿宋" w:cs="仿宋"/>
          <w:b/>
          <w:color w:val="auto"/>
          <w:sz w:val="24"/>
          <w:szCs w:val="28"/>
          <w:highlight w:val="none"/>
        </w:rPr>
      </w:pPr>
    </w:p>
    <w:p>
      <w:pPr>
        <w:spacing w:line="480" w:lineRule="exact"/>
        <w:rPr>
          <w:rFonts w:hint="eastAsia" w:ascii="仿宋" w:hAnsi="仿宋" w:eastAsia="仿宋" w:cs="仿宋"/>
          <w:color w:val="auto"/>
          <w:highlight w:val="none"/>
        </w:rPr>
      </w:pP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pPr>
        <w:pStyle w:val="6"/>
        <w:keepLines w:val="0"/>
        <w:tabs>
          <w:tab w:val="left" w:pos="4320"/>
        </w:tabs>
        <w:spacing w:before="240" w:after="60" w:line="480" w:lineRule="exact"/>
        <w:jc w:val="center"/>
        <w:outlineLvl w:val="0"/>
        <w:rPr>
          <w:rFonts w:hint="eastAsia" w:ascii="仿宋" w:hAnsi="仿宋" w:eastAsia="仿宋" w:cs="仿宋"/>
          <w:color w:val="auto"/>
          <w:sz w:val="28"/>
          <w:szCs w:val="28"/>
          <w:highlight w:val="none"/>
        </w:rPr>
      </w:pPr>
      <w:bookmarkStart w:id="270" w:name="_Toc3755"/>
      <w:bookmarkStart w:id="271" w:name="_Toc274896629"/>
      <w:bookmarkStart w:id="272" w:name="_Toc23899"/>
      <w:bookmarkStart w:id="273" w:name="_Toc2813"/>
      <w:bookmarkStart w:id="274" w:name="_Toc202254105"/>
      <w:bookmarkStart w:id="275" w:name="_Toc29931"/>
      <w:bookmarkStart w:id="276" w:name="_Toc20395"/>
      <w:bookmarkStart w:id="277" w:name="_Toc10232"/>
      <w:bookmarkStart w:id="278" w:name="_Toc3130"/>
      <w:bookmarkStart w:id="279" w:name="_Toc202251075"/>
      <w:bookmarkStart w:id="280" w:name="_Toc31888"/>
      <w:bookmarkStart w:id="281" w:name="_Toc12495"/>
      <w:bookmarkStart w:id="282" w:name="_Toc274896495"/>
      <w:bookmarkStart w:id="283" w:name="_Toc20040"/>
      <w:bookmarkStart w:id="284" w:name="_Toc6573"/>
      <w:bookmarkStart w:id="285" w:name="_Toc202819878"/>
      <w:bookmarkStart w:id="286" w:name="_Toc20650"/>
      <w:bookmarkStart w:id="287" w:name="_Toc23461"/>
      <w:bookmarkStart w:id="288" w:name="_Toc202816996"/>
      <w:bookmarkStart w:id="289" w:name="_Toc4597"/>
      <w:bookmarkStart w:id="290" w:name="_Toc202820351"/>
      <w:bookmarkStart w:id="291" w:name="_Toc1018"/>
      <w:bookmarkStart w:id="292" w:name="_Toc202251700"/>
      <w:bookmarkStart w:id="293" w:name="_Toc24315"/>
      <w:bookmarkStart w:id="294" w:name="_Toc202252034"/>
      <w:bookmarkStart w:id="295" w:name="_Toc10405"/>
      <w:bookmarkStart w:id="296" w:name="_Toc9873"/>
      <w:r>
        <w:rPr>
          <w:rFonts w:hint="eastAsia" w:ascii="仿宋" w:hAnsi="仿宋" w:eastAsia="仿宋" w:cs="仿宋"/>
          <w:bCs w:val="0"/>
          <w:color w:val="auto"/>
          <w:highlight w:val="none"/>
        </w:rPr>
        <w:t>二、资格性文件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tabs>
          <w:tab w:val="left" w:pos="420"/>
          <w:tab w:val="left" w:pos="540"/>
          <w:tab w:val="left" w:pos="720"/>
        </w:tabs>
        <w:spacing w:line="360" w:lineRule="auto"/>
        <w:rPr>
          <w:rFonts w:hint="eastAsia" w:ascii="仿宋" w:hAnsi="仿宋" w:eastAsia="仿宋" w:cs="仿宋"/>
          <w:b/>
          <w:color w:val="auto"/>
          <w:sz w:val="28"/>
          <w:szCs w:val="28"/>
          <w:highlight w:val="none"/>
        </w:rPr>
      </w:pPr>
    </w:p>
    <w:p>
      <w:pPr>
        <w:tabs>
          <w:tab w:val="left" w:pos="420"/>
          <w:tab w:val="left" w:pos="540"/>
          <w:tab w:val="left" w:pos="720"/>
        </w:tabs>
        <w:autoSpaceDE/>
        <w:autoSpaceDN/>
        <w:adjustRightInd/>
        <w:snapToGrid/>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2.1 响应函</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依据贵方</w:t>
      </w:r>
      <w:r>
        <w:rPr>
          <w:rFonts w:hint="eastAsia" w:ascii="仿宋" w:hAnsi="仿宋" w:eastAsia="仿宋" w:cs="仿宋"/>
          <w:color w:val="auto"/>
          <w:sz w:val="28"/>
          <w:szCs w:val="28"/>
          <w:highlight w:val="none"/>
        </w:rPr>
        <w:t>采购项目名称：</w:t>
      </w:r>
      <w:r>
        <w:rPr>
          <w:rFonts w:hint="eastAsia" w:ascii="仿宋" w:hAnsi="仿宋" w:eastAsia="仿宋" w:cs="仿宋"/>
          <w:color w:val="auto"/>
          <w:sz w:val="28"/>
          <w:szCs w:val="28"/>
          <w:highlight w:val="none"/>
          <w:u w:val="single"/>
          <w:lang w:eastAsia="zh-CN"/>
        </w:rPr>
        <w:t>惠州市2023年红火蚁应急防控专业服务和建立市级防控示范点项目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HZGX-2023P032</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rPr>
        <w:t>的报价邀请，我方代表</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kern w:val="0"/>
          <w:sz w:val="28"/>
          <w:szCs w:val="28"/>
          <w:highlight w:val="none"/>
        </w:rPr>
        <w:t>经正式授权并代表</w:t>
      </w:r>
      <w:r>
        <w:rPr>
          <w:rFonts w:hint="eastAsia" w:ascii="仿宋" w:hAnsi="仿宋" w:eastAsia="仿宋" w:cs="仿宋"/>
          <w:color w:val="auto"/>
          <w:sz w:val="28"/>
          <w:szCs w:val="28"/>
          <w:highlight w:val="none"/>
          <w:u w:val="single"/>
        </w:rPr>
        <w:t>（响应供应商名称、地址）</w:t>
      </w:r>
      <w:r>
        <w:rPr>
          <w:rFonts w:hint="eastAsia" w:ascii="仿宋" w:hAnsi="仿宋" w:eastAsia="仿宋" w:cs="仿宋"/>
          <w:color w:val="auto"/>
          <w:kern w:val="0"/>
          <w:sz w:val="28"/>
          <w:szCs w:val="28"/>
          <w:highlight w:val="none"/>
        </w:rPr>
        <w:t>提交下述文件正本</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份，副本</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份。</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1. </w:t>
      </w:r>
      <w:r>
        <w:rPr>
          <w:rFonts w:hint="eastAsia" w:ascii="仿宋" w:hAnsi="仿宋" w:eastAsia="仿宋" w:cs="仿宋"/>
          <w:color w:val="auto"/>
          <w:sz w:val="28"/>
          <w:szCs w:val="28"/>
          <w:highlight w:val="none"/>
        </w:rPr>
        <w:t>自查表</w:t>
      </w:r>
      <w:r>
        <w:rPr>
          <w:rFonts w:hint="eastAsia" w:ascii="仿宋" w:hAnsi="仿宋" w:eastAsia="仿宋" w:cs="仿宋"/>
          <w:color w:val="auto"/>
          <w:kern w:val="0"/>
          <w:sz w:val="28"/>
          <w:szCs w:val="28"/>
          <w:highlight w:val="none"/>
        </w:rPr>
        <w:t>；</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2. </w:t>
      </w:r>
      <w:r>
        <w:rPr>
          <w:rFonts w:hint="eastAsia" w:ascii="仿宋" w:hAnsi="仿宋" w:eastAsia="仿宋" w:cs="仿宋"/>
          <w:color w:val="auto"/>
          <w:sz w:val="28"/>
          <w:szCs w:val="28"/>
          <w:highlight w:val="none"/>
        </w:rPr>
        <w:t>资格性文件</w:t>
      </w:r>
      <w:r>
        <w:rPr>
          <w:rFonts w:hint="eastAsia" w:ascii="仿宋" w:hAnsi="仿宋" w:eastAsia="仿宋" w:cs="仿宋"/>
          <w:color w:val="auto"/>
          <w:kern w:val="0"/>
          <w:sz w:val="28"/>
          <w:szCs w:val="28"/>
          <w:highlight w:val="none"/>
        </w:rPr>
        <w:t>；</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3. </w:t>
      </w:r>
      <w:r>
        <w:rPr>
          <w:rFonts w:hint="eastAsia" w:ascii="仿宋" w:hAnsi="仿宋" w:eastAsia="仿宋" w:cs="仿宋"/>
          <w:color w:val="auto"/>
          <w:sz w:val="28"/>
          <w:szCs w:val="28"/>
          <w:highlight w:val="none"/>
        </w:rPr>
        <w:t>商务部分</w:t>
      </w:r>
      <w:r>
        <w:rPr>
          <w:rFonts w:hint="eastAsia" w:ascii="仿宋" w:hAnsi="仿宋" w:eastAsia="仿宋" w:cs="仿宋"/>
          <w:color w:val="auto"/>
          <w:kern w:val="0"/>
          <w:sz w:val="28"/>
          <w:szCs w:val="28"/>
          <w:highlight w:val="none"/>
        </w:rPr>
        <w:t>；</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 技术部分；</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5. </w:t>
      </w:r>
      <w:r>
        <w:rPr>
          <w:rFonts w:hint="eastAsia" w:ascii="仿宋" w:hAnsi="仿宋" w:eastAsia="仿宋" w:cs="仿宋"/>
          <w:color w:val="auto"/>
          <w:sz w:val="28"/>
          <w:szCs w:val="28"/>
          <w:highlight w:val="none"/>
        </w:rPr>
        <w:t>价格部分。</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在此，我方声明如下：</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1.同意并接受磋商文件的各项要求，遵守磋商文件中的各项规定，按磋商文件的要求提供报价。</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2.磋商有效期为递交响应文件之日起</w:t>
      </w:r>
      <w:r>
        <w:rPr>
          <w:rFonts w:hint="eastAsia" w:ascii="仿宋" w:hAnsi="仿宋" w:eastAsia="仿宋" w:cs="仿宋"/>
          <w:color w:val="auto"/>
          <w:sz w:val="28"/>
          <w:szCs w:val="28"/>
          <w:highlight w:val="none"/>
          <w:u w:val="single"/>
        </w:rPr>
        <w:t xml:space="preserve"> 60 </w:t>
      </w:r>
      <w:r>
        <w:rPr>
          <w:rFonts w:hint="eastAsia" w:ascii="仿宋" w:hAnsi="仿宋" w:eastAsia="仿宋" w:cs="仿宋"/>
          <w:color w:val="auto"/>
          <w:sz w:val="28"/>
          <w:szCs w:val="28"/>
          <w:highlight w:val="none"/>
        </w:rPr>
        <w:t>天，如成交，有效期将延至合同终止日为止。</w:t>
      </w:r>
      <w:r>
        <w:rPr>
          <w:rFonts w:hint="eastAsia" w:ascii="仿宋" w:hAnsi="仿宋" w:eastAsia="仿宋" w:cs="仿宋"/>
          <w:color w:val="auto"/>
          <w:sz w:val="28"/>
          <w:szCs w:val="28"/>
          <w:highlight w:val="none"/>
          <w:u w:val="none"/>
        </w:rPr>
        <w:t>在此提交的资格证明文件均至报价截止日有效，如有在磋商有效期内失效的，我方承诺在成交后补齐一切手续，保证所有资格证明文件能在签订采购合同时直至采购合同终止日有效。</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4.我方已毫无保留地向贵方提供一切所需的证明材料。</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5.我方承诺在本次响应文件中提供的一切文件，无论是原件还是复印件均为真实和准确的，绝无任何虚假、伪造和夸大的成份，否则，愿承担相应的后果和法律责任。</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6.我方完全服从和尊重评委会所作的评定结果，同时清楚理解到报价最低并非意味着必定获得成交资格。</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7.我方同意按磋商文件规定向招标代理机构缴纳</w:t>
      </w:r>
      <w:r>
        <w:rPr>
          <w:rFonts w:hint="eastAsia" w:ascii="仿宋" w:hAnsi="仿宋" w:eastAsia="仿宋" w:cs="仿宋"/>
          <w:color w:val="auto"/>
          <w:sz w:val="28"/>
          <w:szCs w:val="28"/>
          <w:highlight w:val="none"/>
          <w:lang w:val="en-GB"/>
        </w:rPr>
        <w:t>采购</w:t>
      </w:r>
      <w:r>
        <w:rPr>
          <w:rFonts w:hint="eastAsia" w:ascii="仿宋" w:hAnsi="仿宋" w:eastAsia="仿宋" w:cs="仿宋"/>
          <w:color w:val="auto"/>
          <w:sz w:val="28"/>
          <w:szCs w:val="28"/>
          <w:highlight w:val="none"/>
        </w:rPr>
        <w:t>服务费。</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响应供应商：</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r>
        <w:rPr>
          <w:rFonts w:hint="eastAsia" w:ascii="仿宋" w:hAnsi="仿宋" w:eastAsia="仿宋" w:cs="仿宋"/>
          <w:color w:val="auto"/>
          <w:kern w:val="0"/>
          <w:sz w:val="28"/>
          <w:szCs w:val="28"/>
          <w:highlight w:val="none"/>
          <w:u w:val="singl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r>
        <w:rPr>
          <w:rFonts w:hint="eastAsia" w:ascii="仿宋" w:hAnsi="仿宋" w:eastAsia="仿宋" w:cs="仿宋"/>
          <w:color w:val="auto"/>
          <w:kern w:val="0"/>
          <w:sz w:val="28"/>
          <w:szCs w:val="28"/>
          <w:highlight w:val="none"/>
          <w:u w:val="singl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电子邮件：</w:t>
      </w:r>
      <w:r>
        <w:rPr>
          <w:rFonts w:hint="eastAsia" w:ascii="仿宋" w:hAnsi="仿宋" w:eastAsia="仿宋" w:cs="仿宋"/>
          <w:color w:val="auto"/>
          <w:kern w:val="0"/>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响应供应商（法定代表人授权代表）代表签字：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响应供应商名称(公章)： </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                           </w:t>
      </w:r>
    </w:p>
    <w:p>
      <w:pPr>
        <w:tabs>
          <w:tab w:val="left" w:pos="5250"/>
        </w:tabs>
        <w:autoSpaceDE w:val="0"/>
        <w:autoSpaceDN w:val="0"/>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u w:val="singl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法定代表人/负责人资格证明书及授权委托书</w:t>
      </w:r>
    </w:p>
    <w:p>
      <w:pPr>
        <w:pStyle w:val="2"/>
        <w:spacing w:before="114"/>
        <w:ind w:left="490"/>
        <w:rPr>
          <w:color w:val="auto"/>
          <w:highlight w:val="none"/>
        </w:rPr>
      </w:pPr>
      <w:r>
        <w:rPr>
          <w:color w:val="auto"/>
          <w:highlight w:val="none"/>
        </w:rPr>
        <w:t>（投标人可使用下述格式，也可使用广东省工商行政管理局统一印制的法定代表人证明书格式）</w:t>
      </w:r>
    </w:p>
    <w:p>
      <w:pPr>
        <w:adjustRightInd w:val="0"/>
        <w:snapToGrid w:val="0"/>
        <w:spacing w:before="240" w:beforeLines="100"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（1）法定代表人/负责人资格证明书</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同志，现任我单位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职务，为法定代表人，特此证明。</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签发日期：           单位：           （盖章）</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附：代表人性别：            年龄：           身份证号码：</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兼营（产）：</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进口物品经营许可证号码：</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兼营：</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说明：1.法定代表人为企业事业单位、国家机关、社会团体的主要行政负责人。</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2.内容必须填写真实、清楚、涂改无效，不得转让、买卖。</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3.将此证明书提交对方作为合同附件</w:t>
      </w:r>
      <w:r>
        <w:rPr>
          <w:rFonts w:hint="eastAsia" w:ascii="仿宋" w:hAnsi="仿宋" w:eastAsia="仿宋" w:cs="仿宋"/>
          <w:b/>
          <w:color w:val="auto"/>
          <w:sz w:val="28"/>
          <w:szCs w:val="28"/>
          <w:highlight w:val="none"/>
        </w:rPr>
        <w:t>。</w:t>
      </w: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(为避免废标，请供应商务必提供本附件)</w:t>
      </w: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1023620</wp:posOffset>
                </wp:positionH>
                <wp:positionV relativeFrom="paragraph">
                  <wp:posOffset>20320</wp:posOffset>
                </wp:positionV>
                <wp:extent cx="4491355" cy="1584325"/>
                <wp:effectExtent l="4445" t="4445" r="19050" b="11430"/>
                <wp:wrapNone/>
                <wp:docPr id="1" name="自选图形 4"/>
                <wp:cNvGraphicFramePr/>
                <a:graphic xmlns:a="http://schemas.openxmlformats.org/drawingml/2006/main">
                  <a:graphicData uri="http://schemas.microsoft.com/office/word/2010/wordprocessingShape">
                    <wps:wsp>
                      <wps:cNvSpPr/>
                      <wps:spPr>
                        <a:xfrm>
                          <a:off x="0" y="0"/>
                          <a:ext cx="449135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自选图形 4" o:spid="_x0000_s1026" o:spt="176" type="#_x0000_t176" style="position:absolute;left:0pt;margin-left:80.6pt;margin-top:1.6pt;height:124.75pt;width:353.65pt;z-index:251659264;mso-width-relative:page;mso-height-relative:page;" fillcolor="#FFFFFF" filled="t" stroked="t" coordsize="21600,21600" o:gfxdata="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c&#10;Odqe1wAAAAkBAAAPAAAAAAAAAAEAIAAAACIAAABkcnMvZG93bnJldi54bWxQSwECFAAUAAAACACH&#10;TuJAFV9efCUCAABTBAAADgAAAAAAAAABACAAAAAmAQAAZHJzL2Uyb0RvYy54bWxQSwUGAAAAAAYA&#10;BgBZAQAAv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adjustRightInd w:val="0"/>
        <w:snapToGrid w:val="0"/>
        <w:spacing w:line="360" w:lineRule="auto"/>
        <w:rPr>
          <w:rFonts w:hint="eastAsia" w:ascii="仿宋" w:hAnsi="仿宋" w:eastAsia="仿宋" w:cs="仿宋"/>
          <w:b/>
          <w:color w:val="auto"/>
          <w:sz w:val="28"/>
          <w:szCs w:val="28"/>
          <w:highlight w:val="none"/>
        </w:rPr>
      </w:pPr>
    </w:p>
    <w:p>
      <w:pPr>
        <w:adjustRightInd w:val="0"/>
        <w:snapToGrid w:val="0"/>
        <w:spacing w:line="360" w:lineRule="auto"/>
        <w:rPr>
          <w:rFonts w:hint="eastAsia" w:ascii="仿宋" w:hAnsi="仿宋" w:eastAsia="仿宋" w:cs="仿宋"/>
          <w:b/>
          <w:color w:val="auto"/>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pPr>
        <w:adjustRightInd w:val="0"/>
        <w:snapToGrid w:val="0"/>
        <w:spacing w:line="360" w:lineRule="auto"/>
        <w:rPr>
          <w:rFonts w:hint="eastAsia" w:ascii="仿宋" w:hAnsi="仿宋" w:eastAsia="仿宋" w:cs="仿宋"/>
          <w:color w:val="auto"/>
          <w:szCs w:val="21"/>
          <w:highlight w:val="none"/>
        </w:rPr>
      </w:pP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兹授权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同志，为我方签订经济合同及办理其他事务代理人，其权限是：</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授权单位：          （盖章）     法定代表人        （签名或盖私章）</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有效期限：至        年       月      日       签发日期：</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附：代理人性别：        年龄：       职务：         身份证号码：</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联系电话：</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                            兼营（产）：</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进口物品经营许可证号码：</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                                  兼营：</w:t>
      </w:r>
    </w:p>
    <w:p>
      <w:pPr>
        <w:adjustRightInd w:val="0"/>
        <w:snapToGrid w:val="0"/>
        <w:spacing w:line="360" w:lineRule="auto"/>
        <w:ind w:left="1120" w:hanging="1120" w:hanging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说明：1.法定代表人为企业事业单位、国家机关、社会团体的主要行政负责人。</w:t>
      </w:r>
    </w:p>
    <w:p>
      <w:pPr>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2.内容必须填写真实、清楚、涂改无效，不得转让、买卖。</w:t>
      </w:r>
    </w:p>
    <w:p>
      <w:pPr>
        <w:adjustRightInd w:val="0"/>
        <w:snapToGrid w:val="0"/>
        <w:spacing w:line="360" w:lineRule="auto"/>
        <w:ind w:firstLine="840" w:firstLineChars="3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3.将此证明书提交对方作为合同附件</w:t>
      </w:r>
      <w:r>
        <w:rPr>
          <w:rFonts w:hint="eastAsia" w:ascii="仿宋" w:hAnsi="仿宋" w:eastAsia="仿宋" w:cs="仿宋"/>
          <w:b/>
          <w:color w:val="auto"/>
          <w:sz w:val="28"/>
          <w:szCs w:val="28"/>
          <w:highlight w:val="none"/>
        </w:rPr>
        <w:t>。</w:t>
      </w:r>
    </w:p>
    <w:p>
      <w:pPr>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4.授权权限：全权代表本公司参与上述采购项目的投标/磋商响应，负责提供与签署确认一切文书资料，以及向贵方递交的任何补充承诺。</w:t>
      </w:r>
    </w:p>
    <w:p>
      <w:pPr>
        <w:adjustRightInd w:val="0"/>
        <w:snapToGrid w:val="0"/>
        <w:spacing w:line="360" w:lineRule="auto"/>
        <w:ind w:firstLine="859" w:firstLineChars="30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5.有效期限：与本公司响应文件中标注的磋商有效期相同，自本单位盖公章之日起生效。</w:t>
      </w:r>
    </w:p>
    <w:p>
      <w:pPr>
        <w:adjustRightInd w:val="0"/>
        <w:snapToGrid w:val="0"/>
        <w:spacing w:line="360" w:lineRule="auto"/>
        <w:ind w:firstLine="859" w:firstLineChars="30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266700</wp:posOffset>
                </wp:positionV>
                <wp:extent cx="4562475" cy="1267460"/>
                <wp:effectExtent l="4445" t="4445" r="5080" b="23495"/>
                <wp:wrapNone/>
                <wp:docPr id="2" name="自选图形 5"/>
                <wp:cNvGraphicFramePr/>
                <a:graphic xmlns:a="http://schemas.openxmlformats.org/drawingml/2006/main">
                  <a:graphicData uri="http://schemas.microsoft.com/office/word/2010/wordprocessingShape">
                    <wps:wsp>
                      <wps:cNvSpPr/>
                      <wps:spPr>
                        <a:xfrm>
                          <a:off x="0" y="0"/>
                          <a:ext cx="4562475" cy="1267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wrap="square" upright="1"/>
                    </wps:wsp>
                  </a:graphicData>
                </a:graphic>
              </wp:anchor>
            </w:drawing>
          </mc:Choice>
          <mc:Fallback>
            <w:pict>
              <v:shape id="自选图形 5" o:spid="_x0000_s1026" o:spt="176" type="#_x0000_t176" style="position:absolute;left:0pt;margin-left:61.1pt;margin-top:21pt;height:99.8pt;width:359.25pt;z-index:251660288;mso-width-relative:page;mso-height-relative:page;" fillcolor="#FFFFFF" filled="t" stroked="t" coordsize="21600,21600" o:gfxdata="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I7IMtcAAAAKAQAADwAAAAAAAAABACAAAAAiAAAAZHJzL2Rvd25yZXYueG1sUEsBAhQAFAAAAAgA&#10;h07iQIV+N5YmAgAAUwQAAA4AAAAAAAAAAQAgAAAAJg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r>
        <w:rPr>
          <w:rFonts w:hint="eastAsia" w:ascii="仿宋" w:hAnsi="仿宋" w:eastAsia="仿宋" w:cs="仿宋"/>
          <w:color w:val="auto"/>
          <w:sz w:val="28"/>
          <w:szCs w:val="28"/>
          <w:highlight w:val="none"/>
        </w:rPr>
        <w:t>6.投标/磋商签字代表为法定代表人，则本表不适用。</w:t>
      </w:r>
    </w:p>
    <w:p>
      <w:pPr>
        <w:adjustRightInd w:val="0"/>
        <w:snapToGrid w:val="0"/>
        <w:spacing w:line="360" w:lineRule="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投标/磋商保证金交纳凭证</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本项目不收取保证金，无需填写此表</w:t>
      </w:r>
      <w:r>
        <w:rPr>
          <w:rFonts w:hint="eastAsia" w:ascii="仿宋" w:hAnsi="仿宋" w:eastAsia="仿宋" w:cs="仿宋"/>
          <w:b/>
          <w:color w:val="auto"/>
          <w:sz w:val="28"/>
          <w:szCs w:val="28"/>
          <w:highlight w:val="none"/>
          <w:lang w:eastAsia="zh-CN"/>
        </w:rPr>
        <w:t>）</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（政府采购代理机构）：</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（响应供应商全称) </w:t>
      </w:r>
      <w:r>
        <w:rPr>
          <w:rFonts w:hint="eastAsia" w:ascii="仿宋" w:hAnsi="仿宋" w:eastAsia="仿宋" w:cs="仿宋"/>
          <w:color w:val="auto"/>
          <w:sz w:val="28"/>
          <w:szCs w:val="28"/>
          <w:highlight w:val="none"/>
        </w:rPr>
        <w:t>参加贵方组织的</w:t>
      </w:r>
      <w:r>
        <w:rPr>
          <w:rFonts w:hint="eastAsia" w:ascii="仿宋" w:hAnsi="仿宋" w:eastAsia="仿宋" w:cs="仿宋"/>
          <w:color w:val="auto"/>
          <w:sz w:val="28"/>
          <w:szCs w:val="28"/>
          <w:highlight w:val="none"/>
          <w:u w:val="single"/>
          <w:lang w:eastAsia="zh-CN"/>
        </w:rPr>
        <w:t>惠州市2023年红火蚁应急防控专业服务和建立市级防控示范点项目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HZGX-2023P032</w:t>
      </w:r>
      <w:r>
        <w:rPr>
          <w:rFonts w:hint="eastAsia" w:ascii="仿宋" w:hAnsi="仿宋" w:eastAsia="仿宋" w:cs="仿宋"/>
          <w:color w:val="auto"/>
          <w:sz w:val="28"/>
          <w:szCs w:val="28"/>
          <w:highlight w:val="none"/>
        </w:rPr>
        <w:t>)的采购活动。按磋商文件的规定，已通过（转帐、银行汇款）形式交纳人民币</w:t>
      </w:r>
      <w:r>
        <w:rPr>
          <w:rFonts w:hint="eastAsia" w:ascii="仿宋" w:hAnsi="仿宋" w:eastAsia="仿宋" w:cs="仿宋"/>
          <w:color w:val="auto"/>
          <w:sz w:val="28"/>
          <w:szCs w:val="28"/>
          <w:highlight w:val="none"/>
          <w:u w:val="single"/>
        </w:rPr>
        <w:t xml:space="preserve">（大写）   </w:t>
      </w:r>
      <w:r>
        <w:rPr>
          <w:rFonts w:hint="eastAsia" w:ascii="仿宋" w:hAnsi="仿宋" w:eastAsia="仿宋" w:cs="仿宋"/>
          <w:color w:val="auto"/>
          <w:sz w:val="28"/>
          <w:szCs w:val="28"/>
          <w:highlight w:val="none"/>
        </w:rPr>
        <w:t>元的磋商保证金。</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响应供应商名称：</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响应供应商开户银行：</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响应供应商银行帐号：</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说明：1.上述要素供银行转账及银行汇款方式填写，其他形式可不填。其他方式以现场递交为依据。</w:t>
      </w:r>
    </w:p>
    <w:p>
      <w:pPr>
        <w:autoSpaceDE w:val="0"/>
        <w:autoSpaceDN w:val="0"/>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2.上述要素的填写必须与银行转账或银行汇款凭证的要素一致，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依据此凭证信息退还投标/磋商保证金。</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日期：   年   月   日</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86" w:type="dxa"/>
            <w:vAlign w:val="top"/>
          </w:tcPr>
          <w:p>
            <w:pPr>
              <w:adjustRightInd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粘贴转帐或汇款的银行凭证复印件</w:t>
            </w:r>
          </w:p>
        </w:tc>
      </w:tr>
    </w:tbl>
    <w:p>
      <w:pPr>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注：1.响应供应商磋商响应时，应当按磋商文件要求交纳磋商保证金。磋商保证金可以采用转帐、银行汇款方式交纳。</w:t>
      </w:r>
    </w:p>
    <w:p>
      <w:pPr>
        <w:adjustRightInd w:val="0"/>
        <w:snapToGrid w:val="0"/>
        <w:spacing w:line="360" w:lineRule="auto"/>
        <w:ind w:left="841" w:leftChars="267"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在成交通知书发出后五个工作日内</w:t>
      </w:r>
      <w:r>
        <w:rPr>
          <w:rFonts w:hint="eastAsia" w:ascii="仿宋" w:hAnsi="仿宋" w:eastAsia="仿宋" w:cs="仿宋"/>
          <w:color w:val="auto"/>
          <w:sz w:val="28"/>
          <w:szCs w:val="28"/>
          <w:highlight w:val="none"/>
          <w:lang w:eastAsia="zh-CN"/>
        </w:rPr>
        <w:t>无息</w:t>
      </w:r>
      <w:r>
        <w:rPr>
          <w:rFonts w:hint="eastAsia" w:ascii="仿宋" w:hAnsi="仿宋" w:eastAsia="仿宋" w:cs="仿宋"/>
          <w:color w:val="auto"/>
          <w:sz w:val="28"/>
          <w:szCs w:val="28"/>
          <w:highlight w:val="none"/>
        </w:rPr>
        <w:t>退还未成交供应商的磋商保证金，在采购合同签订后五个工作日内</w:t>
      </w:r>
      <w:r>
        <w:rPr>
          <w:rFonts w:hint="eastAsia" w:ascii="仿宋" w:hAnsi="仿宋" w:eastAsia="仿宋" w:cs="仿宋"/>
          <w:color w:val="auto"/>
          <w:sz w:val="28"/>
          <w:szCs w:val="28"/>
          <w:highlight w:val="none"/>
          <w:lang w:eastAsia="zh-CN"/>
        </w:rPr>
        <w:t>凭合同</w:t>
      </w:r>
      <w:r>
        <w:rPr>
          <w:rFonts w:hint="eastAsia" w:ascii="仿宋" w:hAnsi="仿宋" w:eastAsia="仿宋" w:cs="仿宋"/>
          <w:color w:val="auto"/>
          <w:sz w:val="28"/>
          <w:szCs w:val="28"/>
          <w:highlight w:val="none"/>
        </w:rPr>
        <w:t>退还成交供应商的磋商保证金。</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p>
    <w:p>
      <w:pPr>
        <w:tabs>
          <w:tab w:val="left" w:pos="420"/>
          <w:tab w:val="left" w:pos="540"/>
          <w:tab w:val="left" w:pos="720"/>
        </w:tabs>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采购投标担保函参考格式，格式可自拟。</w:t>
      </w:r>
      <w:r>
        <w:rPr>
          <w:rFonts w:hint="eastAsia" w:ascii="仿宋" w:hAnsi="仿宋" w:eastAsia="仿宋" w:cs="仿宋"/>
          <w:b/>
          <w:color w:val="auto"/>
          <w:sz w:val="28"/>
          <w:szCs w:val="28"/>
          <w:highlight w:val="none"/>
          <w:u w:val="single"/>
        </w:rPr>
        <w:t>（注意：银行划账形式交纳保证金的不用填写此函）</w:t>
      </w:r>
    </w:p>
    <w:p>
      <w:pPr>
        <w:jc w:val="center"/>
        <w:outlineLvl w:val="0"/>
        <w:rPr>
          <w:rFonts w:hint="eastAsia" w:ascii="仿宋" w:hAnsi="仿宋" w:eastAsia="仿宋" w:cs="仿宋"/>
          <w:b/>
          <w:color w:val="auto"/>
          <w:sz w:val="32"/>
          <w:szCs w:val="32"/>
          <w:highlight w:val="none"/>
        </w:rPr>
      </w:pPr>
      <w:bookmarkStart w:id="297" w:name="_Toc25509"/>
      <w:bookmarkStart w:id="298" w:name="_Toc15080"/>
      <w:bookmarkStart w:id="299" w:name="_Toc8426"/>
      <w:bookmarkStart w:id="300" w:name="_Toc15429"/>
      <w:bookmarkStart w:id="301" w:name="_Toc13912"/>
      <w:bookmarkStart w:id="302" w:name="_Toc21839"/>
      <w:bookmarkStart w:id="303" w:name="_Toc15457"/>
      <w:bookmarkStart w:id="304" w:name="_Toc12200"/>
      <w:bookmarkStart w:id="305" w:name="_Toc31730"/>
      <w:bookmarkStart w:id="306" w:name="_Toc29055"/>
      <w:bookmarkStart w:id="307" w:name="_Toc23265"/>
      <w:bookmarkStart w:id="308" w:name="_Toc18674"/>
      <w:bookmarkStart w:id="309" w:name="_Toc16818"/>
      <w:bookmarkStart w:id="310" w:name="_Toc18872"/>
      <w:bookmarkStart w:id="311" w:name="_Toc481"/>
      <w:bookmarkStart w:id="312" w:name="_Toc1074"/>
      <w:bookmarkStart w:id="313" w:name="_Toc3361"/>
      <w:r>
        <w:rPr>
          <w:rFonts w:hint="eastAsia" w:ascii="仿宋" w:hAnsi="仿宋" w:eastAsia="仿宋" w:cs="仿宋"/>
          <w:b/>
          <w:color w:val="auto"/>
          <w:sz w:val="32"/>
          <w:szCs w:val="32"/>
          <w:highlight w:val="none"/>
        </w:rPr>
        <w:t>政府采购投标担保函</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spacing w:line="360" w:lineRule="auto"/>
        <w:ind w:right="970" w:rightChars="462" w:hanging="899"/>
        <w:jc w:val="right"/>
        <w:rPr>
          <w:rFonts w:hint="eastAsia" w:ascii="仿宋" w:hAnsi="仿宋" w:eastAsia="仿宋" w:cs="仿宋"/>
          <w:color w:val="auto"/>
          <w:sz w:val="28"/>
          <w:szCs w:val="28"/>
          <w:highlight w:val="none"/>
        </w:rPr>
      </w:pPr>
    </w:p>
    <w:p>
      <w:pPr>
        <w:spacing w:line="360" w:lineRule="auto"/>
        <w:ind w:right="970" w:rightChars="462" w:hanging="899"/>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bookmarkStart w:id="314" w:name="_Toc8690"/>
      <w:bookmarkStart w:id="315" w:name="_Toc29688"/>
      <w:bookmarkStart w:id="316" w:name="_Toc23964"/>
      <w:bookmarkStart w:id="317" w:name="_Toc19645"/>
      <w:bookmarkStart w:id="318" w:name="_Toc15111"/>
      <w:bookmarkStart w:id="319" w:name="_Toc8412"/>
      <w:bookmarkStart w:id="320" w:name="_Toc20134"/>
      <w:bookmarkStart w:id="321" w:name="_Toc31656"/>
      <w:bookmarkStart w:id="322" w:name="_Toc32128"/>
      <w:bookmarkStart w:id="323" w:name="_Toc26531"/>
      <w:bookmarkStart w:id="324" w:name="_Toc816"/>
      <w:bookmarkStart w:id="325" w:name="_Toc129"/>
      <w:bookmarkStart w:id="326" w:name="_Toc6766"/>
      <w:bookmarkStart w:id="327" w:name="_Toc21539"/>
      <w:bookmarkStart w:id="328" w:name="_Toc25263"/>
      <w:bookmarkStart w:id="329" w:name="_Toc24436"/>
      <w:bookmarkStart w:id="330" w:name="_Toc18960"/>
      <w:r>
        <w:rPr>
          <w:rFonts w:hint="eastAsia" w:ascii="仿宋" w:hAnsi="仿宋" w:eastAsia="仿宋" w:cs="仿宋"/>
          <w:color w:val="auto"/>
          <w:sz w:val="28"/>
          <w:szCs w:val="28"/>
          <w:highlight w:val="none"/>
        </w:rPr>
        <w:t>编号：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spacing w:line="360" w:lineRule="auto"/>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惠州公信项目管理</w:t>
      </w:r>
      <w:r>
        <w:rPr>
          <w:rFonts w:hint="eastAsia" w:ascii="仿宋" w:hAnsi="仿宋" w:eastAsia="仿宋" w:cs="仿宋"/>
          <w:color w:val="auto"/>
          <w:sz w:val="28"/>
          <w:szCs w:val="28"/>
          <w:highlight w:val="none"/>
        </w:rPr>
        <w:t>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鉴于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（以下简称“报价人”）拟参加项目编号为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ind w:firstLine="560" w:firstLineChars="200"/>
        <w:outlineLvl w:val="0"/>
        <w:rPr>
          <w:rFonts w:hint="eastAsia" w:ascii="仿宋" w:hAnsi="仿宋" w:eastAsia="仿宋" w:cs="仿宋"/>
          <w:color w:val="auto"/>
          <w:sz w:val="28"/>
          <w:szCs w:val="28"/>
          <w:highlight w:val="none"/>
        </w:rPr>
      </w:pPr>
      <w:bookmarkStart w:id="331" w:name="_Toc14461"/>
      <w:bookmarkStart w:id="332" w:name="_Toc14061"/>
      <w:bookmarkStart w:id="333" w:name="_Toc31771"/>
      <w:bookmarkStart w:id="334" w:name="_Toc26149"/>
      <w:bookmarkStart w:id="335" w:name="_Toc10218"/>
      <w:bookmarkStart w:id="336" w:name="_Toc31756"/>
      <w:bookmarkStart w:id="337" w:name="_Toc14554"/>
      <w:bookmarkStart w:id="338" w:name="_Toc2241"/>
      <w:bookmarkStart w:id="339" w:name="_Toc11514"/>
      <w:bookmarkStart w:id="340" w:name="_Toc30133"/>
      <w:bookmarkStart w:id="341" w:name="_Toc2711"/>
      <w:bookmarkStart w:id="342" w:name="_Toc32500"/>
      <w:bookmarkStart w:id="343" w:name="_Toc24843"/>
      <w:bookmarkStart w:id="344" w:name="_Toc30942"/>
      <w:bookmarkStart w:id="345" w:name="_Toc4997"/>
      <w:bookmarkStart w:id="346" w:name="_Toc7166"/>
      <w:bookmarkStart w:id="347" w:name="_Toc6601"/>
      <w:r>
        <w:rPr>
          <w:rFonts w:hint="eastAsia" w:ascii="仿宋" w:hAnsi="仿宋" w:eastAsia="仿宋" w:cs="仿宋"/>
          <w:color w:val="auto"/>
          <w:sz w:val="28"/>
          <w:szCs w:val="28"/>
          <w:highlight w:val="none"/>
        </w:rPr>
        <w:t>一、保证责任的情形及保证金额</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（一）在报价人出现下列情形之一时，我方承担保证责任：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1．中标后报价人无正当理由不与采购人或者采购代理机构签订《政府采购合同》；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2．招标文件规定的报价人应当缴纳保证金的其他情形。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（二）我方承担保证责任的最高金额为人民币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），即本项目的投标保证金金额。</w:t>
      </w:r>
    </w:p>
    <w:p>
      <w:pPr>
        <w:spacing w:line="360" w:lineRule="auto"/>
        <w:ind w:firstLine="560" w:firstLineChars="200"/>
        <w:outlineLvl w:val="0"/>
        <w:rPr>
          <w:rFonts w:hint="eastAsia" w:ascii="仿宋" w:hAnsi="仿宋" w:eastAsia="仿宋" w:cs="仿宋"/>
          <w:color w:val="auto"/>
          <w:sz w:val="28"/>
          <w:szCs w:val="28"/>
          <w:highlight w:val="none"/>
        </w:rPr>
      </w:pPr>
      <w:bookmarkStart w:id="348" w:name="_Toc30965"/>
      <w:bookmarkStart w:id="349" w:name="_Toc25826"/>
      <w:bookmarkStart w:id="350" w:name="_Toc13485"/>
      <w:bookmarkStart w:id="351" w:name="_Toc1121"/>
      <w:bookmarkStart w:id="352" w:name="_Toc30365"/>
      <w:bookmarkStart w:id="353" w:name="_Toc21449"/>
      <w:bookmarkStart w:id="354" w:name="_Toc1515"/>
      <w:bookmarkStart w:id="355" w:name="_Toc24026"/>
      <w:bookmarkStart w:id="356" w:name="_Toc31583"/>
      <w:bookmarkStart w:id="357" w:name="_Toc32528"/>
      <w:bookmarkStart w:id="358" w:name="_Toc11021"/>
      <w:bookmarkStart w:id="359" w:name="_Toc3460"/>
      <w:bookmarkStart w:id="360" w:name="_Toc10806"/>
      <w:bookmarkStart w:id="361" w:name="_Toc27099"/>
      <w:bookmarkStart w:id="362" w:name="_Toc6261"/>
      <w:bookmarkStart w:id="363" w:name="_Toc24017"/>
      <w:bookmarkStart w:id="364" w:name="_Toc1052"/>
      <w:r>
        <w:rPr>
          <w:rFonts w:hint="eastAsia" w:ascii="仿宋" w:hAnsi="仿宋" w:eastAsia="仿宋" w:cs="仿宋"/>
          <w:color w:val="auto"/>
          <w:sz w:val="28"/>
          <w:szCs w:val="28"/>
          <w:highlight w:val="none"/>
        </w:rPr>
        <w:t>二、保证的方式及保证期间</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我方保证的方式为：连带责任保证。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我方的保证期间为：自本保函生效之日起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个月止。</w:t>
      </w:r>
    </w:p>
    <w:p>
      <w:pPr>
        <w:spacing w:line="360" w:lineRule="auto"/>
        <w:ind w:firstLine="560" w:firstLineChars="200"/>
        <w:outlineLvl w:val="0"/>
        <w:rPr>
          <w:rFonts w:hint="eastAsia" w:ascii="仿宋" w:hAnsi="仿宋" w:eastAsia="仿宋" w:cs="仿宋"/>
          <w:color w:val="auto"/>
          <w:sz w:val="28"/>
          <w:szCs w:val="28"/>
          <w:highlight w:val="none"/>
        </w:rPr>
      </w:pPr>
      <w:bookmarkStart w:id="365" w:name="_Toc14520"/>
      <w:bookmarkStart w:id="366" w:name="_Toc4115"/>
      <w:bookmarkStart w:id="367" w:name="_Toc11198"/>
      <w:bookmarkStart w:id="368" w:name="_Toc30035"/>
      <w:bookmarkStart w:id="369" w:name="_Toc24398"/>
      <w:bookmarkStart w:id="370" w:name="_Toc7612"/>
      <w:bookmarkStart w:id="371" w:name="_Toc24422"/>
      <w:bookmarkStart w:id="372" w:name="_Toc30731"/>
      <w:bookmarkStart w:id="373" w:name="_Toc20341"/>
      <w:bookmarkStart w:id="374" w:name="_Toc25744"/>
      <w:bookmarkStart w:id="375" w:name="_Toc18479"/>
      <w:bookmarkStart w:id="376" w:name="_Toc5955"/>
      <w:bookmarkStart w:id="377" w:name="_Toc20651"/>
      <w:bookmarkStart w:id="378" w:name="_Toc19937"/>
      <w:bookmarkStart w:id="379" w:name="_Toc28983"/>
      <w:bookmarkStart w:id="380" w:name="_Toc21308"/>
      <w:bookmarkStart w:id="381" w:name="_Toc6275"/>
      <w:r>
        <w:rPr>
          <w:rFonts w:hint="eastAsia" w:ascii="仿宋" w:hAnsi="仿宋" w:eastAsia="仿宋" w:cs="仿宋"/>
          <w:color w:val="auto"/>
          <w:sz w:val="28"/>
          <w:szCs w:val="28"/>
          <w:highlight w:val="none"/>
        </w:rPr>
        <w:t>三、承担保证责任的程序</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1．你方要求我方承担保证责任的，应在本保函保证期间内向我方发出书面索赔通知。索赔通知应写明要求索赔的金额，支付款项应到达的账号，并附有证明报价人发生我方应承担保证责任情形的事实材料。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2．我方在收到索赔通知及相关证明材料后，在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个工作日内进行审查，符合应承担保证责任情形的，我方应按照你方的要求代报价人向你方支付投标保证金。</w:t>
      </w:r>
    </w:p>
    <w:p>
      <w:pPr>
        <w:spacing w:line="360" w:lineRule="auto"/>
        <w:ind w:firstLine="560" w:firstLineChars="200"/>
        <w:outlineLvl w:val="0"/>
        <w:rPr>
          <w:rFonts w:hint="eastAsia" w:ascii="仿宋" w:hAnsi="仿宋" w:eastAsia="仿宋" w:cs="仿宋"/>
          <w:color w:val="auto"/>
          <w:sz w:val="28"/>
          <w:szCs w:val="28"/>
          <w:highlight w:val="none"/>
        </w:rPr>
      </w:pPr>
      <w:bookmarkStart w:id="382" w:name="_Toc4848"/>
      <w:bookmarkStart w:id="383" w:name="_Toc26548"/>
      <w:bookmarkStart w:id="384" w:name="_Toc11787"/>
      <w:bookmarkStart w:id="385" w:name="_Toc12368"/>
      <w:bookmarkStart w:id="386" w:name="_Toc25751"/>
      <w:bookmarkStart w:id="387" w:name="_Toc27817"/>
      <w:bookmarkStart w:id="388" w:name="_Toc25470"/>
      <w:bookmarkStart w:id="389" w:name="_Toc31948"/>
      <w:bookmarkStart w:id="390" w:name="_Toc12626"/>
      <w:bookmarkStart w:id="391" w:name="_Toc14483"/>
      <w:bookmarkStart w:id="392" w:name="_Toc24131"/>
      <w:bookmarkStart w:id="393" w:name="_Toc32110"/>
      <w:bookmarkStart w:id="394" w:name="_Toc11059"/>
      <w:bookmarkStart w:id="395" w:name="_Toc26249"/>
      <w:bookmarkStart w:id="396" w:name="_Toc18720"/>
      <w:bookmarkStart w:id="397" w:name="_Toc24696"/>
      <w:bookmarkStart w:id="398" w:name="_Toc6333"/>
      <w:r>
        <w:rPr>
          <w:rFonts w:hint="eastAsia" w:ascii="仿宋" w:hAnsi="仿宋" w:eastAsia="仿宋" w:cs="仿宋"/>
          <w:color w:val="auto"/>
          <w:sz w:val="28"/>
          <w:szCs w:val="28"/>
          <w:highlight w:val="none"/>
        </w:rPr>
        <w:t>四、保证责任的终止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1．保证期间届满你方未向我方书面主张保证责任的，自保证期间届满次日起，我方保证责任自动终止。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2．我方按照本保函向你贵方履行了保证责任后，自我方向你贵方支付款项（支付款项从我方账户划出）之日起，保证责任终止。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3．按照法律法规的规定或出现我方保证责任终止的其它情形的，我方在本保函项下的保证责任亦终止。</w:t>
      </w:r>
    </w:p>
    <w:p>
      <w:pPr>
        <w:spacing w:line="360" w:lineRule="auto"/>
        <w:ind w:firstLine="560" w:firstLineChars="200"/>
        <w:outlineLvl w:val="0"/>
        <w:rPr>
          <w:rFonts w:hint="eastAsia" w:ascii="仿宋" w:hAnsi="仿宋" w:eastAsia="仿宋" w:cs="仿宋"/>
          <w:color w:val="auto"/>
          <w:sz w:val="28"/>
          <w:szCs w:val="28"/>
          <w:highlight w:val="none"/>
        </w:rPr>
      </w:pPr>
      <w:bookmarkStart w:id="399" w:name="_Toc12597"/>
      <w:bookmarkStart w:id="400" w:name="_Toc8008"/>
      <w:bookmarkStart w:id="401" w:name="_Toc7130"/>
      <w:bookmarkStart w:id="402" w:name="_Toc30912"/>
      <w:bookmarkStart w:id="403" w:name="_Toc22765"/>
      <w:bookmarkStart w:id="404" w:name="_Toc1232"/>
      <w:bookmarkStart w:id="405" w:name="_Toc19483"/>
      <w:bookmarkStart w:id="406" w:name="_Toc22981"/>
      <w:bookmarkStart w:id="407" w:name="_Toc11823"/>
      <w:bookmarkStart w:id="408" w:name="_Toc15823"/>
      <w:bookmarkStart w:id="409" w:name="_Toc11444"/>
      <w:bookmarkStart w:id="410" w:name="_Toc19561"/>
      <w:bookmarkStart w:id="411" w:name="_Toc13555"/>
      <w:bookmarkStart w:id="412" w:name="_Toc23434"/>
      <w:bookmarkStart w:id="413" w:name="_Toc10596"/>
      <w:bookmarkStart w:id="414" w:name="_Toc9389"/>
      <w:bookmarkStart w:id="415" w:name="_Toc11283"/>
      <w:r>
        <w:rPr>
          <w:rFonts w:hint="eastAsia" w:ascii="仿宋" w:hAnsi="仿宋" w:eastAsia="仿宋" w:cs="仿宋"/>
          <w:color w:val="auto"/>
          <w:sz w:val="28"/>
          <w:szCs w:val="28"/>
          <w:highlight w:val="none"/>
        </w:rPr>
        <w:t>五、免责条款</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1．依照法律规定或你方与报价人的另行约定，全部或者部分免除报价人投标保证金义务时，我方亦免除相应的保证责任。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2．因你方原因致使报价人发生本保函第一条第（一）款约定情形的，我方不承担保证责任。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3．因不可抗力造成报价人发生本保函第一条约定情形的，我方不承担保证责任。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4．你方或其他有权机关对招标文件进行任何澄清或修改，加重我方保证责任的，我方对加重部分不承担保证责任，但该澄清或修改经我方事先书面同意的除外。</w:t>
      </w:r>
    </w:p>
    <w:p>
      <w:pPr>
        <w:spacing w:line="360" w:lineRule="auto"/>
        <w:ind w:firstLine="560" w:firstLineChars="200"/>
        <w:outlineLvl w:val="0"/>
        <w:rPr>
          <w:rFonts w:hint="eastAsia" w:ascii="仿宋" w:hAnsi="仿宋" w:eastAsia="仿宋" w:cs="仿宋"/>
          <w:color w:val="auto"/>
          <w:sz w:val="28"/>
          <w:szCs w:val="28"/>
          <w:highlight w:val="none"/>
        </w:rPr>
      </w:pPr>
      <w:bookmarkStart w:id="416" w:name="_Toc2141"/>
      <w:bookmarkStart w:id="417" w:name="_Toc22365"/>
      <w:bookmarkStart w:id="418" w:name="_Toc6453"/>
      <w:bookmarkStart w:id="419" w:name="_Toc14021"/>
      <w:bookmarkStart w:id="420" w:name="_Toc18342"/>
      <w:bookmarkStart w:id="421" w:name="_Toc32280"/>
      <w:bookmarkStart w:id="422" w:name="_Toc126"/>
      <w:bookmarkStart w:id="423" w:name="_Toc18542"/>
      <w:bookmarkStart w:id="424" w:name="_Toc24470"/>
      <w:bookmarkStart w:id="425" w:name="_Toc5832"/>
      <w:bookmarkStart w:id="426" w:name="_Toc24241"/>
      <w:bookmarkStart w:id="427" w:name="_Toc30079"/>
      <w:bookmarkStart w:id="428" w:name="_Toc22298"/>
      <w:bookmarkStart w:id="429" w:name="_Toc12916"/>
      <w:bookmarkStart w:id="430" w:name="_Toc15556"/>
      <w:bookmarkStart w:id="431" w:name="_Toc4835"/>
      <w:bookmarkStart w:id="432" w:name="_Toc28230"/>
      <w:r>
        <w:rPr>
          <w:rFonts w:hint="eastAsia" w:ascii="仿宋" w:hAnsi="仿宋" w:eastAsia="仿宋" w:cs="仿宋"/>
          <w:color w:val="auto"/>
          <w:sz w:val="28"/>
          <w:szCs w:val="28"/>
          <w:highlight w:val="none"/>
        </w:rPr>
        <w:t>六、争议的解决</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因本保函发生的纠纷，由你我双方协商解决，协商不成的，通过诉讼程序解决，诉讼管辖地法院为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法院。</w:t>
      </w:r>
    </w:p>
    <w:p>
      <w:pPr>
        <w:spacing w:line="360" w:lineRule="auto"/>
        <w:ind w:firstLine="560" w:firstLineChars="200"/>
        <w:outlineLvl w:val="0"/>
        <w:rPr>
          <w:rFonts w:hint="eastAsia" w:ascii="仿宋" w:hAnsi="仿宋" w:eastAsia="仿宋" w:cs="仿宋"/>
          <w:color w:val="auto"/>
          <w:sz w:val="28"/>
          <w:szCs w:val="28"/>
          <w:highlight w:val="none"/>
        </w:rPr>
      </w:pPr>
      <w:bookmarkStart w:id="433" w:name="_Toc22512"/>
      <w:bookmarkStart w:id="434" w:name="_Toc3000"/>
      <w:bookmarkStart w:id="435" w:name="_Toc8237"/>
      <w:bookmarkStart w:id="436" w:name="_Toc3214"/>
      <w:bookmarkStart w:id="437" w:name="_Toc28364"/>
      <w:bookmarkStart w:id="438" w:name="_Toc14577"/>
      <w:bookmarkStart w:id="439" w:name="_Toc32737"/>
      <w:bookmarkStart w:id="440" w:name="_Toc15825"/>
      <w:bookmarkStart w:id="441" w:name="_Toc16583"/>
      <w:bookmarkStart w:id="442" w:name="_Toc30435"/>
      <w:bookmarkStart w:id="443" w:name="_Toc26605"/>
      <w:bookmarkStart w:id="444" w:name="_Toc25883"/>
      <w:bookmarkStart w:id="445" w:name="_Toc26882"/>
      <w:bookmarkStart w:id="446" w:name="_Toc13521"/>
      <w:bookmarkStart w:id="447" w:name="_Toc30847"/>
      <w:bookmarkStart w:id="448" w:name="_Toc26287"/>
      <w:bookmarkStart w:id="449" w:name="_Toc14807"/>
      <w:r>
        <w:rPr>
          <w:rFonts w:hint="eastAsia" w:ascii="仿宋" w:hAnsi="仿宋" w:eastAsia="仿宋" w:cs="仿宋"/>
          <w:color w:val="auto"/>
          <w:sz w:val="28"/>
          <w:szCs w:val="28"/>
          <w:highlight w:val="none"/>
        </w:rPr>
        <w:t>七、保函的生效</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本保函自我方加盖公章之日起生效。</w:t>
      </w:r>
    </w:p>
    <w:p>
      <w:pPr>
        <w:spacing w:line="360" w:lineRule="auto"/>
        <w:ind w:right="430" w:rightChars="20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保证人：（公章）</w:t>
      </w:r>
    </w:p>
    <w:p>
      <w:pPr>
        <w:spacing w:line="360" w:lineRule="auto"/>
        <w:ind w:right="430" w:rightChars="20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关于资格的声明函</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关于贵方采购项目名称:</w:t>
      </w:r>
      <w:r>
        <w:rPr>
          <w:rFonts w:hint="eastAsia" w:ascii="仿宋" w:hAnsi="仿宋" w:eastAsia="仿宋" w:cs="仿宋"/>
          <w:color w:val="auto"/>
          <w:sz w:val="28"/>
          <w:szCs w:val="28"/>
          <w:highlight w:val="none"/>
          <w:u w:val="single"/>
          <w:lang w:eastAsia="zh-CN"/>
        </w:rPr>
        <w:t>惠州市2023年红火蚁应急防控专业服务和建立市级防控示范点项目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HZGX-2023P032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的</w:t>
      </w:r>
      <w:r>
        <w:rPr>
          <w:rFonts w:hint="eastAsia" w:ascii="仿宋" w:hAnsi="仿宋" w:eastAsia="仿宋" w:cs="仿宋"/>
          <w:color w:val="auto"/>
          <w:sz w:val="28"/>
          <w:szCs w:val="28"/>
          <w:highlight w:val="none"/>
        </w:rPr>
        <w:t>磋商邀请，本签字人愿意参加磋商响应，提供磋商文件中规定的货物及服务，并证明提交的下列文件和说明是准确的和真实的。</w:t>
      </w:r>
    </w:p>
    <w:p>
      <w:pPr>
        <w:autoSpaceDE w:val="0"/>
        <w:autoSpaceDN w:val="0"/>
        <w:adjustRightInd w:val="0"/>
        <w:snapToGrid w:val="0"/>
        <w:spacing w:line="360" w:lineRule="auto"/>
        <w:ind w:left="540"/>
        <w:jc w:val="left"/>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1、具有独立承担民事责任的能力</w:t>
      </w:r>
      <w:r>
        <w:rPr>
          <w:rFonts w:hint="eastAsia" w:ascii="仿宋" w:hAnsi="仿宋" w:eastAsia="仿宋" w:cs="仿宋"/>
          <w:b/>
          <w:snapToGrid w:val="0"/>
          <w:color w:val="auto"/>
          <w:kern w:val="0"/>
          <w:sz w:val="28"/>
          <w:szCs w:val="28"/>
          <w:highlight w:val="none"/>
        </w:rPr>
        <w:t>。</w:t>
      </w:r>
    </w:p>
    <w:p>
      <w:pPr>
        <w:autoSpaceDE w:val="0"/>
        <w:autoSpaceDN w:val="0"/>
        <w:adjustRightInd w:val="0"/>
        <w:snapToGrid w:val="0"/>
        <w:spacing w:line="360" w:lineRule="auto"/>
        <w:ind w:left="540"/>
        <w:jc w:val="left"/>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kern w:val="0"/>
          <w:sz w:val="28"/>
          <w:szCs w:val="28"/>
          <w:highlight w:val="none"/>
        </w:rPr>
        <w:t>符合磋商文件规定的资格要求。</w:t>
      </w:r>
    </w:p>
    <w:p>
      <w:pPr>
        <w:pStyle w:val="18"/>
        <w:tabs>
          <w:tab w:val="left" w:pos="720"/>
        </w:tabs>
        <w:adjustRightInd w:val="0"/>
        <w:snapToGrid w:val="0"/>
        <w:spacing w:line="360" w:lineRule="auto"/>
        <w:ind w:firstLine="562" w:firstLineChars="2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3、符合本磋商文件</w:t>
      </w:r>
      <w:r>
        <w:rPr>
          <w:rFonts w:hint="eastAsia" w:ascii="仿宋" w:hAnsi="仿宋" w:eastAsia="仿宋" w:cs="仿宋"/>
          <w:b/>
          <w:color w:val="auto"/>
          <w:kern w:val="0"/>
          <w:sz w:val="28"/>
          <w:szCs w:val="28"/>
          <w:highlight w:val="none"/>
          <w:lang w:val="zh-CN"/>
        </w:rPr>
        <w:t>采购项目的特殊条件要求。</w:t>
      </w:r>
    </w:p>
    <w:p>
      <w:pPr>
        <w:autoSpaceDE w:val="0"/>
        <w:autoSpaceDN w:val="0"/>
        <w:adjustRightInd w:val="0"/>
        <w:snapToGrid w:val="0"/>
        <w:spacing w:line="360" w:lineRule="auto"/>
        <w:ind w:left="540"/>
        <w:jc w:val="left"/>
        <w:textAlignment w:val="baseline"/>
        <w:rPr>
          <w:rFonts w:hint="eastAsia" w:ascii="仿宋" w:hAnsi="仿宋" w:eastAsia="仿宋" w:cs="仿宋"/>
          <w:b/>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（相关证明文件附后）</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adjustRightInd w:val="0"/>
        <w:snapToGrid w:val="0"/>
        <w:spacing w:line="360" w:lineRule="auto"/>
        <w:rPr>
          <w:rFonts w:hint="eastAsia" w:ascii="仿宋" w:hAnsi="仿宋" w:eastAsia="仿宋" w:cs="仿宋"/>
          <w:color w:val="auto"/>
          <w:szCs w:val="21"/>
          <w:highlight w:val="none"/>
        </w:rPr>
      </w:pPr>
      <w:bookmarkStart w:id="450" w:name="_Toc202251701"/>
      <w:bookmarkStart w:id="451" w:name="_Toc202251076"/>
      <w:bookmarkStart w:id="452" w:name="_Toc202820352"/>
      <w:bookmarkStart w:id="453" w:name="_Toc202816997"/>
      <w:bookmarkStart w:id="454" w:name="_Toc202819879"/>
      <w:bookmarkStart w:id="455" w:name="_Toc202254106"/>
      <w:bookmarkStart w:id="456" w:name="_Toc202252035"/>
    </w:p>
    <w:p>
      <w:pPr>
        <w:tabs>
          <w:tab w:val="left" w:pos="420"/>
          <w:tab w:val="left" w:pos="540"/>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 xml:space="preserve">  公平竞争承诺书</w:t>
      </w:r>
    </w:p>
    <w:p>
      <w:pPr>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公平竞争承诺书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惠州公信项目管理有限公司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本公司愿意接受贵公司邀请，积极参加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项目的投标。为杜绝商业贿赂现象，维护良好管理秩序，共同营造公平、公正的竞争环境，我司郑重承诺：</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遵守贵司就前述项目招投标所制定的所有相关流程及要求，并保证所提交《投标文件》中相关资料与描述真实有效。</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坚持投标独立性，保证不以任何手段了解或意图了解其他投标参与人情况及其报价信息。</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保证不私下接触贵司负责招标组织工作的人员及相关领导。</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保证不对贵司负责招标组织工作的人员及相关领导进行宴请、招待，或赠送及承诺赠送礼金、礼品、礼券、其他利益。</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除自贵司公开渠道获取相关信息外，保证不以其他方式刺探或意图刺探贵司评标、磋商信息及其进展。</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保证采取内部约束措施，禁止具体经办人或其它相关人员私自实施前述各项禁止行为，并对其违规后果承担连带责任。</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如出现违反上述各项承诺情况，自愿接受贵司取消投标资格、没收投标保证金、解除合同等处罚措施，并对贵司因此所受损失进行全额赔偿。</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如贵司负责招标组织工作的人员及相关领导，明示或暗示要求宴请、招待，或索取礼金、礼品、礼券、其他利益，或故意刁难、显失公平的，保证立即向贵司监察部门进行举报。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pPr>
        <w:pStyle w:val="14"/>
        <w:rPr>
          <w:rFonts w:hint="eastAsia"/>
          <w:color w:val="auto"/>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tabs>
          <w:tab w:val="left" w:pos="420"/>
          <w:tab w:val="left" w:pos="540"/>
          <w:tab w:val="left" w:pos="72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2"/>
        <w:spacing w:before="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2.7  </w:t>
      </w:r>
      <w:r>
        <w:rPr>
          <w:rFonts w:hint="eastAsia" w:ascii="仿宋" w:hAnsi="仿宋" w:eastAsia="仿宋" w:cs="仿宋"/>
          <w:b/>
          <w:bCs/>
          <w:color w:val="auto"/>
          <w:sz w:val="28"/>
          <w:szCs w:val="28"/>
          <w:highlight w:val="none"/>
          <w:lang w:val="en-US" w:eastAsia="zh-CN"/>
        </w:rPr>
        <w:t>政策适用性说明</w:t>
      </w:r>
    </w:p>
    <w:p>
      <w:pPr>
        <w:pStyle w:val="2"/>
        <w:spacing w:before="9"/>
        <w:rPr>
          <w:rFonts w:hint="default"/>
          <w:b/>
          <w:color w:val="auto"/>
          <w:sz w:val="12"/>
          <w:highlight w:val="none"/>
          <w:lang w:val="en-US"/>
        </w:rPr>
      </w:pPr>
    </w:p>
    <w:p>
      <w:pPr>
        <w:pStyle w:val="2"/>
        <w:spacing w:after="57" w:line="379" w:lineRule="auto"/>
        <w:ind w:left="106" w:right="149" w:firstLine="3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按照政府采购有关政策的要求，在本次的技术方案中，采用符合政策的小型或微型企业产品、节能产品、环保标志产品， 主要产品与核心技术介绍说明如下：</w:t>
      </w:r>
    </w:p>
    <w:tbl>
      <w:tblPr>
        <w:tblStyle w:val="38"/>
        <w:tblW w:w="8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5"/>
        <w:gridCol w:w="2353"/>
        <w:gridCol w:w="1105"/>
        <w:gridCol w:w="1141"/>
        <w:gridCol w:w="709"/>
        <w:gridCol w:w="997"/>
        <w:gridCol w:w="997"/>
        <w:gridCol w:w="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15" w:type="dxa"/>
          </w:tcPr>
          <w:p>
            <w:pPr>
              <w:pStyle w:val="211"/>
              <w:spacing w:before="60"/>
              <w:ind w:left="100"/>
              <w:rPr>
                <w:rFonts w:hint="eastAsia" w:ascii="仿宋" w:hAnsi="仿宋" w:eastAsia="仿宋" w:cs="仿宋"/>
                <w:color w:val="auto"/>
                <w:sz w:val="24"/>
                <w:szCs w:val="24"/>
                <w:highlight w:val="none"/>
              </w:rPr>
            </w:pPr>
            <w:r>
              <w:rPr>
                <w:rFonts w:hint="eastAsia" w:ascii="仿宋" w:hAnsi="仿宋" w:eastAsia="仿宋" w:cs="仿宋"/>
                <w:color w:val="auto"/>
                <w:w w:val="101"/>
                <w:sz w:val="24"/>
                <w:szCs w:val="24"/>
                <w:highlight w:val="none"/>
              </w:rPr>
              <w:t>序号</w:t>
            </w:r>
          </w:p>
        </w:tc>
        <w:tc>
          <w:tcPr>
            <w:tcW w:w="2353" w:type="dxa"/>
          </w:tcPr>
          <w:p>
            <w:pPr>
              <w:pStyle w:val="211"/>
              <w:spacing w:before="60"/>
              <w:ind w:left="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主要产品/技术名称（规格型号、注册商标）</w:t>
            </w:r>
          </w:p>
        </w:tc>
        <w:tc>
          <w:tcPr>
            <w:tcW w:w="1105" w:type="dxa"/>
          </w:tcPr>
          <w:p>
            <w:pPr>
              <w:pStyle w:val="211"/>
              <w:spacing w:before="60"/>
              <w:ind w:left="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制造商(开发商)</w:t>
            </w:r>
          </w:p>
        </w:tc>
        <w:tc>
          <w:tcPr>
            <w:tcW w:w="1141" w:type="dxa"/>
          </w:tcPr>
          <w:p>
            <w:pPr>
              <w:pStyle w:val="211"/>
              <w:spacing w:before="60"/>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制造商企</w:t>
            </w:r>
          </w:p>
          <w:p>
            <w:pPr>
              <w:pStyle w:val="211"/>
              <w:spacing w:before="141"/>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业类型</w:t>
            </w:r>
          </w:p>
        </w:tc>
        <w:tc>
          <w:tcPr>
            <w:tcW w:w="709" w:type="dxa"/>
          </w:tcPr>
          <w:p>
            <w:pPr>
              <w:pStyle w:val="211"/>
              <w:spacing w:before="60"/>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w:t>
            </w:r>
          </w:p>
          <w:p>
            <w:pPr>
              <w:pStyle w:val="211"/>
              <w:spacing w:before="141"/>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w:t>
            </w:r>
          </w:p>
        </w:tc>
        <w:tc>
          <w:tcPr>
            <w:tcW w:w="997" w:type="dxa"/>
          </w:tcPr>
          <w:p>
            <w:pPr>
              <w:pStyle w:val="211"/>
              <w:spacing w:before="60"/>
              <w:ind w:left="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环保标志产品</w:t>
            </w:r>
          </w:p>
        </w:tc>
        <w:tc>
          <w:tcPr>
            <w:tcW w:w="997" w:type="dxa"/>
          </w:tcPr>
          <w:p>
            <w:pPr>
              <w:pStyle w:val="211"/>
              <w:spacing w:before="60"/>
              <w:ind w:left="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认证证书编号</w:t>
            </w:r>
          </w:p>
        </w:tc>
        <w:tc>
          <w:tcPr>
            <w:tcW w:w="933" w:type="dxa"/>
          </w:tcPr>
          <w:p>
            <w:pPr>
              <w:pStyle w:val="211"/>
              <w:spacing w:before="60"/>
              <w:ind w:left="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该产品报价在总报价中</w:t>
            </w:r>
            <w:r>
              <w:rPr>
                <w:rFonts w:hint="eastAsia" w:ascii="仿宋" w:hAnsi="仿宋" w:eastAsia="仿宋" w:cs="仿宋"/>
                <w:color w:val="auto"/>
                <w:w w:val="115"/>
                <w:sz w:val="24"/>
                <w:szCs w:val="24"/>
                <w:highlight w:val="none"/>
              </w:rPr>
              <w:t>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1</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2</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3</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4</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5</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65" w:right="97"/>
              <w:jc w:val="center"/>
              <w:rPr>
                <w:rFonts w:hint="eastAsia" w:ascii="仿宋" w:hAnsi="仿宋" w:eastAsia="仿宋" w:cs="仿宋"/>
                <w:color w:val="auto"/>
                <w:sz w:val="24"/>
                <w:szCs w:val="24"/>
                <w:highlight w:val="none"/>
              </w:rPr>
            </w:pPr>
            <w:r>
              <w:rPr>
                <w:rFonts w:hint="eastAsia" w:ascii="仿宋" w:hAnsi="仿宋" w:eastAsia="仿宋" w:cs="仿宋"/>
                <w:color w:val="auto"/>
                <w:w w:val="75"/>
                <w:sz w:val="24"/>
                <w:szCs w:val="24"/>
                <w:highlight w:val="none"/>
              </w:rPr>
              <w:t>...</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bl>
    <w:p>
      <w:pPr>
        <w:pStyle w:val="2"/>
        <w:spacing w:before="122"/>
        <w:ind w:left="490"/>
        <w:rPr>
          <w:rFonts w:hint="eastAsia" w:ascii="仿宋" w:hAnsi="仿宋" w:eastAsia="仿宋" w:cs="仿宋"/>
          <w:color w:val="auto"/>
          <w:sz w:val="24"/>
          <w:szCs w:val="24"/>
          <w:highlight w:val="none"/>
        </w:rPr>
      </w:pPr>
      <w:r>
        <w:rPr>
          <w:rFonts w:hint="eastAsia" w:ascii="仿宋" w:hAnsi="仿宋" w:eastAsia="仿宋" w:cs="仿宋"/>
          <w:color w:val="auto"/>
          <w:w w:val="101"/>
          <w:sz w:val="24"/>
          <w:szCs w:val="24"/>
          <w:highlight w:val="none"/>
        </w:rPr>
        <w:t>注：</w:t>
      </w:r>
      <w:r>
        <w:rPr>
          <w:rFonts w:hint="eastAsia" w:ascii="仿宋" w:hAnsi="仿宋" w:eastAsia="仿宋" w:cs="仿宋"/>
          <w:color w:val="auto"/>
          <w:spacing w:val="-3"/>
          <w:w w:val="128"/>
          <w:sz w:val="24"/>
          <w:szCs w:val="24"/>
          <w:highlight w:val="none"/>
        </w:rPr>
        <w:t>1</w:t>
      </w:r>
      <w:r>
        <w:rPr>
          <w:rFonts w:hint="eastAsia" w:ascii="仿宋" w:hAnsi="仿宋" w:eastAsia="仿宋" w:cs="仿宋"/>
          <w:color w:val="auto"/>
          <w:spacing w:val="-2"/>
          <w:w w:val="64"/>
          <w:sz w:val="24"/>
          <w:szCs w:val="24"/>
          <w:highlight w:val="none"/>
        </w:rPr>
        <w:t>.</w:t>
      </w:r>
      <w:r>
        <w:rPr>
          <w:rFonts w:hint="eastAsia" w:ascii="仿宋" w:hAnsi="仿宋" w:eastAsia="仿宋" w:cs="仿宋"/>
          <w:color w:val="auto"/>
          <w:w w:val="101"/>
          <w:sz w:val="24"/>
          <w:szCs w:val="24"/>
          <w:highlight w:val="none"/>
        </w:rPr>
        <w:t>制造商为小型或微型企业时才需要填</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制造商企业类型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栏</w:t>
      </w:r>
      <w:r>
        <w:rPr>
          <w:rFonts w:hint="eastAsia" w:ascii="仿宋" w:hAnsi="仿宋" w:eastAsia="仿宋" w:cs="仿宋"/>
          <w:color w:val="auto"/>
          <w:spacing w:val="-2"/>
          <w:w w:val="64"/>
          <w:sz w:val="24"/>
          <w:szCs w:val="24"/>
          <w:highlight w:val="none"/>
        </w:rPr>
        <w:t>,</w:t>
      </w:r>
      <w:r>
        <w:rPr>
          <w:rFonts w:hint="eastAsia" w:ascii="仿宋" w:hAnsi="仿宋" w:eastAsia="仿宋" w:cs="仿宋"/>
          <w:color w:val="auto"/>
          <w:w w:val="101"/>
          <w:sz w:val="24"/>
          <w:szCs w:val="24"/>
          <w:highlight w:val="none"/>
        </w:rPr>
        <w:t>填写内容为</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小型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或</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微型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w:t>
      </w:r>
    </w:p>
    <w:p>
      <w:pPr>
        <w:pStyle w:val="2"/>
        <w:spacing w:before="140" w:line="379" w:lineRule="auto"/>
        <w:ind w:left="106" w:right="110" w:firstLine="865" w:firstLineChars="282"/>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2</w:t>
      </w:r>
      <w:r>
        <w:rPr>
          <w:rFonts w:hint="eastAsia" w:ascii="仿宋" w:hAnsi="仿宋" w:eastAsia="仿宋" w:cs="仿宋"/>
          <w:color w:val="auto"/>
          <w:w w:val="64"/>
          <w:sz w:val="24"/>
          <w:szCs w:val="24"/>
          <w:highlight w:val="none"/>
        </w:rPr>
        <w:t>.</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节能产品、环保标志产品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须填写认证证书编号，并在对应</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节能产品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环保标志产品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栏中勾选，同时提供有效期内</w:t>
      </w:r>
      <w:r>
        <w:rPr>
          <w:rFonts w:hint="eastAsia" w:ascii="仿宋" w:hAnsi="仿宋" w:eastAsia="仿宋" w:cs="仿宋"/>
          <w:color w:val="auto"/>
          <w:sz w:val="24"/>
          <w:szCs w:val="24"/>
          <w:highlight w:val="none"/>
        </w:rPr>
        <w:t>的证书复印件（加盖投标人公章）</w:t>
      </w: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jc w:val="left"/>
        <w:rPr>
          <w:rFonts w:hint="eastAsia"/>
          <w:color w:val="auto"/>
          <w:highlight w:val="none"/>
        </w:rPr>
        <w:sectPr>
          <w:footerReference r:id="rId5" w:type="default"/>
          <w:pgSz w:w="11900" w:h="16840"/>
          <w:pgMar w:top="1429" w:right="1429" w:bottom="1412" w:left="1212" w:header="720" w:footer="720" w:gutter="0"/>
          <w:pgNumType w:fmt="decimal" w:start="1"/>
          <w:cols w:space="720" w:num="1"/>
        </w:sectPr>
      </w:pPr>
    </w:p>
    <w:p>
      <w:pPr>
        <w:tabs>
          <w:tab w:val="left" w:pos="420"/>
          <w:tab w:val="left" w:pos="540"/>
          <w:tab w:val="left" w:pos="720"/>
        </w:tabs>
        <w:spacing w:line="360" w:lineRule="auto"/>
        <w:rPr>
          <w:rFonts w:hint="eastAsia" w:ascii="仿宋" w:hAnsi="仿宋" w:eastAsia="仿宋" w:cs="仿宋"/>
          <w:color w:val="auto"/>
          <w:sz w:val="28"/>
          <w:szCs w:val="28"/>
          <w:highlight w:val="none"/>
        </w:rPr>
      </w:pPr>
    </w:p>
    <w:p>
      <w:pPr>
        <w:tabs>
          <w:tab w:val="left" w:pos="420"/>
          <w:tab w:val="left" w:pos="540"/>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8</w:t>
      </w:r>
      <w:r>
        <w:rPr>
          <w:rFonts w:hint="eastAsia" w:ascii="仿宋" w:hAnsi="仿宋" w:eastAsia="仿宋" w:cs="仿宋"/>
          <w:b/>
          <w:color w:val="auto"/>
          <w:sz w:val="28"/>
          <w:szCs w:val="28"/>
          <w:highlight w:val="none"/>
        </w:rPr>
        <w:t xml:space="preserve"> 中小企业声明函格式(</w:t>
      </w:r>
      <w:r>
        <w:rPr>
          <w:rFonts w:hint="eastAsia" w:ascii="仿宋" w:hAnsi="仿宋" w:eastAsia="仿宋" w:cs="仿宋"/>
          <w:b/>
          <w:color w:val="auto"/>
          <w:sz w:val="28"/>
          <w:szCs w:val="28"/>
          <w:highlight w:val="none"/>
          <w:u w:val="single"/>
        </w:rPr>
        <w:t>注意:非中小企业不用填写此函</w:t>
      </w:r>
      <w:r>
        <w:rPr>
          <w:rFonts w:hint="eastAsia" w:ascii="仿宋" w:hAnsi="仿宋" w:eastAsia="仿宋" w:cs="仿宋"/>
          <w:b/>
          <w:color w:val="auto"/>
          <w:sz w:val="28"/>
          <w:szCs w:val="28"/>
          <w:highlight w:val="none"/>
        </w:rPr>
        <w:t>)</w:t>
      </w:r>
    </w:p>
    <w:p>
      <w:pPr>
        <w:pStyle w:val="2"/>
        <w:spacing w:before="114"/>
        <w:ind w:left="490"/>
        <w:rPr>
          <w:rFonts w:hint="eastAsia" w:ascii="仿宋" w:hAnsi="仿宋" w:eastAsia="仿宋" w:cs="仿宋"/>
          <w:color w:val="auto"/>
          <w:highlight w:val="none"/>
        </w:rPr>
      </w:pPr>
      <w:r>
        <w:rPr>
          <w:rFonts w:hint="eastAsia" w:ascii="仿宋" w:hAnsi="仿宋" w:eastAsia="仿宋" w:cs="仿宋"/>
          <w:color w:val="auto"/>
          <w:highlight w:val="none"/>
        </w:rPr>
        <w:t>（以下格式文件由供应商根据需要选用）</w:t>
      </w:r>
    </w:p>
    <w:p>
      <w:pPr>
        <w:pStyle w:val="2"/>
        <w:spacing w:before="140"/>
        <w:ind w:left="490"/>
        <w:rPr>
          <w:rFonts w:hint="eastAsia" w:ascii="仿宋" w:hAnsi="仿宋" w:eastAsia="仿宋" w:cs="仿宋"/>
          <w:color w:val="auto"/>
          <w:highlight w:val="none"/>
        </w:rPr>
      </w:pPr>
      <w:r>
        <w:rPr>
          <w:rFonts w:hint="eastAsia" w:ascii="仿宋" w:hAnsi="仿宋" w:eastAsia="仿宋" w:cs="仿宋"/>
          <w:color w:val="auto"/>
          <w:highlight w:val="none"/>
        </w:rPr>
        <w:t>中小企业声明函（所投产品制造商为中小企业时提交本函，所属行业应符合采购文件中明确的本项目所属行业）</w:t>
      </w:r>
    </w:p>
    <w:p>
      <w:pPr>
        <w:pStyle w:val="2"/>
        <w:spacing w:before="8"/>
        <w:rPr>
          <w:rFonts w:hint="eastAsia" w:ascii="仿宋" w:hAnsi="仿宋" w:eastAsia="仿宋" w:cs="仿宋"/>
          <w:color w:val="auto"/>
          <w:sz w:val="13"/>
          <w:highlight w:val="none"/>
        </w:rPr>
      </w:pPr>
    </w:p>
    <w:p>
      <w:pPr>
        <w:pStyle w:val="5"/>
        <w:ind w:firstLine="0" w:firstLineChars="0"/>
        <w:jc w:val="center"/>
        <w:rPr>
          <w:rFonts w:hint="eastAsia" w:ascii="仿宋" w:hAnsi="仿宋" w:eastAsia="仿宋" w:cs="仿宋"/>
          <w:color w:val="auto"/>
          <w:sz w:val="30"/>
          <w:szCs w:val="30"/>
          <w:highlight w:val="none"/>
        </w:rPr>
      </w:pPr>
      <w:bookmarkStart w:id="457" w:name="_Toc19544"/>
      <w:bookmarkStart w:id="458" w:name="_Toc28247"/>
      <w:bookmarkStart w:id="459" w:name="_Toc15643"/>
      <w:bookmarkStart w:id="460" w:name="_Toc25009"/>
      <w:bookmarkStart w:id="461" w:name="_Toc19570"/>
      <w:bookmarkStart w:id="462" w:name="_Toc17040"/>
      <w:bookmarkStart w:id="463" w:name="_Toc31643"/>
      <w:bookmarkStart w:id="464" w:name="_Toc32229"/>
      <w:bookmarkStart w:id="465" w:name="_Toc7586"/>
      <w:bookmarkStart w:id="466" w:name="_Toc17614"/>
      <w:bookmarkStart w:id="467" w:name="_Toc20684"/>
      <w:bookmarkStart w:id="468" w:name="_Toc6588"/>
      <w:bookmarkStart w:id="469" w:name="_Toc13360"/>
      <w:bookmarkStart w:id="470" w:name="_Toc32657"/>
      <w:bookmarkStart w:id="471" w:name="_Toc2322"/>
      <w:bookmarkStart w:id="472" w:name="_Toc32183"/>
      <w:r>
        <w:rPr>
          <w:rFonts w:hint="eastAsia" w:ascii="仿宋" w:hAnsi="仿宋" w:eastAsia="仿宋" w:cs="仿宋"/>
          <w:color w:val="auto"/>
          <w:sz w:val="30"/>
          <w:szCs w:val="30"/>
          <w:highlight w:val="none"/>
        </w:rPr>
        <w:t>中小企业声明函（货物）</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pStyle w:val="2"/>
        <w:spacing w:before="163"/>
        <w:ind w:firstLine="660" w:firstLineChars="300"/>
        <w:rPr>
          <w:rFonts w:hint="eastAsia" w:ascii="仿宋" w:hAnsi="仿宋" w:eastAsia="仿宋" w:cs="仿宋"/>
          <w:color w:val="auto"/>
          <w:highlight w:val="none"/>
        </w:rPr>
      </w:pPr>
      <w:r>
        <w:rPr>
          <w:rFonts w:hint="eastAsia" w:ascii="仿宋" w:hAnsi="仿宋" w:eastAsia="仿宋" w:cs="仿宋"/>
          <w:color w:val="auto"/>
          <w:w w:val="105"/>
          <w:highlight w:val="none"/>
        </w:rPr>
        <w:t>本公司（联合体）郑重声明，根据《政府采购促进中小企业发展管理办法》（财库﹝2020﹞46 号）的规定，本公司</w:t>
      </w:r>
      <w:r>
        <w:rPr>
          <w:rFonts w:hint="eastAsia" w:ascii="仿宋" w:hAnsi="仿宋" w:eastAsia="仿宋" w:cs="仿宋"/>
          <w:color w:val="auto"/>
          <w:highlight w:val="none"/>
        </w:rPr>
        <w:t>（联合体）参加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pPr>
        <w:pStyle w:val="2"/>
        <w:tabs>
          <w:tab w:val="left" w:pos="2794"/>
          <w:tab w:val="left" w:pos="6059"/>
          <w:tab w:val="left" w:pos="10272"/>
        </w:tabs>
        <w:spacing w:line="379" w:lineRule="auto"/>
        <w:ind w:left="106" w:right="161" w:firstLine="384"/>
        <w:rPr>
          <w:rFonts w:hint="eastAsia" w:ascii="仿宋" w:hAnsi="仿宋" w:eastAsia="仿宋" w:cs="仿宋"/>
          <w:color w:val="auto"/>
          <w:highlight w:val="none"/>
        </w:rPr>
      </w:pPr>
      <w:r>
        <w:rPr>
          <w:rFonts w:hint="eastAsia" w:ascii="仿宋" w:hAnsi="仿宋" w:eastAsia="仿宋" w:cs="仿宋"/>
          <w:color w:val="auto"/>
          <w:spacing w:val="-3"/>
          <w:w w:val="128"/>
          <w:highlight w:val="none"/>
        </w:rPr>
        <w:t>1</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u w:val="single"/>
          <w:lang w:eastAsia="zh-CN"/>
        </w:rPr>
        <w:t>：</w:t>
      </w:r>
      <w:r>
        <w:rPr>
          <w:rFonts w:hint="eastAsia" w:ascii="仿宋" w:hAnsi="仿宋" w:eastAsia="仿宋" w:cs="仿宋"/>
          <w:b w:val="0"/>
          <w:bCs w:val="0"/>
          <w:color w:val="auto"/>
          <w:w w:val="101"/>
          <w:kern w:val="2"/>
          <w:sz w:val="21"/>
          <w:szCs w:val="20"/>
          <w:highlight w:val="none"/>
          <w:u w:val="single"/>
          <w:lang w:val="en-US" w:eastAsia="zh-CN" w:bidi="ar"/>
        </w:rPr>
        <w:t>其他未列明行业</w:t>
      </w:r>
      <w:r>
        <w:rPr>
          <w:rFonts w:hint="eastAsia" w:ascii="仿宋" w:hAnsi="仿宋" w:eastAsia="仿宋" w:cs="仿宋"/>
          <w:b w:val="0"/>
          <w:bCs w:val="0"/>
          <w:color w:val="auto"/>
          <w:w w:val="101"/>
          <w:highlight w:val="none"/>
          <w:u w:val="single"/>
          <w:lang w:val="en-US" w:eastAsia="zh-CN"/>
        </w:rPr>
        <w:t xml:space="preserve"> </w:t>
      </w:r>
      <w:r>
        <w:rPr>
          <w:rFonts w:hint="eastAsia" w:ascii="仿宋" w:hAnsi="仿宋" w:eastAsia="仿宋" w:cs="仿宋"/>
          <w:color w:val="auto"/>
          <w:w w:val="101"/>
          <w:highlight w:val="none"/>
          <w:u w:val="single"/>
        </w:rPr>
        <w:t>）</w:t>
      </w:r>
      <w:r>
        <w:rPr>
          <w:rFonts w:hint="eastAsia" w:ascii="仿宋" w:hAnsi="仿宋" w:eastAsia="仿宋" w:cs="仿宋"/>
          <w:color w:val="auto"/>
          <w:w w:val="101"/>
          <w:highlight w:val="none"/>
        </w:rPr>
        <w:t>行业；制造商为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w:t>
      </w:r>
      <w:r>
        <w:rPr>
          <w:rFonts w:hint="eastAsia" w:ascii="仿宋" w:hAnsi="仿宋" w:eastAsia="仿宋" w:cs="仿宋"/>
          <w:color w:val="auto"/>
          <w:spacing w:val="-18"/>
          <w:w w:val="101"/>
          <w:highlight w:val="none"/>
        </w:rPr>
        <w:t>，</w:t>
      </w:r>
      <w:r>
        <w:rPr>
          <w:rFonts w:hint="eastAsia" w:ascii="仿宋" w:hAnsi="仿宋" w:eastAsia="仿宋" w:cs="仿宋"/>
          <w:color w:val="auto"/>
          <w:w w:val="101"/>
          <w:highlight w:val="none"/>
        </w:rPr>
        <w:t>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（中型企业、小型企业、微型企业）</w:t>
      </w:r>
      <w:r>
        <w:rPr>
          <w:rFonts w:hint="eastAsia" w:ascii="仿宋" w:hAnsi="仿宋" w:eastAsia="仿宋" w:cs="仿宋"/>
          <w:color w:val="auto"/>
          <w:w w:val="101"/>
          <w:highlight w:val="none"/>
        </w:rPr>
        <w:t>；</w:t>
      </w:r>
    </w:p>
    <w:p>
      <w:pPr>
        <w:pStyle w:val="2"/>
        <w:tabs>
          <w:tab w:val="left" w:pos="2794"/>
          <w:tab w:val="left" w:pos="6059"/>
          <w:tab w:val="left" w:pos="10272"/>
        </w:tabs>
        <w:spacing w:line="379" w:lineRule="auto"/>
        <w:ind w:left="106" w:right="0" w:firstLine="384"/>
        <w:rPr>
          <w:rFonts w:hint="eastAsia" w:ascii="仿宋" w:hAnsi="仿宋" w:eastAsia="仿宋" w:cs="仿宋"/>
          <w:color w:val="auto"/>
          <w:highlight w:val="none"/>
        </w:rPr>
      </w:pPr>
      <w:r>
        <w:rPr>
          <w:rFonts w:hint="eastAsia" w:ascii="仿宋" w:hAnsi="仿宋" w:eastAsia="仿宋" w:cs="仿宋"/>
          <w:color w:val="auto"/>
          <w:spacing w:val="-3"/>
          <w:w w:val="128"/>
          <w:highlight w:val="none"/>
        </w:rPr>
        <w:t>2</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行业；制造商为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w:t>
      </w:r>
      <w:r>
        <w:rPr>
          <w:rFonts w:hint="eastAsia" w:ascii="仿宋" w:hAnsi="仿宋" w:eastAsia="仿宋" w:cs="仿宋"/>
          <w:color w:val="auto"/>
          <w:spacing w:val="-18"/>
          <w:w w:val="101"/>
          <w:highlight w:val="none"/>
        </w:rPr>
        <w:t>，</w:t>
      </w:r>
      <w:r>
        <w:rPr>
          <w:rFonts w:hint="eastAsia" w:ascii="仿宋" w:hAnsi="仿宋" w:eastAsia="仿宋" w:cs="仿宋"/>
          <w:color w:val="auto"/>
          <w:w w:val="101"/>
          <w:highlight w:val="none"/>
        </w:rPr>
        <w:t>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（中型企业、小型企业、微型企业）</w:t>
      </w:r>
      <w:r>
        <w:rPr>
          <w:rFonts w:hint="eastAsia" w:ascii="仿宋" w:hAnsi="仿宋" w:eastAsia="仿宋" w:cs="仿宋"/>
          <w:color w:val="auto"/>
          <w:w w:val="101"/>
          <w:highlight w:val="none"/>
        </w:rPr>
        <w:t>；</w:t>
      </w:r>
    </w:p>
    <w:p>
      <w:pPr>
        <w:pStyle w:val="2"/>
        <w:spacing w:line="242" w:lineRule="exact"/>
        <w:ind w:left="490"/>
        <w:rPr>
          <w:rFonts w:hint="eastAsia" w:ascii="仿宋" w:hAnsi="仿宋" w:eastAsia="仿宋" w:cs="仿宋"/>
          <w:color w:val="auto"/>
          <w:highlight w:val="none"/>
        </w:rPr>
      </w:pPr>
      <w:r>
        <w:rPr>
          <w:rFonts w:hint="eastAsia" w:ascii="仿宋" w:hAnsi="仿宋" w:eastAsia="仿宋" w:cs="仿宋"/>
          <w:color w:val="auto"/>
          <w:highlight w:val="none"/>
        </w:rPr>
        <w:t>……</w:t>
      </w:r>
    </w:p>
    <w:p>
      <w:pPr>
        <w:pStyle w:val="2"/>
        <w:spacing w:before="138"/>
        <w:ind w:left="49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ind w:firstLine="420" w:firstLineChars="200"/>
        <w:rPr>
          <w:rFonts w:hint="default" w:eastAsia="仿宋"/>
          <w:color w:val="auto"/>
          <w:highlight w:val="none"/>
          <w:lang w:val="en-US" w:eastAsia="zh-CN"/>
        </w:rPr>
        <w:sectPr>
          <w:pgSz w:w="11900" w:h="16840"/>
          <w:pgMar w:top="740" w:right="840" w:bottom="280" w:left="560" w:header="0" w:footer="13" w:gutter="0"/>
          <w:pgNumType w:fmt="decimal"/>
          <w:cols w:space="720" w:num="1"/>
        </w:sectPr>
      </w:pPr>
      <w:r>
        <w:rPr>
          <w:rFonts w:hint="eastAsia" w:ascii="仿宋" w:hAnsi="仿宋" w:eastAsia="仿宋" w:cs="仿宋"/>
          <w:color w:val="auto"/>
          <w:highlight w:val="none"/>
          <w:lang w:val="en-US" w:eastAsia="zh-CN"/>
        </w:rPr>
        <w:t>本企业对上述声明内容的真实性负责，如有虚假，将依法承担相应责任。</w:t>
      </w:r>
    </w:p>
    <w:p>
      <w:pPr>
        <w:rPr>
          <w:rFonts w:hint="eastAsia" w:ascii="仿宋" w:hAnsi="仿宋" w:eastAsia="仿宋" w:cs="仿宋"/>
          <w:color w:val="auto"/>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2"/>
        <w:rPr>
          <w:rFonts w:hint="eastAsia"/>
          <w:color w:val="auto"/>
          <w:highlight w:val="none"/>
        </w:rPr>
      </w:pPr>
    </w:p>
    <w:p>
      <w:pPr>
        <w:pStyle w:val="2"/>
        <w:spacing w:before="141"/>
        <w:ind w:left="490"/>
        <w:rPr>
          <w:rFonts w:hint="eastAsia" w:ascii="仿宋" w:hAnsi="仿宋" w:eastAsia="仿宋" w:cs="仿宋"/>
          <w:color w:val="auto"/>
          <w:highlight w:val="none"/>
        </w:rPr>
      </w:pPr>
      <w:r>
        <w:rPr>
          <w:rFonts w:hint="eastAsia" w:ascii="仿宋" w:hAnsi="仿宋" w:eastAsia="仿宋" w:cs="仿宋"/>
          <w:color w:val="auto"/>
          <w:highlight w:val="none"/>
        </w:rPr>
        <w:t>1：从业人员、营业收入、资产总额填报上一年度数据，无上一年度数据的新成立企业可不填报</w:t>
      </w:r>
    </w:p>
    <w:p>
      <w:pPr>
        <w:pStyle w:val="2"/>
        <w:spacing w:before="141" w:line="379" w:lineRule="auto"/>
        <w:ind w:left="106" w:right="149" w:firstLine="384"/>
        <w:rPr>
          <w:rFonts w:hint="eastAsia" w:ascii="仿宋" w:hAnsi="仿宋" w:eastAsia="仿宋" w:cs="仿宋"/>
          <w:color w:val="auto"/>
          <w:highlight w:val="none"/>
        </w:rPr>
      </w:pPr>
      <w:r>
        <w:rPr>
          <w:rFonts w:hint="eastAsia" w:ascii="仿宋" w:hAnsi="仿宋" w:eastAsia="仿宋" w:cs="仿宋"/>
          <w:color w:val="auto"/>
          <w:highlight w:val="none"/>
        </w:rPr>
        <w:t xml:space="preserve">2：投标人应当对其出具的《中小企业声明函》真实性负责，投标人出具的《中小企业声明函》内容不实的，属于提供虚 </w:t>
      </w:r>
      <w:r>
        <w:rPr>
          <w:rFonts w:hint="eastAsia" w:ascii="仿宋" w:hAnsi="仿宋" w:eastAsia="仿宋" w:cs="仿宋"/>
          <w:color w:val="auto"/>
          <w:spacing w:val="-1"/>
          <w:highlight w:val="none"/>
        </w:rPr>
        <w:t>假材料谋取中标。在实际操作中，投标人希望获得中小企业扶持政策支持的，应从制造商处获得充分、准确的信息。对相关制</w:t>
      </w:r>
      <w:r>
        <w:rPr>
          <w:rFonts w:hint="eastAsia" w:ascii="仿宋" w:hAnsi="仿宋" w:eastAsia="仿宋" w:cs="仿宋"/>
          <w:color w:val="auto"/>
          <w:highlight w:val="none"/>
        </w:rPr>
        <w:t>造商信息了解不充分，或者不能确定相关信息真实、准确的，不建议出具《中小企业声明函》。</w:t>
      </w:r>
    </w:p>
    <w:p>
      <w:pPr>
        <w:pStyle w:val="30"/>
        <w:rPr>
          <w:rFonts w:hint="eastAsia" w:ascii="仿宋" w:hAnsi="仿宋" w:eastAsia="仿宋" w:cs="仿宋"/>
          <w:color w:val="auto"/>
          <w:highlight w:val="none"/>
        </w:rPr>
      </w:pPr>
    </w:p>
    <w:p>
      <w:pPr>
        <w:pStyle w:val="2"/>
        <w:spacing w:before="52"/>
        <w:ind w:left="490"/>
        <w:rPr>
          <w:rFonts w:hint="eastAsia" w:ascii="仿宋" w:hAnsi="仿宋" w:eastAsia="仿宋" w:cs="仿宋"/>
          <w:color w:val="auto"/>
          <w:highlight w:val="none"/>
        </w:rPr>
        <w:sectPr>
          <w:type w:val="continuous"/>
          <w:pgSz w:w="11900" w:h="16840"/>
          <w:pgMar w:top="580" w:right="520" w:bottom="280" w:left="560" w:header="0" w:footer="13" w:gutter="0"/>
          <w:pgNumType w:fmt="decimal"/>
          <w:cols w:space="720" w:num="1"/>
        </w:sectPr>
      </w:pPr>
      <w:r>
        <w:rPr>
          <w:rFonts w:hint="eastAsia" w:ascii="仿宋" w:hAnsi="仿宋" w:eastAsia="仿宋" w:cs="仿宋"/>
          <w:color w:val="auto"/>
          <w:highlight w:val="none"/>
        </w:rPr>
        <w:t>中小企业声明函（承建本项目工程为中小企业或者承接本项目服务为中小企业时提交本函，所属行业应符合采购文件中明</w:t>
      </w:r>
      <w:r>
        <w:rPr>
          <w:rFonts w:hint="eastAsia" w:ascii="仿宋" w:hAnsi="仿宋" w:eastAsia="仿宋" w:cs="仿宋"/>
          <w:color w:val="auto"/>
          <w:highlight w:val="none"/>
          <w:lang w:eastAsia="zh-CN"/>
        </w:rPr>
        <w:t>确的本项目所属行业）。</w:t>
      </w:r>
    </w:p>
    <w:p>
      <w:pPr>
        <w:pStyle w:val="30"/>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spacing w:before="1"/>
        <w:ind w:right="0"/>
        <w:jc w:val="left"/>
        <w:rPr>
          <w:rFonts w:hint="eastAsia" w:ascii="仿宋" w:hAnsi="仿宋" w:eastAsia="仿宋" w:cs="仿宋"/>
          <w:color w:val="auto"/>
          <w:highlight w:val="none"/>
        </w:rPr>
      </w:pPr>
    </w:p>
    <w:p>
      <w:pPr>
        <w:pStyle w:val="5"/>
        <w:spacing w:before="1"/>
        <w:ind w:left="106" w:right="0"/>
        <w:jc w:val="left"/>
        <w:rPr>
          <w:rFonts w:hint="eastAsia" w:ascii="仿宋" w:hAnsi="仿宋" w:eastAsia="仿宋" w:cs="仿宋"/>
          <w:color w:val="auto"/>
          <w:sz w:val="30"/>
          <w:szCs w:val="30"/>
          <w:highlight w:val="none"/>
        </w:rPr>
      </w:pPr>
    </w:p>
    <w:p>
      <w:pPr>
        <w:pStyle w:val="5"/>
        <w:spacing w:before="1"/>
        <w:ind w:left="106" w:right="0"/>
        <w:jc w:val="left"/>
        <w:rPr>
          <w:rFonts w:hint="eastAsia" w:ascii="仿宋" w:hAnsi="仿宋" w:eastAsia="仿宋" w:cs="仿宋"/>
          <w:color w:val="auto"/>
          <w:sz w:val="30"/>
          <w:szCs w:val="30"/>
          <w:highlight w:val="none"/>
        </w:rPr>
        <w:sectPr>
          <w:type w:val="continuous"/>
          <w:pgSz w:w="11900" w:h="16840"/>
          <w:pgMar w:top="1260" w:right="520" w:bottom="280" w:left="560" w:header="720" w:footer="720" w:gutter="0"/>
          <w:pgNumType w:fmt="decimal"/>
          <w:cols w:equalWidth="0" w:num="2">
            <w:col w:w="2067" w:space="1444"/>
            <w:col w:w="7309"/>
          </w:cols>
        </w:sectPr>
      </w:pPr>
      <w:bookmarkStart w:id="473" w:name="_Toc8220"/>
      <w:bookmarkStart w:id="474" w:name="_Toc13260"/>
      <w:bookmarkStart w:id="475" w:name="_Toc28029"/>
      <w:bookmarkStart w:id="476" w:name="_Toc23835"/>
      <w:bookmarkStart w:id="477" w:name="_Toc20091"/>
      <w:bookmarkStart w:id="478" w:name="_Toc8952"/>
      <w:bookmarkStart w:id="479" w:name="_Toc28010"/>
      <w:bookmarkStart w:id="480" w:name="_Toc6511"/>
      <w:bookmarkStart w:id="481" w:name="_Toc3032"/>
      <w:bookmarkStart w:id="482" w:name="_Toc23745"/>
      <w:bookmarkStart w:id="483" w:name="_Toc9893"/>
      <w:bookmarkStart w:id="484" w:name="_Toc29788"/>
      <w:bookmarkStart w:id="485" w:name="_Toc15399"/>
      <w:bookmarkStart w:id="486" w:name="_Toc23891"/>
      <w:bookmarkStart w:id="487" w:name="_Toc19661"/>
      <w:bookmarkStart w:id="488" w:name="_Toc25200"/>
      <w:r>
        <w:rPr>
          <w:rFonts w:hint="eastAsia" w:ascii="仿宋" w:hAnsi="仿宋" w:eastAsia="仿宋" w:cs="仿宋"/>
          <w:color w:val="auto"/>
          <w:sz w:val="30"/>
          <w:szCs w:val="30"/>
          <w:highlight w:val="none"/>
        </w:rPr>
        <w:t>中小企业声</w:t>
      </w:r>
      <w:r>
        <w:rPr>
          <w:rFonts w:hint="eastAsia" w:ascii="仿宋" w:hAnsi="仿宋" w:eastAsia="仿宋" w:cs="仿宋"/>
          <w:color w:val="auto"/>
          <w:sz w:val="30"/>
          <w:szCs w:val="30"/>
          <w:highlight w:val="none"/>
          <w:lang w:eastAsia="zh-CN"/>
        </w:rPr>
        <w:t>明函（工程和服务）</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pStyle w:val="2"/>
        <w:spacing w:before="162"/>
        <w:rPr>
          <w:rFonts w:hint="eastAsia" w:ascii="仿宋" w:hAnsi="仿宋" w:eastAsia="仿宋" w:cs="仿宋"/>
          <w:color w:val="auto"/>
          <w:highlight w:val="none"/>
        </w:rPr>
      </w:pPr>
      <w:r>
        <w:rPr>
          <w:rFonts w:hint="eastAsia" w:ascii="仿宋" w:hAnsi="仿宋" w:eastAsia="仿宋" w:cs="仿宋"/>
          <w:color w:val="auto"/>
          <w:spacing w:val="-1"/>
          <w:highlight w:val="none"/>
        </w:rPr>
        <w:t>本公司（联合体）郑重声明，根据《政府采购促进中小企业发展管理办法》</w:t>
      </w:r>
      <w:r>
        <w:rPr>
          <w:rFonts w:hint="eastAsia" w:ascii="仿宋" w:hAnsi="仿宋" w:eastAsia="仿宋" w:cs="仿宋"/>
          <w:color w:val="auto"/>
          <w:highlight w:val="none"/>
        </w:rPr>
        <w:t>（财库﹝2020﹞46</w:t>
      </w:r>
      <w:r>
        <w:rPr>
          <w:rFonts w:hint="eastAsia" w:ascii="仿宋" w:hAnsi="仿宋" w:eastAsia="仿宋" w:cs="仿宋"/>
          <w:color w:val="auto"/>
          <w:spacing w:val="8"/>
          <w:highlight w:val="none"/>
        </w:rPr>
        <w:t>号</w:t>
      </w:r>
      <w:r>
        <w:rPr>
          <w:rFonts w:hint="eastAsia" w:ascii="仿宋" w:hAnsi="仿宋" w:eastAsia="仿宋" w:cs="仿宋"/>
          <w:color w:val="auto"/>
          <w:highlight w:val="none"/>
        </w:rPr>
        <w:t>）的规定，本公司（联合体）参加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采购活动，工程的施工单位全部为符合政策要求的中小企业（</w:t>
      </w:r>
      <w:r>
        <w:rPr>
          <w:rFonts w:hint="eastAsia" w:ascii="仿宋" w:hAnsi="仿宋" w:eastAsia="仿宋" w:cs="仿宋"/>
          <w:color w:val="auto"/>
          <w:spacing w:val="-3"/>
          <w:highlight w:val="none"/>
        </w:rPr>
        <w:t>或者：服务全部由</w:t>
      </w:r>
      <w:r>
        <w:rPr>
          <w:rFonts w:hint="eastAsia" w:ascii="仿宋" w:hAnsi="仿宋" w:eastAsia="仿宋" w:cs="仿宋"/>
          <w:color w:val="auto"/>
          <w:highlight w:val="none"/>
        </w:rPr>
        <w:t>符合政策要求的中小企业承接）。相关企业（含联合体中的中小企业、签订分包意向协议的中小企业）的具体情况如下：</w:t>
      </w:r>
    </w:p>
    <w:p>
      <w:pPr>
        <w:pStyle w:val="2"/>
        <w:spacing w:line="242" w:lineRule="exact"/>
        <w:ind w:left="490"/>
        <w:rPr>
          <w:rFonts w:hint="eastAsia" w:ascii="仿宋" w:hAnsi="仿宋" w:eastAsia="仿宋" w:cs="仿宋"/>
          <w:color w:val="auto"/>
          <w:highlight w:val="none"/>
        </w:rPr>
      </w:pPr>
      <w:r>
        <w:rPr>
          <w:rFonts w:hint="eastAsia" w:ascii="仿宋" w:hAnsi="仿宋" w:eastAsia="仿宋" w:cs="仿宋"/>
          <w:color w:val="auto"/>
          <w:spacing w:val="-3"/>
          <w:w w:val="128"/>
          <w:highlight w:val="none"/>
        </w:rPr>
        <w:t>1</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行业；承建（承接）企业为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p>
    <w:p>
      <w:pPr>
        <w:pStyle w:val="2"/>
        <w:tabs>
          <w:tab w:val="left" w:pos="1834"/>
          <w:tab w:val="left" w:pos="4907"/>
          <w:tab w:val="left" w:pos="8172"/>
        </w:tabs>
        <w:spacing w:before="141" w:line="379" w:lineRule="auto"/>
        <w:ind w:left="106" w:right="305"/>
        <w:rPr>
          <w:rFonts w:hint="eastAsia" w:ascii="仿宋" w:hAnsi="仿宋" w:eastAsia="仿宋" w:cs="仿宋"/>
          <w:color w:val="auto"/>
          <w:highlight w:val="none"/>
        </w:rPr>
      </w:pP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w:t>
      </w:r>
      <w:r>
        <w:rPr>
          <w:rFonts w:hint="eastAsia" w:ascii="仿宋" w:hAnsi="仿宋" w:eastAsia="仿宋" w:cs="仿宋"/>
          <w:color w:val="auto"/>
          <w:spacing w:val="-17"/>
          <w:w w:val="101"/>
          <w:highlight w:val="none"/>
          <w:u w:val="single"/>
        </w:rPr>
        <w:t>小</w:t>
      </w:r>
      <w:r>
        <w:rPr>
          <w:rFonts w:hint="eastAsia" w:ascii="仿宋" w:hAnsi="仿宋" w:eastAsia="仿宋" w:cs="仿宋"/>
          <w:color w:val="auto"/>
          <w:spacing w:val="-173"/>
          <w:w w:val="101"/>
          <w:highlight w:val="none"/>
          <w:u w:val="single"/>
        </w:rPr>
        <w:t>型</w:t>
      </w:r>
      <w:r>
        <w:rPr>
          <w:rFonts w:hint="eastAsia" w:ascii="仿宋" w:hAnsi="仿宋" w:eastAsia="仿宋" w:cs="仿宋"/>
          <w:color w:val="auto"/>
          <w:highlight w:val="none"/>
          <w:u w:val="single"/>
        </w:rPr>
        <w:t>企业、微型企业）</w:t>
      </w:r>
      <w:r>
        <w:rPr>
          <w:rFonts w:hint="eastAsia" w:ascii="仿宋" w:hAnsi="仿宋" w:eastAsia="仿宋" w:cs="仿宋"/>
          <w:color w:val="auto"/>
          <w:highlight w:val="none"/>
        </w:rPr>
        <w:t>；</w:t>
      </w:r>
    </w:p>
    <w:p>
      <w:pPr>
        <w:pStyle w:val="2"/>
        <w:spacing w:line="242" w:lineRule="exact"/>
        <w:ind w:left="490"/>
        <w:rPr>
          <w:rFonts w:hint="eastAsia" w:ascii="仿宋" w:hAnsi="仿宋" w:eastAsia="仿宋" w:cs="仿宋"/>
          <w:color w:val="auto"/>
          <w:highlight w:val="none"/>
        </w:rPr>
      </w:pPr>
      <w:r>
        <w:rPr>
          <w:rFonts w:hint="eastAsia" w:ascii="仿宋" w:hAnsi="仿宋" w:eastAsia="仿宋" w:cs="仿宋"/>
          <w:color w:val="auto"/>
          <w:spacing w:val="-3"/>
          <w:w w:val="128"/>
          <w:highlight w:val="none"/>
        </w:rPr>
        <w:t>2</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行业；承建（承接）企业为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p>
    <w:p>
      <w:pPr>
        <w:pStyle w:val="2"/>
        <w:tabs>
          <w:tab w:val="left" w:pos="1834"/>
          <w:tab w:val="left" w:pos="4907"/>
          <w:tab w:val="left" w:pos="8172"/>
        </w:tabs>
        <w:spacing w:before="140" w:line="379" w:lineRule="auto"/>
        <w:ind w:left="106" w:right="305"/>
        <w:rPr>
          <w:rFonts w:hint="eastAsia" w:ascii="仿宋" w:hAnsi="仿宋" w:eastAsia="仿宋" w:cs="仿宋"/>
          <w:color w:val="auto"/>
          <w:highlight w:val="none"/>
        </w:rPr>
      </w:pP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w:t>
      </w:r>
      <w:r>
        <w:rPr>
          <w:rFonts w:hint="eastAsia" w:ascii="仿宋" w:hAnsi="仿宋" w:eastAsia="仿宋" w:cs="仿宋"/>
          <w:color w:val="auto"/>
          <w:spacing w:val="-17"/>
          <w:w w:val="101"/>
          <w:highlight w:val="none"/>
          <w:u w:val="single"/>
        </w:rPr>
        <w:t>小</w:t>
      </w:r>
      <w:r>
        <w:rPr>
          <w:rFonts w:hint="eastAsia" w:ascii="仿宋" w:hAnsi="仿宋" w:eastAsia="仿宋" w:cs="仿宋"/>
          <w:color w:val="auto"/>
          <w:spacing w:val="-173"/>
          <w:w w:val="101"/>
          <w:highlight w:val="none"/>
          <w:u w:val="single"/>
        </w:rPr>
        <w:t>型</w:t>
      </w:r>
      <w:r>
        <w:rPr>
          <w:rFonts w:hint="eastAsia" w:ascii="仿宋" w:hAnsi="仿宋" w:eastAsia="仿宋" w:cs="仿宋"/>
          <w:color w:val="auto"/>
          <w:highlight w:val="none"/>
          <w:u w:val="single"/>
        </w:rPr>
        <w:t>企业、微型企业）</w:t>
      </w:r>
      <w:r>
        <w:rPr>
          <w:rFonts w:hint="eastAsia" w:ascii="仿宋" w:hAnsi="仿宋" w:eastAsia="仿宋" w:cs="仿宋"/>
          <w:color w:val="auto"/>
          <w:highlight w:val="none"/>
        </w:rPr>
        <w:t>；</w:t>
      </w:r>
    </w:p>
    <w:p>
      <w:pPr>
        <w:pStyle w:val="2"/>
        <w:spacing w:line="242" w:lineRule="exact"/>
        <w:ind w:left="490"/>
        <w:rPr>
          <w:rFonts w:hint="eastAsia" w:ascii="仿宋" w:hAnsi="仿宋" w:eastAsia="仿宋" w:cs="仿宋"/>
          <w:color w:val="auto"/>
          <w:highlight w:val="none"/>
        </w:rPr>
      </w:pPr>
      <w:r>
        <w:rPr>
          <w:rFonts w:hint="eastAsia" w:ascii="仿宋" w:hAnsi="仿宋" w:eastAsia="仿宋" w:cs="仿宋"/>
          <w:color w:val="auto"/>
          <w:highlight w:val="none"/>
        </w:rPr>
        <w:t>……</w:t>
      </w:r>
    </w:p>
    <w:p>
      <w:pPr>
        <w:pStyle w:val="2"/>
        <w:spacing w:before="141"/>
        <w:ind w:left="49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spacing w:after="0"/>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ind w:firstLine="420" w:firstLineChars="200"/>
        <w:rPr>
          <w:rFonts w:hint="default" w:eastAsia="仿宋"/>
          <w:color w:val="auto"/>
          <w:highlight w:val="none"/>
          <w:lang w:val="en-US" w:eastAsia="zh-CN"/>
        </w:rPr>
        <w:sectPr>
          <w:type w:val="continuous"/>
          <w:pgSz w:w="11900" w:h="16840"/>
          <w:pgMar w:top="740" w:right="840" w:bottom="280" w:left="980" w:header="0" w:footer="13" w:gutter="0"/>
          <w:pgNumType w:fmt="decimal"/>
          <w:cols w:space="720" w:num="1"/>
        </w:sectPr>
      </w:pPr>
      <w:r>
        <w:rPr>
          <w:rFonts w:hint="eastAsia" w:ascii="仿宋" w:hAnsi="仿宋" w:eastAsia="仿宋" w:cs="仿宋"/>
          <w:color w:val="auto"/>
          <w:highlight w:val="none"/>
          <w:lang w:val="en-US" w:eastAsia="zh-CN"/>
        </w:rPr>
        <w:t>本企业对上述声明内容的真实性负责，如有虚假，将依法承担相应责任。</w:t>
      </w:r>
    </w:p>
    <w:p>
      <w:pPr>
        <w:rPr>
          <w:rFonts w:hint="eastAsia" w:ascii="仿宋" w:hAnsi="仿宋" w:eastAsia="仿宋" w:cs="仿宋"/>
          <w:color w:val="auto"/>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rPr>
          <w:rFonts w:hint="eastAsia"/>
          <w:color w:val="auto"/>
          <w:highlight w:val="none"/>
        </w:rPr>
      </w:pPr>
    </w:p>
    <w:p>
      <w:pPr>
        <w:pStyle w:val="2"/>
        <w:rPr>
          <w:rFonts w:hint="eastAsia"/>
          <w:color w:val="auto"/>
          <w:highlight w:val="none"/>
        </w:rPr>
        <w:sectPr>
          <w:type w:val="continuous"/>
          <w:pgSz w:w="11900" w:h="16840"/>
          <w:pgMar w:top="1260" w:right="520" w:bottom="280" w:left="560" w:header="720" w:footer="720" w:gutter="0"/>
          <w:pgNumType w:fmt="decimal"/>
          <w:cols w:space="720" w:num="1"/>
        </w:sectPr>
      </w:pPr>
    </w:p>
    <w:p>
      <w:pPr>
        <w:spacing w:after="0"/>
        <w:jc w:val="right"/>
        <w:rPr>
          <w:rFonts w:hint="eastAsia" w:ascii="仿宋" w:hAnsi="仿宋" w:eastAsia="仿宋" w:cs="仿宋"/>
          <w:color w:val="auto"/>
          <w:highlight w:val="none"/>
        </w:rPr>
        <w:sectPr>
          <w:type w:val="continuous"/>
          <w:pgSz w:w="11900" w:h="16840"/>
          <w:pgMar w:top="1260" w:right="520" w:bottom="280" w:left="560" w:header="720" w:footer="720" w:gutter="0"/>
          <w:pgNumType w:fmt="decimal"/>
          <w:cols w:equalWidth="0" w:num="2">
            <w:col w:w="6676" w:space="46"/>
            <w:col w:w="4098"/>
          </w:cols>
        </w:sectPr>
      </w:pPr>
    </w:p>
    <w:p>
      <w:pPr>
        <w:pStyle w:val="2"/>
        <w:spacing w:before="141"/>
        <w:ind w:left="490"/>
        <w:rPr>
          <w:rFonts w:hint="eastAsia" w:ascii="仿宋" w:hAnsi="仿宋" w:eastAsia="仿宋" w:cs="仿宋"/>
          <w:color w:val="auto"/>
          <w:highlight w:val="none"/>
        </w:rPr>
      </w:pPr>
      <w:r>
        <w:rPr>
          <w:rFonts w:hint="eastAsia" w:ascii="仿宋" w:hAnsi="仿宋" w:eastAsia="仿宋" w:cs="仿宋"/>
          <w:color w:val="auto"/>
          <w:highlight w:val="none"/>
        </w:rPr>
        <w:t>1：从业人员、营业收入、资产总额填报上一年度数据，无上一年度数据的新成立企业可不填报。</w:t>
      </w:r>
    </w:p>
    <w:p>
      <w:pPr>
        <w:pStyle w:val="2"/>
        <w:spacing w:before="140"/>
        <w:ind w:left="490"/>
        <w:rPr>
          <w:rFonts w:hint="eastAsia" w:ascii="仿宋" w:hAnsi="仿宋" w:eastAsia="仿宋" w:cs="仿宋"/>
          <w:color w:val="auto"/>
          <w:highlight w:val="none"/>
        </w:rPr>
      </w:pPr>
      <w:r>
        <w:rPr>
          <w:rFonts w:hint="eastAsia" w:ascii="仿宋" w:hAnsi="仿宋" w:eastAsia="仿宋" w:cs="仿宋"/>
          <w:color w:val="auto"/>
          <w:highlight w:val="none"/>
        </w:rPr>
        <w:t>2：投标人应当自行核实是否属于小微企业，并认真填写声明函，若有虚假将追究其责任。</w:t>
      </w:r>
    </w:p>
    <w:p>
      <w:pPr>
        <w:spacing w:after="0"/>
        <w:rPr>
          <w:rFonts w:hint="eastAsia" w:ascii="仿宋" w:hAnsi="仿宋" w:eastAsia="仿宋" w:cs="仿宋"/>
          <w:color w:val="auto"/>
          <w:highlight w:val="none"/>
        </w:rPr>
        <w:sectPr>
          <w:type w:val="continuous"/>
          <w:pgSz w:w="11900" w:h="16840"/>
          <w:pgMar w:top="1260" w:right="520" w:bottom="280" w:left="560" w:header="720" w:footer="720" w:gutter="0"/>
          <w:pgNumType w:fmt="decimal"/>
          <w:cols w:space="720" w:num="1"/>
        </w:sectPr>
      </w:pPr>
    </w:p>
    <w:p>
      <w:pPr>
        <w:rPr>
          <w:rFonts w:hint="eastAsia" w:ascii="仿宋" w:hAnsi="仿宋" w:eastAsia="仿宋" w:cs="仿宋"/>
          <w:color w:val="auto"/>
          <w:highlight w:val="none"/>
        </w:rPr>
      </w:pPr>
    </w:p>
    <w:p>
      <w:pPr>
        <w:spacing w:after="0" w:line="379" w:lineRule="auto"/>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spacing w:before="114"/>
        <w:ind w:left="0"/>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val="en-US" w:eastAsia="zh-CN"/>
        </w:rPr>
        <w:t>2.9</w:t>
      </w:r>
      <w:r>
        <w:rPr>
          <w:rFonts w:hint="eastAsia" w:ascii="仿宋" w:hAnsi="仿宋" w:eastAsia="仿宋" w:cs="仿宋"/>
          <w:b/>
          <w:bCs w:val="0"/>
          <w:color w:val="auto"/>
          <w:sz w:val="28"/>
          <w:szCs w:val="28"/>
          <w:highlight w:val="none"/>
        </w:rPr>
        <w:t>（以下格式文件由供应商根据需要选用）</w:t>
      </w:r>
    </w:p>
    <w:p>
      <w:pPr>
        <w:pStyle w:val="2"/>
        <w:spacing w:before="114"/>
        <w:ind w:left="490" w:firstLine="4160" w:firstLineChars="1300"/>
        <w:rPr>
          <w:color w:val="auto"/>
          <w:sz w:val="32"/>
          <w:szCs w:val="32"/>
          <w:highlight w:val="none"/>
        </w:rPr>
      </w:pPr>
      <w:r>
        <w:rPr>
          <w:color w:val="auto"/>
          <w:sz w:val="32"/>
          <w:szCs w:val="32"/>
          <w:highlight w:val="none"/>
        </w:rPr>
        <w:t>监狱企业</w:t>
      </w:r>
    </w:p>
    <w:p>
      <w:pPr>
        <w:pStyle w:val="2"/>
        <w:spacing w:before="8"/>
        <w:rPr>
          <w:rFonts w:hint="eastAsia" w:ascii="仿宋" w:hAnsi="仿宋" w:eastAsia="仿宋" w:cs="仿宋"/>
          <w:b/>
          <w:color w:val="auto"/>
          <w:sz w:val="24"/>
          <w:szCs w:val="24"/>
          <w:highlight w:val="none"/>
        </w:rPr>
      </w:pPr>
    </w:p>
    <w:p>
      <w:pPr>
        <w:pStyle w:val="2"/>
        <w:spacing w:before="1"/>
        <w:ind w:left="4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提供由监狱管理局、戒毒管理局（含新疆生产建设兵团）出具的属于监狱企业的证明文件。</w:t>
      </w:r>
    </w:p>
    <w:p>
      <w:pPr>
        <w:spacing w:after="0"/>
        <w:rPr>
          <w:rFonts w:hint="eastAsia" w:ascii="仿宋" w:hAnsi="仿宋" w:eastAsia="仿宋" w:cs="仿宋"/>
          <w:color w:val="auto"/>
          <w:sz w:val="24"/>
          <w:szCs w:val="24"/>
          <w:highlight w:val="none"/>
        </w:rPr>
      </w:pPr>
    </w:p>
    <w:p>
      <w:pPr>
        <w:pStyle w:val="2"/>
        <w:spacing w:before="114"/>
        <w:ind w:left="490"/>
        <w:rPr>
          <w:rFonts w:hint="eastAsia"/>
          <w:color w:val="auto"/>
          <w:highlight w:val="none"/>
          <w:lang w:val="en-US" w:eastAsia="zh-CN"/>
        </w:rPr>
      </w:pPr>
    </w:p>
    <w:p>
      <w:pPr>
        <w:pStyle w:val="2"/>
        <w:spacing w:before="114"/>
        <w:ind w:left="490"/>
        <w:rPr>
          <w:rFonts w:hint="eastAsia"/>
          <w:color w:val="auto"/>
          <w:highlight w:val="none"/>
          <w:lang w:val="en-US" w:eastAsia="zh-CN"/>
        </w:rPr>
      </w:pPr>
    </w:p>
    <w:p>
      <w:pPr>
        <w:pStyle w:val="2"/>
        <w:spacing w:before="114"/>
        <w:ind w:left="490"/>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pStyle w:val="2"/>
        <w:spacing w:before="114"/>
        <w:ind w:left="490"/>
        <w:rPr>
          <w:rFonts w:hint="eastAsia" w:ascii="仿宋" w:hAnsi="仿宋" w:eastAsia="仿宋" w:cs="仿宋"/>
          <w:b/>
          <w:bCs w:val="0"/>
          <w:color w:val="auto"/>
          <w:sz w:val="28"/>
          <w:szCs w:val="28"/>
          <w:highlight w:val="none"/>
          <w:lang w:val="en-US" w:eastAsia="zh-CN"/>
        </w:rPr>
      </w:pPr>
    </w:p>
    <w:p>
      <w:pPr>
        <w:pStyle w:val="2"/>
        <w:spacing w:before="114"/>
        <w:ind w:left="490"/>
        <w:rPr>
          <w:rFonts w:hint="eastAsia" w:ascii="仿宋" w:hAnsi="仿宋" w:eastAsia="仿宋" w:cs="仿宋"/>
          <w:b/>
          <w:bCs w:val="0"/>
          <w:color w:val="auto"/>
          <w:sz w:val="28"/>
          <w:szCs w:val="28"/>
          <w:highlight w:val="none"/>
          <w:lang w:val="en-US" w:eastAsia="zh-CN"/>
        </w:rPr>
      </w:pPr>
    </w:p>
    <w:p>
      <w:pPr>
        <w:pStyle w:val="2"/>
        <w:spacing w:before="114"/>
        <w:ind w:left="490"/>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val="en-US" w:eastAsia="zh-CN"/>
        </w:rPr>
        <w:t xml:space="preserve">2.10  </w:t>
      </w:r>
      <w:r>
        <w:rPr>
          <w:rFonts w:hint="eastAsia" w:ascii="仿宋" w:hAnsi="仿宋" w:eastAsia="仿宋" w:cs="仿宋"/>
          <w:b/>
          <w:bCs w:val="0"/>
          <w:color w:val="auto"/>
          <w:sz w:val="28"/>
          <w:szCs w:val="28"/>
          <w:highlight w:val="none"/>
        </w:rPr>
        <w:t>（以下格式文件由供应商根据需要选用）</w:t>
      </w:r>
    </w:p>
    <w:p>
      <w:pPr>
        <w:pStyle w:val="2"/>
        <w:spacing w:before="8"/>
        <w:rPr>
          <w:color w:val="auto"/>
          <w:sz w:val="13"/>
          <w:highlight w:val="none"/>
        </w:rPr>
      </w:pPr>
    </w:p>
    <w:p>
      <w:pPr>
        <w:pStyle w:val="5"/>
        <w:ind w:firstLine="0" w:firstLineChars="0"/>
        <w:jc w:val="center"/>
        <w:rPr>
          <w:color w:val="auto"/>
          <w:sz w:val="28"/>
          <w:szCs w:val="28"/>
          <w:highlight w:val="none"/>
        </w:rPr>
      </w:pPr>
      <w:bookmarkStart w:id="489" w:name="_Toc10665"/>
      <w:bookmarkStart w:id="490" w:name="_Toc30446"/>
      <w:bookmarkStart w:id="491" w:name="_Toc8695"/>
      <w:bookmarkStart w:id="492" w:name="_Toc1840"/>
      <w:bookmarkStart w:id="493" w:name="_Toc27921"/>
      <w:bookmarkStart w:id="494" w:name="_Toc3631"/>
      <w:bookmarkStart w:id="495" w:name="_Toc884"/>
      <w:bookmarkStart w:id="496" w:name="_Toc21719"/>
      <w:bookmarkStart w:id="497" w:name="_Toc736"/>
      <w:bookmarkStart w:id="498" w:name="_Toc10312"/>
      <w:bookmarkStart w:id="499" w:name="_Toc16614"/>
      <w:bookmarkStart w:id="500" w:name="_Toc8554"/>
      <w:bookmarkStart w:id="501" w:name="_Toc14486"/>
      <w:bookmarkStart w:id="502" w:name="_Toc26361"/>
      <w:bookmarkStart w:id="503" w:name="_Toc27285"/>
      <w:bookmarkStart w:id="504" w:name="_Toc22895"/>
      <w:r>
        <w:rPr>
          <w:color w:val="auto"/>
          <w:sz w:val="28"/>
          <w:szCs w:val="28"/>
          <w:highlight w:val="none"/>
        </w:rPr>
        <w:t>残疾人福利性单位声明函</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Style w:val="2"/>
        <w:tabs>
          <w:tab w:val="left" w:pos="6803"/>
          <w:tab w:val="left" w:pos="7956"/>
        </w:tabs>
        <w:spacing w:before="1" w:line="379" w:lineRule="auto"/>
        <w:ind w:right="173" w:firstLine="720" w:firstLineChars="300"/>
        <w:rPr>
          <w:rFonts w:hint="eastAsia" w:ascii="仿宋" w:hAnsi="仿宋" w:eastAsia="仿宋" w:cs="仿宋"/>
          <w:color w:val="auto"/>
          <w:w w:val="110"/>
          <w:sz w:val="24"/>
          <w:szCs w:val="24"/>
          <w:highlight w:val="none"/>
        </w:rPr>
      </w:pPr>
      <w:r>
        <w:rPr>
          <w:rFonts w:hint="eastAsia" w:ascii="仿宋" w:hAnsi="仿宋" w:eastAsia="仿宋" w:cs="仿宋"/>
          <w:color w:val="auto"/>
          <w:sz w:val="24"/>
          <w:szCs w:val="24"/>
          <w:highlight w:val="none"/>
        </w:rPr>
        <w:t>本单位郑重声明，根据《财政部</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z w:val="24"/>
          <w:szCs w:val="24"/>
          <w:highlight w:val="none"/>
        </w:rPr>
        <w:t>民政部</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z w:val="24"/>
          <w:szCs w:val="24"/>
          <w:highlight w:val="none"/>
        </w:rPr>
        <w:t>中国残疾人联合会关于促进残疾人就业政府采购政策的通知》（财库〔</w:t>
      </w:r>
      <w:r>
        <w:rPr>
          <w:rFonts w:hint="eastAsia" w:ascii="仿宋" w:hAnsi="仿宋" w:eastAsia="仿宋" w:cs="仿宋"/>
          <w:color w:val="auto"/>
          <w:spacing w:val="-3"/>
          <w:sz w:val="24"/>
          <w:szCs w:val="24"/>
          <w:highlight w:val="none"/>
        </w:rPr>
        <w:t>2017</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141</w:t>
      </w:r>
      <w:r>
        <w:rPr>
          <w:rFonts w:hint="eastAsia" w:ascii="仿宋" w:hAnsi="仿宋" w:eastAsia="仿宋" w:cs="仿宋"/>
          <w:color w:val="auto"/>
          <w:sz w:val="24"/>
          <w:szCs w:val="24"/>
          <w:highlight w:val="none"/>
        </w:rPr>
        <w:t>号）的规定，本单位为符合条件的残疾人福利性单位，且本单位参加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110"/>
          <w:sz w:val="24"/>
          <w:szCs w:val="24"/>
          <w:highlight w:val="none"/>
        </w:rPr>
        <w:t>单位的</w:t>
      </w:r>
      <w:r>
        <w:rPr>
          <w:rFonts w:hint="eastAsia" w:ascii="仿宋" w:hAnsi="仿宋" w:eastAsia="仿宋" w:cs="仿宋"/>
          <w:color w:val="auto"/>
          <w:w w:val="110"/>
          <w:sz w:val="24"/>
          <w:szCs w:val="24"/>
          <w:highlight w:val="none"/>
          <w:u w:val="single"/>
        </w:rPr>
        <w:t xml:space="preserve"> </w:t>
      </w:r>
      <w:r>
        <w:rPr>
          <w:rFonts w:hint="eastAsia" w:ascii="仿宋" w:hAnsi="仿宋" w:eastAsia="仿宋" w:cs="仿宋"/>
          <w:color w:val="auto"/>
          <w:w w:val="110"/>
          <w:sz w:val="24"/>
          <w:szCs w:val="24"/>
          <w:highlight w:val="none"/>
          <w:u w:val="single"/>
        </w:rPr>
        <w:tab/>
      </w:r>
      <w:r>
        <w:rPr>
          <w:rFonts w:hint="eastAsia" w:ascii="仿宋" w:hAnsi="仿宋" w:eastAsia="仿宋" w:cs="仿宋"/>
          <w:color w:val="auto"/>
          <w:sz w:val="24"/>
          <w:szCs w:val="24"/>
          <w:highlight w:val="none"/>
        </w:rPr>
        <w:t>项目采购活动提供本单位制造</w:t>
      </w:r>
      <w:r>
        <w:rPr>
          <w:rFonts w:hint="eastAsia" w:ascii="仿宋" w:hAnsi="仿宋" w:eastAsia="仿宋" w:cs="仿宋"/>
          <w:color w:val="auto"/>
          <w:spacing w:val="-18"/>
          <w:sz w:val="24"/>
          <w:szCs w:val="24"/>
          <w:highlight w:val="none"/>
        </w:rPr>
        <w:t>的</w:t>
      </w:r>
      <w:r>
        <w:rPr>
          <w:rFonts w:hint="eastAsia" w:ascii="仿宋" w:hAnsi="仿宋" w:eastAsia="仿宋" w:cs="仿宋"/>
          <w:color w:val="auto"/>
          <w:sz w:val="24"/>
          <w:szCs w:val="24"/>
          <w:highlight w:val="none"/>
        </w:rPr>
        <w:t>货物（由本单位承担工程</w:t>
      </w:r>
      <w:r>
        <w:rPr>
          <w:rFonts w:hint="eastAsia" w:ascii="仿宋" w:hAnsi="仿宋" w:eastAsia="仿宋" w:cs="仿宋"/>
          <w:color w:val="auto"/>
          <w:spacing w:val="-5"/>
          <w:sz w:val="24"/>
          <w:szCs w:val="24"/>
          <w:highlight w:val="none"/>
        </w:rPr>
        <w:t>/</w:t>
      </w:r>
      <w:r>
        <w:rPr>
          <w:rFonts w:hint="eastAsia" w:ascii="仿宋" w:hAnsi="仿宋" w:eastAsia="仿宋" w:cs="仿宋"/>
          <w:color w:val="auto"/>
          <w:sz w:val="24"/>
          <w:szCs w:val="24"/>
          <w:highlight w:val="none"/>
        </w:rPr>
        <w:t>提供服务），或者提供其他残疾人福利性单位制造的货物（不包括使用非残疾人福利性单位注册商</w:t>
      </w:r>
      <w:r>
        <w:rPr>
          <w:rFonts w:hint="eastAsia" w:ascii="仿宋" w:hAnsi="仿宋" w:eastAsia="仿宋" w:cs="仿宋"/>
          <w:color w:val="auto"/>
          <w:w w:val="110"/>
          <w:sz w:val="24"/>
          <w:szCs w:val="24"/>
          <w:highlight w:val="none"/>
        </w:rPr>
        <w:t>标的货物）。</w:t>
      </w:r>
    </w:p>
    <w:p>
      <w:pPr>
        <w:rPr>
          <w:rFonts w:hint="eastAsia" w:ascii="仿宋" w:hAnsi="仿宋" w:eastAsia="仿宋" w:cs="仿宋"/>
          <w:color w:val="auto"/>
          <w:w w:val="110"/>
          <w:sz w:val="24"/>
          <w:szCs w:val="24"/>
          <w:highlight w:val="none"/>
        </w:rPr>
      </w:pPr>
    </w:p>
    <w:p>
      <w:pPr>
        <w:ind w:firstLine="420" w:firstLineChars="200"/>
        <w:rPr>
          <w:rFonts w:hint="default" w:eastAsia="仿宋"/>
          <w:color w:val="auto"/>
          <w:highlight w:val="none"/>
          <w:lang w:val="en-US" w:eastAsia="zh-CN"/>
        </w:rPr>
        <w:sectPr>
          <w:type w:val="continuous"/>
          <w:pgSz w:w="11900" w:h="16840"/>
          <w:pgMar w:top="740" w:right="1040" w:bottom="280" w:left="1200" w:header="0" w:footer="13" w:gutter="0"/>
          <w:pgNumType w:fmt="decimal"/>
          <w:cols w:space="720" w:num="1"/>
        </w:sectPr>
      </w:pPr>
      <w:r>
        <w:rPr>
          <w:rFonts w:hint="eastAsia" w:ascii="仿宋" w:hAnsi="仿宋" w:eastAsia="仿宋" w:cs="仿宋"/>
          <w:color w:val="auto"/>
          <w:highlight w:val="none"/>
          <w:lang w:val="en-US" w:eastAsia="zh-CN"/>
        </w:rPr>
        <w:t>本单位对上述声明内容的真实性负责，如有虚假，将依法承担相应责任。</w:t>
      </w:r>
    </w:p>
    <w:p>
      <w:pPr>
        <w:rPr>
          <w:rFonts w:hint="eastAsia" w:ascii="仿宋" w:hAnsi="仿宋" w:eastAsia="仿宋" w:cs="仿宋"/>
          <w:color w:val="auto"/>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2"/>
        <w:rPr>
          <w:rFonts w:hint="eastAsia" w:ascii="仿宋" w:hAnsi="仿宋" w:eastAsia="仿宋" w:cs="仿宋"/>
          <w:color w:val="auto"/>
          <w:w w:val="110"/>
          <w:sz w:val="24"/>
          <w:szCs w:val="24"/>
          <w:highlight w:val="none"/>
        </w:rPr>
      </w:pPr>
    </w:p>
    <w:p>
      <w:pPr>
        <w:rPr>
          <w:rFonts w:hint="eastAsia" w:ascii="仿宋" w:hAnsi="仿宋" w:eastAsia="仿宋" w:cs="仿宋"/>
          <w:color w:val="auto"/>
          <w:w w:val="110"/>
          <w:sz w:val="24"/>
          <w:szCs w:val="24"/>
          <w:highlight w:val="none"/>
        </w:rPr>
      </w:pPr>
    </w:p>
    <w:p>
      <w:pPr>
        <w:pStyle w:val="2"/>
        <w:tabs>
          <w:tab w:val="left" w:pos="6803"/>
          <w:tab w:val="left" w:pos="7956"/>
        </w:tabs>
        <w:spacing w:before="1"/>
        <w:ind w:right="173" w:firstLine="720" w:firstLineChars="300"/>
        <w:rPr>
          <w:rFonts w:hint="eastAsia" w:ascii="仿宋" w:hAnsi="仿宋" w:eastAsia="仿宋" w:cs="仿宋"/>
          <w:color w:val="auto"/>
          <w:sz w:val="24"/>
          <w:szCs w:val="24"/>
          <w:highlight w:val="none"/>
        </w:rPr>
        <w:sectPr>
          <w:type w:val="continuous"/>
          <w:pgSz w:w="11900" w:h="16840"/>
          <w:pgMar w:top="740" w:right="520" w:bottom="280" w:left="560" w:header="0" w:footer="13" w:gutter="0"/>
          <w:pgNumType w:fmt="decimal"/>
          <w:cols w:space="720" w:num="1"/>
        </w:sectPr>
      </w:pPr>
    </w:p>
    <w:p>
      <w:pPr>
        <w:spacing w:after="0"/>
        <w:jc w:val="right"/>
        <w:rPr>
          <w:rFonts w:hint="eastAsia" w:ascii="仿宋" w:hAnsi="仿宋" w:eastAsia="仿宋" w:cs="仿宋"/>
          <w:color w:val="auto"/>
          <w:sz w:val="24"/>
          <w:szCs w:val="24"/>
          <w:highlight w:val="none"/>
        </w:rPr>
        <w:sectPr>
          <w:type w:val="continuous"/>
          <w:pgSz w:w="11900" w:h="16840"/>
          <w:pgMar w:top="1260" w:right="520" w:bottom="280" w:left="560" w:header="720" w:footer="720" w:gutter="0"/>
          <w:pgNumType w:fmt="decimal"/>
          <w:cols w:equalWidth="0" w:num="2">
            <w:col w:w="6292" w:space="430"/>
            <w:col w:w="4098"/>
          </w:cols>
        </w:sectPr>
      </w:pPr>
    </w:p>
    <w:p>
      <w:pPr>
        <w:pStyle w:val="2"/>
        <w:spacing w:before="140"/>
        <w:ind w:left="4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注：本函未填写或未勾选视作未做声明。</w:t>
      </w:r>
    </w:p>
    <w:p>
      <w:pPr>
        <w:spacing w:after="0"/>
        <w:rPr>
          <w:rFonts w:hint="eastAsia" w:ascii="仿宋" w:hAnsi="仿宋" w:eastAsia="仿宋" w:cs="仿宋"/>
          <w:color w:val="auto"/>
          <w:sz w:val="24"/>
          <w:szCs w:val="24"/>
          <w:highlight w:val="none"/>
        </w:rPr>
        <w:sectPr>
          <w:type w:val="continuous"/>
          <w:pgSz w:w="11900" w:h="16840"/>
          <w:pgMar w:top="1260" w:right="520" w:bottom="280" w:left="560" w:header="720" w:footer="720" w:gutter="0"/>
          <w:pgNumType w:fmt="decimal"/>
          <w:cols w:space="720" w:num="1"/>
        </w:sect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color w:val="auto"/>
          <w:highlight w:val="none"/>
          <w:lang w:val="en-US" w:eastAsia="zh-CN"/>
        </w:rPr>
        <w:sectPr>
          <w:type w:val="continuous"/>
          <w:pgSz w:w="11900" w:h="16840"/>
          <w:pgMar w:top="740" w:right="520" w:bottom="280" w:left="560" w:header="0" w:footer="13" w:gutter="0"/>
          <w:pgNumType w:fmt="decimal"/>
          <w:cols w:space="720" w:num="1"/>
        </w:sectPr>
      </w:pPr>
    </w:p>
    <w:p>
      <w:pPr>
        <w:rPr>
          <w:rFonts w:hint="default" w:eastAsia="仿宋"/>
          <w:color w:val="auto"/>
          <w:highlight w:val="none"/>
          <w:lang w:val="en-US" w:eastAsia="zh-CN"/>
        </w:rPr>
        <w:sectPr>
          <w:type w:val="continuous"/>
          <w:pgSz w:w="11900" w:h="16840"/>
          <w:pgMar w:top="1260" w:right="520" w:bottom="280" w:left="560" w:header="720" w:footer="720" w:gutter="0"/>
          <w:pgNumType w:fmt="decimal"/>
          <w:cols w:space="720" w:num="1"/>
        </w:sectPr>
      </w:pPr>
    </w:p>
    <w:p>
      <w:pPr>
        <w:pStyle w:val="6"/>
        <w:keepLines w:val="0"/>
        <w:tabs>
          <w:tab w:val="left" w:pos="4320"/>
        </w:tabs>
        <w:spacing w:before="240" w:after="60" w:line="480" w:lineRule="exact"/>
        <w:jc w:val="center"/>
        <w:outlineLvl w:val="0"/>
        <w:rPr>
          <w:rFonts w:hint="eastAsia" w:ascii="仿宋" w:hAnsi="仿宋" w:eastAsia="仿宋" w:cs="仿宋"/>
          <w:b/>
          <w:color w:val="auto"/>
          <w:sz w:val="28"/>
          <w:szCs w:val="28"/>
          <w:highlight w:val="none"/>
        </w:rPr>
      </w:pPr>
      <w:bookmarkStart w:id="505" w:name="_Toc11016"/>
      <w:bookmarkStart w:id="506" w:name="_Toc17612"/>
      <w:bookmarkStart w:id="507" w:name="_Toc22589"/>
      <w:bookmarkStart w:id="508" w:name="_Toc20535"/>
      <w:bookmarkStart w:id="509" w:name="_Toc14367"/>
      <w:bookmarkStart w:id="510" w:name="_Toc25727"/>
      <w:bookmarkStart w:id="511" w:name="_Toc274896496"/>
      <w:bookmarkStart w:id="512" w:name="_Toc10933"/>
      <w:bookmarkStart w:id="513" w:name="_Toc9273"/>
      <w:bookmarkStart w:id="514" w:name="_Toc19372"/>
      <w:bookmarkStart w:id="515" w:name="_Toc8225"/>
      <w:bookmarkStart w:id="516" w:name="_Toc11540"/>
      <w:bookmarkStart w:id="517" w:name="_Toc2420"/>
      <w:bookmarkStart w:id="518" w:name="_Toc14356"/>
      <w:bookmarkStart w:id="519" w:name="_Toc274896630"/>
      <w:bookmarkStart w:id="520" w:name="_Toc14765"/>
      <w:bookmarkStart w:id="521" w:name="_Toc3905"/>
      <w:bookmarkStart w:id="522" w:name="_Toc14772"/>
      <w:bookmarkStart w:id="523" w:name="_Toc7835"/>
      <w:bookmarkStart w:id="524" w:name="_Toc19713"/>
      <w:r>
        <w:rPr>
          <w:rFonts w:hint="eastAsia" w:ascii="仿宋" w:hAnsi="仿宋" w:eastAsia="仿宋" w:cs="仿宋"/>
          <w:bCs w:val="0"/>
          <w:color w:val="auto"/>
          <w:highlight w:val="none"/>
        </w:rPr>
        <w:t>三、</w:t>
      </w:r>
      <w:r>
        <w:rPr>
          <w:rFonts w:hint="eastAsia" w:ascii="仿宋" w:hAnsi="仿宋" w:eastAsia="仿宋" w:cs="仿宋"/>
          <w:bCs w:val="0"/>
          <w:color w:val="auto"/>
          <w:highlight w:val="none"/>
          <w:lang w:val="en-US" w:eastAsia="zh-CN"/>
        </w:rPr>
        <w:t>技术</w:t>
      </w:r>
      <w:r>
        <w:rPr>
          <w:rFonts w:hint="eastAsia" w:ascii="仿宋" w:hAnsi="仿宋" w:eastAsia="仿宋" w:cs="仿宋"/>
          <w:bCs w:val="0"/>
          <w:color w:val="auto"/>
          <w:highlight w:val="none"/>
        </w:rPr>
        <w:t>商务部分</w:t>
      </w:r>
      <w:bookmarkEnd w:id="450"/>
      <w:bookmarkEnd w:id="451"/>
      <w:bookmarkEnd w:id="452"/>
      <w:bookmarkEnd w:id="453"/>
      <w:bookmarkEnd w:id="454"/>
      <w:bookmarkEnd w:id="455"/>
      <w:bookmarkEnd w:id="456"/>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tabs>
          <w:tab w:val="left" w:pos="18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3.1.响应供应商情况介绍表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135"/>
        <w:gridCol w:w="1336"/>
        <w:gridCol w:w="205"/>
        <w:gridCol w:w="1276"/>
        <w:gridCol w:w="237"/>
        <w:gridCol w:w="927"/>
        <w:gridCol w:w="731"/>
        <w:gridCol w:w="267"/>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7373" w:type="dxa"/>
            <w:gridSpan w:val="9"/>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7373" w:type="dxa"/>
            <w:gridSpan w:val="9"/>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主管部门</w:t>
            </w:r>
          </w:p>
        </w:tc>
        <w:tc>
          <w:tcPr>
            <w:tcW w:w="1135"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54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法人代表</w:t>
            </w:r>
          </w:p>
        </w:tc>
        <w:tc>
          <w:tcPr>
            <w:tcW w:w="1513"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658"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26"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经济类型</w:t>
            </w:r>
          </w:p>
        </w:tc>
        <w:tc>
          <w:tcPr>
            <w:tcW w:w="1135"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54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w:t>
            </w:r>
          </w:p>
        </w:tc>
        <w:tc>
          <w:tcPr>
            <w:tcW w:w="1513"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658"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26"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p>
        </w:tc>
        <w:tc>
          <w:tcPr>
            <w:tcW w:w="1135"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54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513"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658"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1526"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单位简介及机构设置</w:t>
            </w:r>
          </w:p>
        </w:tc>
        <w:tc>
          <w:tcPr>
            <w:tcW w:w="7373" w:type="dxa"/>
            <w:gridSpan w:val="9"/>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单位优势及特长</w:t>
            </w:r>
          </w:p>
        </w:tc>
        <w:tc>
          <w:tcPr>
            <w:tcW w:w="7373" w:type="dxa"/>
            <w:gridSpan w:val="9"/>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restart"/>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单位概况</w:t>
            </w: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注册资本</w:t>
            </w:r>
          </w:p>
        </w:tc>
        <w:tc>
          <w:tcPr>
            <w:tcW w:w="1336" w:type="dxa"/>
            <w:vAlign w:val="top"/>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占地面积</w:t>
            </w:r>
          </w:p>
        </w:tc>
        <w:tc>
          <w:tcPr>
            <w:tcW w:w="3421" w:type="dxa"/>
            <w:gridSpan w:val="5"/>
            <w:vAlign w:val="top"/>
          </w:tcPr>
          <w:p>
            <w:pPr>
              <w:tabs>
                <w:tab w:val="left" w:pos="540"/>
              </w:tabs>
              <w:adjustRightInd w:val="0"/>
              <w:snapToGrid w:val="0"/>
              <w:spacing w:line="400" w:lineRule="exact"/>
              <w:ind w:firstLine="4060" w:firstLineChars="14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职工总数</w:t>
            </w:r>
          </w:p>
        </w:tc>
        <w:tc>
          <w:tcPr>
            <w:tcW w:w="1336" w:type="dxa"/>
            <w:vAlign w:val="top"/>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w:t>
            </w: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建筑面积</w:t>
            </w:r>
          </w:p>
        </w:tc>
        <w:tc>
          <w:tcPr>
            <w:tcW w:w="3421" w:type="dxa"/>
            <w:gridSpan w:val="5"/>
            <w:vAlign w:val="top"/>
          </w:tcPr>
          <w:p>
            <w:pPr>
              <w:tabs>
                <w:tab w:val="left" w:pos="540"/>
              </w:tabs>
              <w:adjustRightInd w:val="0"/>
              <w:snapToGrid w:val="0"/>
              <w:spacing w:line="400" w:lineRule="exact"/>
              <w:ind w:firstLine="4060" w:firstLineChars="14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Merge w:val="restart"/>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资产情况</w:t>
            </w: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净资产</w:t>
            </w:r>
          </w:p>
        </w:tc>
        <w:tc>
          <w:tcPr>
            <w:tcW w:w="1481" w:type="dxa"/>
            <w:gridSpan w:val="2"/>
            <w:vAlign w:val="center"/>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3421" w:type="dxa"/>
            <w:gridSpan w:val="5"/>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负债</w:t>
            </w:r>
          </w:p>
        </w:tc>
        <w:tc>
          <w:tcPr>
            <w:tcW w:w="1481" w:type="dxa"/>
            <w:gridSpan w:val="2"/>
            <w:vAlign w:val="center"/>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3421" w:type="dxa"/>
            <w:gridSpan w:val="5"/>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restart"/>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财务状况</w:t>
            </w: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年度</w:t>
            </w:r>
          </w:p>
        </w:tc>
        <w:tc>
          <w:tcPr>
            <w:tcW w:w="1336"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主营收入</w:t>
            </w:r>
          </w:p>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48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收入总额</w:t>
            </w:r>
          </w:p>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164"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利润总额（万元）</w:t>
            </w:r>
          </w:p>
        </w:tc>
        <w:tc>
          <w:tcPr>
            <w:tcW w:w="998"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净利润（万元）</w:t>
            </w:r>
          </w:p>
        </w:tc>
        <w:tc>
          <w:tcPr>
            <w:tcW w:w="1259"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64"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998"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259"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64"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998"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259"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bl>
    <w:p>
      <w:pPr>
        <w:pStyle w:val="138"/>
        <w:adjustRightInd w:val="0"/>
        <w:snapToGrid w:val="0"/>
        <w:spacing w:before="0" w:after="0" w:line="360" w:lineRule="auto"/>
        <w:ind w:left="1120" w:hanging="960" w:hangingChars="400"/>
        <w:rPr>
          <w:rFonts w:hint="eastAsia" w:ascii="仿宋" w:hAnsi="仿宋" w:eastAsia="仿宋" w:cs="仿宋"/>
          <w:bCs w:val="0"/>
          <w:color w:val="auto"/>
          <w:spacing w:val="0"/>
          <w:kern w:val="2"/>
          <w:sz w:val="24"/>
          <w:szCs w:val="24"/>
          <w:highlight w:val="none"/>
          <w:lang w:val="en-GB"/>
        </w:rPr>
      </w:pPr>
      <w:r>
        <w:rPr>
          <w:rFonts w:hint="eastAsia" w:ascii="仿宋" w:hAnsi="仿宋" w:eastAsia="仿宋" w:cs="仿宋"/>
          <w:bCs w:val="0"/>
          <w:color w:val="auto"/>
          <w:spacing w:val="0"/>
          <w:kern w:val="2"/>
          <w:sz w:val="24"/>
          <w:szCs w:val="24"/>
          <w:highlight w:val="none"/>
          <w:lang w:val="en-GB"/>
        </w:rPr>
        <w:t>注：1）文字描述：单位性质、发展历程、经营规模及服务理念、主营产品、技术力量等。</w:t>
      </w:r>
    </w:p>
    <w:p>
      <w:pPr>
        <w:pStyle w:val="138"/>
        <w:adjustRightInd w:val="0"/>
        <w:snapToGrid w:val="0"/>
        <w:spacing w:before="0" w:after="0" w:line="360" w:lineRule="auto"/>
        <w:ind w:firstLine="520" w:firstLineChars="200"/>
        <w:rPr>
          <w:rFonts w:hint="eastAsia" w:ascii="仿宋" w:hAnsi="仿宋" w:eastAsia="仿宋" w:cs="仿宋"/>
          <w:b/>
          <w:bCs w:val="0"/>
          <w:color w:val="auto"/>
          <w:spacing w:val="0"/>
          <w:kern w:val="2"/>
          <w:sz w:val="24"/>
          <w:szCs w:val="24"/>
          <w:highlight w:val="none"/>
          <w:lang w:val="en-GB"/>
        </w:rPr>
      </w:pP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lang w:val="en-GB"/>
        </w:rPr>
        <w:t>）如响应供应商此表数据有虚假，一经查实，自行承担相关责任。</w:t>
      </w:r>
    </w:p>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3.2、同类项目业绩介绍</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338"/>
        <w:gridCol w:w="2626"/>
        <w:gridCol w:w="1443"/>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7" w:type="dxa"/>
            <w:shd w:val="clear" w:color="auto" w:fill="F3F3F3"/>
            <w:vAlign w:val="center"/>
          </w:tcPr>
          <w:p>
            <w:pPr>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338" w:type="dxa"/>
            <w:shd w:val="clear" w:color="auto" w:fill="F3F3F3"/>
            <w:vAlign w:val="center"/>
          </w:tcPr>
          <w:p>
            <w:pPr>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客户名称</w:t>
            </w:r>
          </w:p>
        </w:tc>
        <w:tc>
          <w:tcPr>
            <w:tcW w:w="2626" w:type="dxa"/>
            <w:shd w:val="clear" w:color="auto" w:fill="F3F3F3"/>
            <w:vAlign w:val="center"/>
          </w:tcPr>
          <w:p>
            <w:pPr>
              <w:adjustRightInd w:val="0"/>
              <w:snapToGrid w:val="0"/>
              <w:spacing w:line="4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项目名称及合同金额（万元）</w:t>
            </w:r>
          </w:p>
        </w:tc>
        <w:tc>
          <w:tcPr>
            <w:tcW w:w="1443" w:type="dxa"/>
            <w:shd w:val="clear" w:color="auto" w:fill="F3F3F3"/>
            <w:vAlign w:val="center"/>
          </w:tcPr>
          <w:p>
            <w:pPr>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竣工时间</w:t>
            </w:r>
          </w:p>
        </w:tc>
        <w:tc>
          <w:tcPr>
            <w:tcW w:w="2287" w:type="dxa"/>
            <w:shd w:val="clear" w:color="auto" w:fill="F3F3F3"/>
            <w:vAlign w:val="center"/>
          </w:tcPr>
          <w:p>
            <w:pPr>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pStyle w:val="148"/>
              <w:adjustRightInd w:val="0"/>
              <w:snapToGrid w:val="0"/>
              <w:spacing w:line="360" w:lineRule="auto"/>
              <w:ind w:left="0" w:leftChars="0" w:right="0" w:rightChars="0"/>
              <w:rPr>
                <w:rFonts w:hint="eastAsia" w:ascii="仿宋" w:hAnsi="仿宋" w:eastAsia="仿宋" w:cs="仿宋"/>
                <w:color w:val="auto"/>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bl>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3.3、拟任执行管理及技术人员情况</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185"/>
        <w:gridCol w:w="1148"/>
        <w:gridCol w:w="2261"/>
        <w:gridCol w:w="1253"/>
        <w:gridCol w:w="100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95" w:type="dxa"/>
            <w:tcBorders>
              <w:top w:val="single" w:color="auto" w:sz="4" w:space="0"/>
              <w:left w:val="single" w:color="auto" w:sz="4" w:space="0"/>
              <w:bottom w:val="nil"/>
              <w:right w:val="single" w:color="auto" w:sz="4" w:space="0"/>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职责分工</w:t>
            </w:r>
          </w:p>
        </w:tc>
        <w:tc>
          <w:tcPr>
            <w:tcW w:w="1185" w:type="dxa"/>
            <w:tcBorders>
              <w:top w:val="single" w:color="auto" w:sz="4" w:space="0"/>
              <w:left w:val="single" w:color="auto" w:sz="4" w:space="0"/>
              <w:bottom w:val="nil"/>
              <w:right w:val="single" w:color="auto" w:sz="4" w:space="0"/>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1148" w:type="dxa"/>
            <w:tcBorders>
              <w:top w:val="single" w:color="auto" w:sz="4" w:space="0"/>
              <w:left w:val="single" w:color="auto" w:sz="4" w:space="0"/>
              <w:bottom w:val="nil"/>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现职务</w:t>
            </w:r>
          </w:p>
        </w:tc>
        <w:tc>
          <w:tcPr>
            <w:tcW w:w="2261" w:type="dxa"/>
            <w:tcBorders>
              <w:top w:val="single" w:color="auto" w:sz="4" w:space="0"/>
              <w:bottom w:val="nil"/>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曾主持/参与的同类项目经历</w:t>
            </w:r>
          </w:p>
        </w:tc>
        <w:tc>
          <w:tcPr>
            <w:tcW w:w="1253" w:type="dxa"/>
            <w:tcBorders>
              <w:top w:val="single" w:color="auto" w:sz="4" w:space="0"/>
              <w:bottom w:val="nil"/>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008" w:type="dxa"/>
            <w:tcBorders>
              <w:top w:val="single" w:color="auto" w:sz="4" w:space="0"/>
              <w:bottom w:val="nil"/>
              <w:right w:val="single" w:color="auto" w:sz="4" w:space="0"/>
            </w:tcBorders>
            <w:shd w:val="clear" w:color="auto" w:fill="F3F3F3"/>
            <w:vAlign w:val="center"/>
          </w:tcPr>
          <w:p>
            <w:pPr>
              <w:adjustRightInd w:val="0"/>
              <w:snapToGrid w:val="0"/>
              <w:spacing w:line="420" w:lineRule="exact"/>
              <w:ind w:firstLine="12"/>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专业工龄</w:t>
            </w:r>
          </w:p>
        </w:tc>
        <w:tc>
          <w:tcPr>
            <w:tcW w:w="1854" w:type="dxa"/>
            <w:tcBorders>
              <w:top w:val="single" w:color="auto" w:sz="4" w:space="0"/>
              <w:bottom w:val="nil"/>
              <w:right w:val="single" w:color="auto" w:sz="4" w:space="0"/>
            </w:tcBorders>
            <w:shd w:val="clear" w:color="auto" w:fill="F3F3F3"/>
            <w:vAlign w:val="center"/>
          </w:tcPr>
          <w:p>
            <w:pPr>
              <w:adjustRightInd w:val="0"/>
              <w:snapToGrid w:val="0"/>
              <w:spacing w:line="420" w:lineRule="exact"/>
              <w:ind w:firstLine="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联系电话</w:t>
            </w:r>
          </w:p>
          <w:p>
            <w:pPr>
              <w:adjustRightInd w:val="0"/>
              <w:snapToGrid w:val="0"/>
              <w:spacing w:line="420" w:lineRule="exact"/>
              <w:ind w:firstLine="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5" w:type="dxa"/>
            <w:tcBorders>
              <w:top w:val="single" w:color="auto" w:sz="4" w:space="0"/>
              <w:left w:val="single" w:color="auto" w:sz="4" w:space="0"/>
              <w:bottom w:val="nil"/>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总负责人</w:t>
            </w:r>
          </w:p>
        </w:tc>
        <w:tc>
          <w:tcPr>
            <w:tcW w:w="1185" w:type="dxa"/>
            <w:tcBorders>
              <w:top w:val="single" w:color="auto" w:sz="4" w:space="0"/>
              <w:left w:val="single" w:color="auto" w:sz="4" w:space="0"/>
              <w:bottom w:val="nil"/>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top w:val="single" w:color="auto" w:sz="4" w:space="0"/>
              <w:left w:val="single" w:color="auto" w:sz="4" w:space="0"/>
              <w:bottom w:val="nil"/>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tcBorders>
              <w:top w:val="single" w:color="auto" w:sz="4" w:space="0"/>
              <w:bottom w:val="nil"/>
            </w:tcBorders>
            <w:vAlign w:val="center"/>
          </w:tcPr>
          <w:p>
            <w:pPr>
              <w:pStyle w:val="226"/>
              <w:keepNext w:val="0"/>
              <w:snapToGrid w:val="0"/>
              <w:spacing w:before="0" w:after="0" w:line="360" w:lineRule="auto"/>
              <w:textAlignment w:val="auto"/>
              <w:rPr>
                <w:rFonts w:hint="eastAsia" w:ascii="仿宋" w:hAnsi="仿宋" w:eastAsia="仿宋" w:cs="仿宋"/>
                <w:color w:val="auto"/>
                <w:spacing w:val="0"/>
                <w:kern w:val="2"/>
                <w:sz w:val="28"/>
                <w:szCs w:val="28"/>
                <w:highlight w:val="none"/>
                <w:lang w:val="en-US" w:eastAsia="zh-CN"/>
              </w:rPr>
            </w:pPr>
          </w:p>
        </w:tc>
        <w:tc>
          <w:tcPr>
            <w:tcW w:w="1253" w:type="dxa"/>
            <w:tcBorders>
              <w:top w:val="single" w:color="auto" w:sz="4" w:space="0"/>
              <w:bottom w:val="nil"/>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top w:val="single" w:color="auto" w:sz="4" w:space="0"/>
              <w:bottom w:val="nil"/>
              <w:right w:val="single" w:color="auto" w:sz="4" w:space="0"/>
            </w:tcBorders>
            <w:vAlign w:val="center"/>
          </w:tcPr>
          <w:p>
            <w:pPr>
              <w:adjustRightInd w:val="0"/>
              <w:snapToGrid w:val="0"/>
              <w:spacing w:line="360" w:lineRule="auto"/>
              <w:ind w:firstLine="12"/>
              <w:jc w:val="center"/>
              <w:rPr>
                <w:rFonts w:hint="eastAsia" w:ascii="仿宋" w:hAnsi="仿宋" w:eastAsia="仿宋" w:cs="仿宋"/>
                <w:color w:val="auto"/>
                <w:sz w:val="28"/>
                <w:szCs w:val="28"/>
                <w:highlight w:val="none"/>
              </w:rPr>
            </w:pPr>
          </w:p>
        </w:tc>
        <w:tc>
          <w:tcPr>
            <w:tcW w:w="1854" w:type="dxa"/>
            <w:tcBorders>
              <w:top w:val="single" w:color="auto" w:sz="4" w:space="0"/>
              <w:bottom w:val="nil"/>
              <w:right w:val="single" w:color="auto" w:sz="4" w:space="0"/>
            </w:tcBorders>
            <w:vAlign w:val="center"/>
          </w:tcPr>
          <w:p>
            <w:pPr>
              <w:adjustRightInd w:val="0"/>
              <w:snapToGrid w:val="0"/>
              <w:spacing w:line="360" w:lineRule="auto"/>
              <w:ind w:firstLine="1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restart"/>
            <w:tcBorders>
              <w:left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其他主要技术人员</w:t>
            </w: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bl>
    <w:p>
      <w:pPr>
        <w:tabs>
          <w:tab w:val="left" w:pos="540"/>
        </w:tabs>
        <w:adjustRightInd w:val="0"/>
        <w:snapToGrid w:val="0"/>
        <w:spacing w:line="360" w:lineRule="auto"/>
        <w:rPr>
          <w:rFonts w:hint="eastAsia" w:ascii="仿宋" w:hAnsi="仿宋" w:eastAsia="仿宋" w:cs="仿宋"/>
          <w:b/>
          <w:color w:val="auto"/>
          <w:sz w:val="28"/>
          <w:szCs w:val="28"/>
          <w:highlight w:val="none"/>
        </w:rPr>
      </w:pPr>
    </w:p>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3.4、履约进度计划表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3017"/>
        <w:gridCol w:w="2900"/>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79" w:type="dxa"/>
            <w:shd w:val="clear" w:color="auto" w:fill="F3F3F3"/>
            <w:vAlign w:val="center"/>
          </w:tcPr>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3017" w:type="dxa"/>
            <w:shd w:val="clear" w:color="auto" w:fill="F3F3F3"/>
            <w:vAlign w:val="center"/>
          </w:tcPr>
          <w:p>
            <w:pPr>
              <w:tabs>
                <w:tab w:val="left" w:pos="540"/>
              </w:tabs>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拟定时间安排</w:t>
            </w:r>
          </w:p>
        </w:tc>
        <w:tc>
          <w:tcPr>
            <w:tcW w:w="2900" w:type="dxa"/>
            <w:shd w:val="clear" w:color="auto" w:fill="F3F3F3"/>
            <w:vAlign w:val="center"/>
          </w:tcPr>
          <w:p>
            <w:pPr>
              <w:tabs>
                <w:tab w:val="left" w:pos="540"/>
              </w:tabs>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计划完成的工作内容</w:t>
            </w:r>
          </w:p>
        </w:tc>
        <w:tc>
          <w:tcPr>
            <w:tcW w:w="2890" w:type="dxa"/>
            <w:shd w:val="clear" w:color="auto" w:fill="F3F3F3"/>
            <w:vAlign w:val="center"/>
          </w:tcPr>
          <w:p>
            <w:pPr>
              <w:tabs>
                <w:tab w:val="left" w:pos="540"/>
              </w:tabs>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6"/>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拟定  年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签定合同并生效</w:t>
            </w: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6"/>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6"/>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6"/>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bl>
    <w:p>
      <w:pPr>
        <w:tabs>
          <w:tab w:val="left" w:pos="540"/>
        </w:tabs>
        <w:adjustRightInd w:val="0"/>
        <w:snapToGrid w:val="0"/>
        <w:spacing w:line="360" w:lineRule="auto"/>
        <w:rPr>
          <w:rFonts w:hint="eastAsia" w:ascii="仿宋" w:hAnsi="仿宋" w:eastAsia="仿宋" w:cs="仿宋"/>
          <w:b/>
          <w:color w:val="auto"/>
          <w:sz w:val="28"/>
          <w:szCs w:val="28"/>
          <w:highlight w:val="none"/>
        </w:rPr>
      </w:pPr>
    </w:p>
    <w:p>
      <w:pPr>
        <w:tabs>
          <w:tab w:val="left" w:pos="540"/>
        </w:tabs>
        <w:adjustRightInd w:val="0"/>
        <w:snapToGrid w:val="0"/>
        <w:spacing w:line="360" w:lineRule="auto"/>
        <w:rPr>
          <w:rFonts w:hint="eastAsia" w:ascii="仿宋" w:hAnsi="仿宋" w:eastAsia="仿宋" w:cs="仿宋"/>
          <w:b/>
          <w:color w:val="auto"/>
          <w:sz w:val="28"/>
          <w:szCs w:val="28"/>
          <w:highlight w:val="none"/>
        </w:rPr>
      </w:pPr>
    </w:p>
    <w:p>
      <w:pPr>
        <w:tabs>
          <w:tab w:val="left" w:pos="540"/>
        </w:tabs>
        <w:adjustRightInd w:val="0"/>
        <w:snapToGrid w:val="0"/>
        <w:spacing w:line="360" w:lineRule="auto"/>
        <w:rPr>
          <w:rFonts w:hint="eastAsia" w:ascii="仿宋" w:hAnsi="仿宋" w:eastAsia="仿宋" w:cs="仿宋"/>
          <w:b/>
          <w:color w:val="auto"/>
          <w:sz w:val="28"/>
          <w:szCs w:val="28"/>
          <w:highlight w:val="none"/>
        </w:rPr>
      </w:pPr>
    </w:p>
    <w:p>
      <w:pPr>
        <w:pStyle w:val="2"/>
        <w:spacing w:before="3"/>
        <w:rPr>
          <w:rFonts w:hint="eastAsia" w:ascii="仿宋" w:hAnsi="仿宋" w:eastAsia="仿宋" w:cs="仿宋"/>
          <w:b/>
          <w:color w:val="auto"/>
          <w:sz w:val="28"/>
          <w:szCs w:val="28"/>
          <w:highlight w:val="none"/>
          <w:lang w:val="en-US" w:eastAsia="zh-CN"/>
        </w:rPr>
      </w:pPr>
      <w:bookmarkStart w:id="525" w:name="_Toc202816999"/>
      <w:bookmarkStart w:id="526" w:name="_Toc202820354"/>
      <w:bookmarkStart w:id="527" w:name="_Toc202819881"/>
      <w:r>
        <w:rPr>
          <w:rFonts w:hint="eastAsia" w:ascii="仿宋" w:hAnsi="仿宋" w:eastAsia="仿宋" w:cs="仿宋"/>
          <w:b/>
          <w:color w:val="auto"/>
          <w:sz w:val="28"/>
          <w:szCs w:val="28"/>
          <w:highlight w:val="none"/>
          <w:lang w:val="en-US" w:eastAsia="zh-CN"/>
        </w:rPr>
        <w:t xml:space="preserve">              </w:t>
      </w:r>
    </w:p>
    <w:p>
      <w:pPr>
        <w:pStyle w:val="2"/>
        <w:spacing w:before="3"/>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3.5 技术和服务要求响应表</w:t>
      </w:r>
    </w:p>
    <w:p>
      <w:pPr>
        <w:pStyle w:val="30"/>
        <w:rPr>
          <w:color w:val="auto"/>
          <w:highlight w:val="none"/>
        </w:rPr>
      </w:pPr>
    </w:p>
    <w:tbl>
      <w:tblPr>
        <w:tblStyle w:val="38"/>
        <w:tblW w:w="10920" w:type="dxa"/>
        <w:tblInd w:w="-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2"/>
        <w:gridCol w:w="1056"/>
        <w:gridCol w:w="1056"/>
        <w:gridCol w:w="1906"/>
        <w:gridCol w:w="1790"/>
        <w:gridCol w:w="1056"/>
        <w:gridCol w:w="1056"/>
        <w:gridCol w:w="1584"/>
        <w:gridCol w:w="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62" w:type="dxa"/>
            <w:shd w:val="clear" w:color="auto" w:fill="F4F4F4"/>
          </w:tcPr>
          <w:p>
            <w:pPr>
              <w:pStyle w:val="211"/>
              <w:spacing w:before="60"/>
              <w:ind w:left="0"/>
              <w:rPr>
                <w:rFonts w:hint="eastAsia" w:ascii="仿宋" w:hAnsi="仿宋" w:eastAsia="仿宋" w:cs="仿宋"/>
                <w:b/>
                <w:color w:val="auto"/>
                <w:w w:val="100"/>
                <w:sz w:val="28"/>
                <w:szCs w:val="28"/>
                <w:highlight w:val="none"/>
              </w:rPr>
            </w:pPr>
          </w:p>
          <w:p>
            <w:pPr>
              <w:pStyle w:val="211"/>
              <w:spacing w:before="60"/>
              <w:ind w:left="0"/>
              <w:rPr>
                <w:rFonts w:hint="eastAsia" w:ascii="仿宋" w:hAnsi="仿宋" w:eastAsia="仿宋" w:cs="仿宋"/>
                <w:b/>
                <w:color w:val="auto"/>
                <w:sz w:val="28"/>
                <w:szCs w:val="28"/>
                <w:highlight w:val="none"/>
              </w:rPr>
            </w:pPr>
            <w:r>
              <w:rPr>
                <w:rFonts w:hint="eastAsia" w:ascii="仿宋" w:hAnsi="仿宋" w:eastAsia="仿宋" w:cs="仿宋"/>
                <w:b/>
                <w:color w:val="auto"/>
                <w:w w:val="100"/>
                <w:sz w:val="28"/>
                <w:szCs w:val="28"/>
                <w:highlight w:val="none"/>
              </w:rPr>
              <w:t>序号</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标的</w:t>
            </w: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名称</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w:t>
            </w: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性质</w:t>
            </w:r>
          </w:p>
        </w:tc>
        <w:tc>
          <w:tcPr>
            <w:tcW w:w="1906" w:type="dxa"/>
            <w:shd w:val="clear" w:color="auto" w:fill="F4F4F4"/>
          </w:tcPr>
          <w:p>
            <w:pPr>
              <w:pStyle w:val="211"/>
              <w:spacing w:before="60"/>
              <w:ind w:left="166" w:right="17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采购文件规定的技术和服务要求</w:t>
            </w:r>
          </w:p>
        </w:tc>
        <w:tc>
          <w:tcPr>
            <w:tcW w:w="1790" w:type="dxa"/>
            <w:shd w:val="clear" w:color="auto" w:fill="F4F4F4"/>
          </w:tcPr>
          <w:p>
            <w:pPr>
              <w:pStyle w:val="211"/>
              <w:spacing w:before="60"/>
              <w:ind w:left="188" w:right="194"/>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投标文件响应的具体内容</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31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型号</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114"/>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是否</w:t>
            </w:r>
          </w:p>
          <w:p>
            <w:pPr>
              <w:pStyle w:val="211"/>
              <w:ind w:left="114"/>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w:t>
            </w:r>
          </w:p>
        </w:tc>
        <w:tc>
          <w:tcPr>
            <w:tcW w:w="1584" w:type="dxa"/>
            <w:shd w:val="clear" w:color="auto" w:fill="F4F4F4"/>
          </w:tcPr>
          <w:p>
            <w:pPr>
              <w:pStyle w:val="211"/>
              <w:spacing w:before="60"/>
              <w:ind w:left="189" w:right="19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证明文件所在位置</w:t>
            </w:r>
          </w:p>
        </w:tc>
        <w:tc>
          <w:tcPr>
            <w:tcW w:w="754" w:type="dxa"/>
            <w:shd w:val="clear" w:color="auto" w:fill="F4F4F4"/>
          </w:tcPr>
          <w:p>
            <w:pPr>
              <w:pStyle w:val="211"/>
              <w:spacing w:before="60"/>
              <w:ind w:left="151"/>
              <w:rPr>
                <w:rFonts w:hint="eastAsia" w:ascii="仿宋" w:hAnsi="仿宋" w:eastAsia="仿宋" w:cs="仿宋"/>
                <w:b/>
                <w:color w:val="auto"/>
                <w:sz w:val="28"/>
                <w:szCs w:val="28"/>
                <w:highlight w:val="none"/>
              </w:rPr>
            </w:pPr>
            <w:r>
              <w:rPr>
                <w:rFonts w:hint="eastAsia" w:ascii="仿宋" w:hAnsi="仿宋" w:eastAsia="仿宋" w:cs="仿宋"/>
                <w:b/>
                <w:color w:val="auto"/>
                <w:w w:val="100"/>
                <w:sz w:val="28"/>
                <w:szCs w:val="2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1</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2</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3</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4</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5</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6</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62" w:type="dxa"/>
          </w:tcPr>
          <w:p>
            <w:pPr>
              <w:pStyle w:val="211"/>
              <w:spacing w:before="60"/>
              <w:ind w:left="100"/>
              <w:rPr>
                <w:color w:val="auto"/>
                <w:sz w:val="22"/>
                <w:szCs w:val="22"/>
                <w:highlight w:val="none"/>
              </w:rPr>
            </w:pPr>
            <w:r>
              <w:rPr>
                <w:color w:val="auto"/>
                <w:w w:val="101"/>
                <w:sz w:val="22"/>
                <w:szCs w:val="22"/>
                <w:highlight w:val="none"/>
              </w:rPr>
              <w:t>…</w:t>
            </w:r>
          </w:p>
          <w:p>
            <w:pPr>
              <w:pStyle w:val="211"/>
              <w:spacing w:before="141"/>
              <w:ind w:left="100"/>
              <w:rPr>
                <w:color w:val="auto"/>
                <w:sz w:val="22"/>
                <w:szCs w:val="22"/>
                <w:highlight w:val="none"/>
              </w:rPr>
            </w:pPr>
            <w:r>
              <w:rPr>
                <w:color w:val="auto"/>
                <w:w w:val="101"/>
                <w:sz w:val="22"/>
                <w:szCs w:val="22"/>
                <w:highlight w:val="none"/>
              </w:rPr>
              <w:t>…</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bl>
    <w:p>
      <w:pPr>
        <w:pStyle w:val="2"/>
        <w:spacing w:before="122"/>
        <w:ind w:left="490"/>
        <w:rPr>
          <w:color w:val="auto"/>
          <w:highlight w:val="none"/>
        </w:rPr>
      </w:pPr>
      <w:r>
        <w:rPr>
          <w:color w:val="auto"/>
          <w:highlight w:val="none"/>
        </w:rPr>
        <w:t>说明：</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z w:val="24"/>
          <w:szCs w:val="24"/>
          <w:highlight w:val="none"/>
        </w:rPr>
      </w:pP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采购文件规定的技术和服务要求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pacing w:val="-4"/>
          <w:sz w:val="24"/>
          <w:szCs w:val="24"/>
          <w:highlight w:val="none"/>
        </w:rPr>
        <w:t xml:space="preserve">项下填写的内容应与招标文件中采购需求的 </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技术要求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的内容保持一致。投标人应当如实填写上表</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投标文件响应的具体内容</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处内容，对采购文件提出的要求和条件作出明确响应，并列明具体响应数值或内</w:t>
      </w:r>
      <w:r>
        <w:rPr>
          <w:rFonts w:hint="eastAsia" w:ascii="仿宋" w:hAnsi="仿宋" w:eastAsia="仿宋" w:cs="仿宋"/>
          <w:color w:val="auto"/>
          <w:spacing w:val="-1"/>
          <w:sz w:val="24"/>
          <w:szCs w:val="24"/>
          <w:highlight w:val="none"/>
        </w:rPr>
        <w:t>容，只注明符合、满足等无具体内容表述的，将视为未实质性满足招标文件要求。投标人需要说明的内容若需特殊表达，应先</w:t>
      </w:r>
      <w:r>
        <w:rPr>
          <w:rFonts w:hint="eastAsia" w:ascii="仿宋" w:hAnsi="仿宋" w:eastAsia="仿宋" w:cs="仿宋"/>
          <w:color w:val="auto"/>
          <w:sz w:val="24"/>
          <w:szCs w:val="24"/>
          <w:highlight w:val="none"/>
        </w:rPr>
        <w:t>在本表中进行相应说明，再另页应答，否则投标无效。</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 分，但不作为无效投标条款。</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“是否偏离”项下应按下列规定填写：优于的，填写“正偏离”；符合的，填写“无偏离”；低于的，填写“负偏离”。</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“备注”处可填写偏离情况的说明。</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sectPr>
          <w:type w:val="continuous"/>
          <w:pgSz w:w="11900" w:h="16840"/>
          <w:pgMar w:top="1260" w:right="520" w:bottom="280" w:left="560" w:header="720" w:footer="720" w:gutter="0"/>
          <w:pgNumType w:fmt="decimal"/>
          <w:cols w:space="720" w:num="1"/>
        </w:sectPr>
      </w:pPr>
    </w:p>
    <w:p>
      <w:pPr>
        <w:pStyle w:val="2"/>
        <w:rPr>
          <w:rFonts w:hint="default" w:eastAsia="仿宋"/>
          <w:color w:val="auto"/>
          <w:highlight w:val="none"/>
          <w:lang w:val="en-US" w:eastAsia="zh-CN"/>
        </w:rPr>
      </w:pPr>
    </w:p>
    <w:p>
      <w:pPr>
        <w:pStyle w:val="5"/>
        <w:spacing w:before="158"/>
        <w:ind w:right="0"/>
        <w:jc w:val="left"/>
        <w:rPr>
          <w:b/>
          <w:bCs/>
          <w:color w:val="auto"/>
          <w:sz w:val="30"/>
          <w:szCs w:val="30"/>
          <w:highlight w:val="none"/>
        </w:rPr>
      </w:pPr>
      <w:bookmarkStart w:id="528" w:name="_Toc7405"/>
      <w:bookmarkStart w:id="529" w:name="_Toc28645"/>
      <w:bookmarkStart w:id="530" w:name="_Toc3908"/>
      <w:bookmarkStart w:id="531" w:name="_Toc11256"/>
      <w:bookmarkStart w:id="532" w:name="_Toc2637"/>
      <w:bookmarkStart w:id="533" w:name="_Toc16457"/>
      <w:bookmarkStart w:id="534" w:name="_Toc848"/>
      <w:bookmarkStart w:id="535" w:name="_Toc2226"/>
      <w:bookmarkStart w:id="536" w:name="_Toc27350"/>
      <w:bookmarkStart w:id="537" w:name="_Toc30576"/>
      <w:bookmarkStart w:id="538" w:name="_Toc23348"/>
      <w:bookmarkStart w:id="539" w:name="_Toc17606"/>
      <w:bookmarkStart w:id="540" w:name="_Toc14735"/>
      <w:bookmarkStart w:id="541" w:name="_Toc7847"/>
      <w:bookmarkStart w:id="542" w:name="_Toc22837"/>
      <w:bookmarkStart w:id="543" w:name="_Toc20396"/>
      <w:r>
        <w:rPr>
          <w:rFonts w:hint="eastAsia"/>
          <w:b/>
          <w:bCs/>
          <w:color w:val="auto"/>
          <w:sz w:val="30"/>
          <w:szCs w:val="30"/>
          <w:highlight w:val="none"/>
          <w:lang w:val="en-US" w:eastAsia="zh-CN"/>
        </w:rPr>
        <w:t xml:space="preserve">3.6  </w:t>
      </w:r>
      <w:r>
        <w:rPr>
          <w:b/>
          <w:bCs/>
          <w:color w:val="auto"/>
          <w:sz w:val="30"/>
          <w:szCs w:val="30"/>
          <w:highlight w:val="none"/>
        </w:rPr>
        <w:t>商务条件响应表</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after="0"/>
        <w:jc w:val="left"/>
        <w:rPr>
          <w:b/>
          <w:bCs/>
          <w:color w:val="auto"/>
          <w:sz w:val="30"/>
          <w:szCs w:val="30"/>
          <w:highlight w:val="none"/>
        </w:rPr>
        <w:sectPr>
          <w:pgSz w:w="11900" w:h="16840"/>
          <w:pgMar w:top="740" w:right="520" w:bottom="280" w:left="560" w:header="0" w:footer="13" w:gutter="0"/>
          <w:pgNumType w:fmt="decimal"/>
          <w:cols w:equalWidth="0" w:num="2">
            <w:col w:w="1209" w:space="2938"/>
            <w:col w:w="6673"/>
          </w:cols>
        </w:sectPr>
      </w:pPr>
    </w:p>
    <w:p>
      <w:pPr>
        <w:pStyle w:val="2"/>
        <w:spacing w:before="3"/>
        <w:rPr>
          <w:b/>
          <w:color w:val="auto"/>
          <w:sz w:val="17"/>
          <w:highlight w:val="none"/>
        </w:rPr>
      </w:pPr>
    </w:p>
    <w:tbl>
      <w:tblPr>
        <w:tblStyle w:val="38"/>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6"/>
        <w:gridCol w:w="1068"/>
        <w:gridCol w:w="2580"/>
        <w:gridCol w:w="2592"/>
        <w:gridCol w:w="1080"/>
        <w:gridCol w:w="1944"/>
        <w:gridCol w:w="6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shd w:val="clear" w:color="auto" w:fill="F4F4F4"/>
          </w:tcPr>
          <w:p>
            <w:pPr>
              <w:pStyle w:val="211"/>
              <w:spacing w:before="60"/>
              <w:ind w:left="84" w:right="9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068" w:type="dxa"/>
            <w:shd w:val="clear" w:color="auto" w:fill="F4F4F4"/>
          </w:tcPr>
          <w:p>
            <w:pPr>
              <w:pStyle w:val="211"/>
              <w:spacing w:before="60"/>
              <w:ind w:left="11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w:t>
            </w:r>
          </w:p>
          <w:p>
            <w:pPr>
              <w:pStyle w:val="211"/>
              <w:spacing w:before="60"/>
              <w:ind w:left="11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性质</w:t>
            </w:r>
          </w:p>
        </w:tc>
        <w:tc>
          <w:tcPr>
            <w:tcW w:w="2580" w:type="dxa"/>
            <w:shd w:val="clear" w:color="auto" w:fill="F4F4F4"/>
          </w:tcPr>
          <w:p>
            <w:pPr>
              <w:pStyle w:val="211"/>
              <w:spacing w:before="60"/>
              <w:ind w:left="16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采购文件规定的</w:t>
            </w:r>
          </w:p>
          <w:p>
            <w:pPr>
              <w:pStyle w:val="211"/>
              <w:spacing w:before="60"/>
              <w:ind w:left="16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商务条件</w:t>
            </w:r>
          </w:p>
        </w:tc>
        <w:tc>
          <w:tcPr>
            <w:tcW w:w="2592" w:type="dxa"/>
            <w:shd w:val="clear" w:color="auto" w:fill="F4F4F4"/>
          </w:tcPr>
          <w:p>
            <w:pPr>
              <w:pStyle w:val="211"/>
              <w:spacing w:before="60"/>
              <w:ind w:left="16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投标文件响应的</w:t>
            </w:r>
          </w:p>
          <w:p>
            <w:pPr>
              <w:pStyle w:val="211"/>
              <w:spacing w:before="60"/>
              <w:ind w:left="16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具体内容</w:t>
            </w:r>
          </w:p>
        </w:tc>
        <w:tc>
          <w:tcPr>
            <w:tcW w:w="1080" w:type="dxa"/>
            <w:shd w:val="clear" w:color="auto" w:fill="F4F4F4"/>
          </w:tcPr>
          <w:p>
            <w:pPr>
              <w:pStyle w:val="211"/>
              <w:spacing w:before="60"/>
              <w:ind w:left="12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是否</w:t>
            </w:r>
          </w:p>
          <w:p>
            <w:pPr>
              <w:pStyle w:val="211"/>
              <w:spacing w:before="60"/>
              <w:ind w:left="12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w:t>
            </w:r>
          </w:p>
        </w:tc>
        <w:tc>
          <w:tcPr>
            <w:tcW w:w="1944" w:type="dxa"/>
            <w:shd w:val="clear" w:color="auto" w:fill="F4F4F4"/>
          </w:tcPr>
          <w:p>
            <w:pPr>
              <w:pStyle w:val="211"/>
              <w:spacing w:before="60"/>
              <w:ind w:left="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证明文件所在位置</w:t>
            </w:r>
          </w:p>
        </w:tc>
        <w:tc>
          <w:tcPr>
            <w:tcW w:w="648" w:type="dxa"/>
            <w:shd w:val="clear" w:color="auto" w:fill="F4F4F4"/>
          </w:tcPr>
          <w:p>
            <w:pPr>
              <w:pStyle w:val="211"/>
              <w:spacing w:before="60"/>
              <w:ind w:left="11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1</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2</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3</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4</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5</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6</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7</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8</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9</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71" w:right="10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bl>
    <w:p>
      <w:pPr>
        <w:pStyle w:val="2"/>
        <w:spacing w:before="122"/>
        <w:ind w:left="490"/>
        <w:rPr>
          <w:color w:val="auto"/>
          <w:highlight w:val="none"/>
        </w:rPr>
      </w:pPr>
      <w:r>
        <w:rPr>
          <w:color w:val="auto"/>
          <w:highlight w:val="none"/>
        </w:rPr>
        <w:t>说明：</w:t>
      </w:r>
    </w:p>
    <w:p>
      <w:pPr>
        <w:pStyle w:val="84"/>
        <w:numPr>
          <w:ilvl w:val="-1"/>
          <w:numId w:val="0"/>
        </w:numPr>
        <w:tabs>
          <w:tab w:val="left" w:pos="731"/>
        </w:tabs>
        <w:spacing w:before="140" w:after="0" w:line="240" w:lineRule="auto"/>
        <w:ind w:left="420" w:leftChars="20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4"/>
          <w:w w:val="80"/>
          <w:sz w:val="24"/>
          <w:szCs w:val="24"/>
          <w:highlight w:val="none"/>
          <w:lang w:val="en-US" w:eastAsia="zh-CN"/>
        </w:rPr>
        <w:t>1.</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采购文件规定的商务条件</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pacing w:val="-2"/>
          <w:sz w:val="24"/>
          <w:szCs w:val="24"/>
          <w:highlight w:val="none"/>
        </w:rPr>
        <w:t xml:space="preserve">项下填写的内容应与招标文件中采购需求的 </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商务要求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的内容保持一致。</w:t>
      </w:r>
    </w:p>
    <w:p>
      <w:pPr>
        <w:pStyle w:val="84"/>
        <w:numPr>
          <w:ilvl w:val="-1"/>
          <w:numId w:val="0"/>
        </w:numPr>
        <w:tabs>
          <w:tab w:val="left" w:pos="731"/>
        </w:tabs>
        <w:spacing w:before="141" w:after="0" w:line="379" w:lineRule="auto"/>
        <w:ind w:left="420" w:leftChars="200" w:right="149"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投标人应当如实填写上表</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投标文件响应的具体内容</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处内容，对采购文件规定的商务条件作出明确响应，并列明具体</w:t>
      </w:r>
      <w:r>
        <w:rPr>
          <w:rFonts w:hint="eastAsia" w:ascii="仿宋" w:hAnsi="仿宋" w:eastAsia="仿宋" w:cs="仿宋"/>
          <w:color w:val="auto"/>
          <w:spacing w:val="-1"/>
          <w:sz w:val="24"/>
          <w:szCs w:val="24"/>
          <w:highlight w:val="none"/>
        </w:rPr>
        <w:t>响应数值或内容，只注明符合、满足等无具体内容表述的，将视为未实质性满足招标文件要求。投标人需要说明的内容若需特</w:t>
      </w:r>
      <w:r>
        <w:rPr>
          <w:rFonts w:hint="eastAsia" w:ascii="仿宋" w:hAnsi="仿宋" w:eastAsia="仿宋" w:cs="仿宋"/>
          <w:color w:val="auto"/>
          <w:sz w:val="24"/>
          <w:szCs w:val="24"/>
          <w:highlight w:val="none"/>
        </w:rPr>
        <w:t>殊表达，应先在本表中进行相应说明，再另页应答，否则投标无效。</w:t>
      </w:r>
    </w:p>
    <w:p>
      <w:pPr>
        <w:pStyle w:val="84"/>
        <w:numPr>
          <w:ilvl w:val="-1"/>
          <w:numId w:val="0"/>
        </w:numPr>
        <w:tabs>
          <w:tab w:val="left" w:pos="731"/>
        </w:tabs>
        <w:spacing w:before="0" w:after="0" w:line="379" w:lineRule="auto"/>
        <w:ind w:left="420" w:leftChars="200" w:right="197"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w w:val="95"/>
          <w:sz w:val="24"/>
          <w:szCs w:val="24"/>
          <w:highlight w:val="none"/>
          <w:lang w:val="en-US" w:eastAsia="zh-CN"/>
        </w:rPr>
        <w:t>3.</w:t>
      </w:r>
      <w:r>
        <w:rPr>
          <w:rFonts w:hint="eastAsia" w:ascii="仿宋" w:hAnsi="仿宋" w:eastAsia="仿宋" w:cs="仿宋"/>
          <w:color w:val="auto"/>
          <w:w w:val="95"/>
          <w:sz w:val="24"/>
          <w:szCs w:val="24"/>
          <w:highlight w:val="none"/>
        </w:rPr>
        <w:t>参数性质栏目按招标文件有标注的</w:t>
      </w:r>
      <w:r>
        <w:rPr>
          <w:rFonts w:hint="eastAsia" w:ascii="仿宋" w:hAnsi="仿宋" w:eastAsia="仿宋" w:cs="仿宋"/>
          <w:color w:val="auto"/>
          <w:spacing w:val="-5"/>
          <w:w w:val="90"/>
          <w:sz w:val="24"/>
          <w:szCs w:val="24"/>
          <w:highlight w:val="none"/>
        </w:rPr>
        <w:t>“★”</w:t>
      </w:r>
      <w:r>
        <w:rPr>
          <w:rFonts w:hint="eastAsia" w:ascii="仿宋" w:hAnsi="仿宋" w:eastAsia="仿宋" w:cs="仿宋"/>
          <w:color w:val="auto"/>
          <w:w w:val="95"/>
          <w:sz w:val="24"/>
          <w:szCs w:val="24"/>
          <w:highlight w:val="none"/>
        </w:rPr>
        <w:t>、</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号条款进行填写，打</w:t>
      </w:r>
      <w:r>
        <w:rPr>
          <w:rFonts w:hint="eastAsia" w:ascii="仿宋" w:hAnsi="仿宋" w:eastAsia="仿宋" w:cs="仿宋"/>
          <w:color w:val="auto"/>
          <w:spacing w:val="-5"/>
          <w:w w:val="90"/>
          <w:sz w:val="24"/>
          <w:szCs w:val="24"/>
          <w:highlight w:val="none"/>
        </w:rPr>
        <w:t>“★”</w:t>
      </w:r>
      <w:r>
        <w:rPr>
          <w:rFonts w:hint="eastAsia" w:ascii="仿宋" w:hAnsi="仿宋" w:eastAsia="仿宋" w:cs="仿宋"/>
          <w:color w:val="auto"/>
          <w:spacing w:val="-1"/>
          <w:w w:val="95"/>
          <w:sz w:val="24"/>
          <w:szCs w:val="24"/>
          <w:highlight w:val="none"/>
        </w:rPr>
        <w:t>号条款为实质性条款，若有任何一条负偏离或不</w:t>
      </w:r>
      <w:r>
        <w:rPr>
          <w:rFonts w:hint="eastAsia" w:ascii="仿宋" w:hAnsi="仿宋" w:eastAsia="仿宋" w:cs="仿宋"/>
          <w:color w:val="auto"/>
          <w:w w:val="95"/>
          <w:sz w:val="24"/>
          <w:szCs w:val="24"/>
          <w:highlight w:val="none"/>
        </w:rPr>
        <w:t>满足则导致投标无效。打</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号条款为重要技术参数（如有），若有部分</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 xml:space="preserve">条款未响应或不满足，将根据评审要求影响其得  </w:t>
      </w:r>
      <w:r>
        <w:rPr>
          <w:rFonts w:hint="eastAsia" w:ascii="仿宋" w:hAnsi="仿宋" w:eastAsia="仿宋" w:cs="仿宋"/>
          <w:color w:val="auto"/>
          <w:sz w:val="24"/>
          <w:szCs w:val="24"/>
          <w:highlight w:val="none"/>
        </w:rPr>
        <w:t>分，但不作为无效投标条款。</w:t>
      </w:r>
    </w:p>
    <w:p>
      <w:pPr>
        <w:pStyle w:val="84"/>
        <w:numPr>
          <w:ilvl w:val="-1"/>
          <w:numId w:val="0"/>
        </w:numPr>
        <w:tabs>
          <w:tab w:val="left" w:pos="731"/>
        </w:tabs>
        <w:spacing w:before="0" w:after="0" w:line="379" w:lineRule="auto"/>
        <w:ind w:left="420" w:leftChars="200" w:right="677"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pacing w:val="-5"/>
          <w:w w:val="90"/>
          <w:sz w:val="24"/>
          <w:szCs w:val="24"/>
          <w:highlight w:val="none"/>
          <w:lang w:val="en-US" w:eastAsia="zh-CN"/>
        </w:rPr>
        <w:t>4.</w:t>
      </w:r>
      <w:r>
        <w:rPr>
          <w:rFonts w:hint="eastAsia" w:ascii="仿宋" w:hAnsi="仿宋" w:eastAsia="仿宋" w:cs="仿宋"/>
          <w:color w:val="auto"/>
          <w:spacing w:val="-5"/>
          <w:w w:val="90"/>
          <w:sz w:val="24"/>
          <w:szCs w:val="24"/>
          <w:highlight w:val="none"/>
        </w:rPr>
        <w:t>“是否偏离”项下应按下列规定填写：优于的，填写“正偏离”；符合的，填写“无偏离”；低于的，填写“负偏离”。</w:t>
      </w:r>
    </w:p>
    <w:p>
      <w:pPr>
        <w:pStyle w:val="84"/>
        <w:numPr>
          <w:ilvl w:val="-1"/>
          <w:numId w:val="0"/>
        </w:numPr>
        <w:tabs>
          <w:tab w:val="left" w:pos="731"/>
        </w:tabs>
        <w:spacing w:before="0" w:after="0" w:line="379" w:lineRule="auto"/>
        <w:ind w:left="420" w:leftChars="200" w:right="677"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pacing w:val="-4"/>
          <w:w w:val="52"/>
          <w:sz w:val="24"/>
          <w:szCs w:val="24"/>
          <w:highlight w:val="none"/>
          <w:lang w:val="en-US" w:eastAsia="zh-CN"/>
        </w:rPr>
        <w:t>5.</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备注</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处可填写偏离情况的说明。</w:t>
      </w:r>
    </w:p>
    <w:p>
      <w:pPr>
        <w:spacing w:after="0" w:line="379" w:lineRule="auto"/>
        <w:jc w:val="both"/>
        <w:rPr>
          <w:color w:val="auto"/>
          <w:sz w:val="19"/>
          <w:highlight w:val="none"/>
        </w:rPr>
      </w:pPr>
    </w:p>
    <w:p>
      <w:pPr>
        <w:pStyle w:val="2"/>
        <w:rPr>
          <w:color w:val="auto"/>
          <w:sz w:val="19"/>
          <w:highlight w:val="none"/>
        </w:rPr>
      </w:pPr>
    </w:p>
    <w:p>
      <w:pPr>
        <w:pStyle w:val="30"/>
        <w:rPr>
          <w:color w:val="auto"/>
          <w:sz w:val="19"/>
          <w:highlight w:val="none"/>
        </w:rPr>
      </w:pPr>
    </w:p>
    <w:p>
      <w:pPr>
        <w:rPr>
          <w:color w:val="auto"/>
          <w:sz w:val="19"/>
          <w:highlight w:val="none"/>
        </w:rPr>
      </w:pPr>
    </w:p>
    <w:p>
      <w:pPr>
        <w:pStyle w:val="2"/>
        <w:rPr>
          <w:color w:val="auto"/>
          <w:sz w:val="19"/>
          <w:highlight w:val="none"/>
        </w:rPr>
      </w:pPr>
    </w:p>
    <w:p>
      <w:pPr>
        <w:pStyle w:val="30"/>
        <w:rPr>
          <w:color w:val="auto"/>
          <w:highlight w:val="none"/>
        </w:rPr>
      </w:pPr>
    </w:p>
    <w:p>
      <w:pPr>
        <w:rPr>
          <w:color w:val="auto"/>
          <w:sz w:val="19"/>
          <w:highlight w:val="none"/>
        </w:rPr>
      </w:pPr>
    </w:p>
    <w:p>
      <w:pPr>
        <w:pStyle w:val="5"/>
        <w:spacing w:before="158"/>
        <w:ind w:right="0" w:firstLine="602" w:firstLineChars="200"/>
        <w:jc w:val="left"/>
        <w:rPr>
          <w:rFonts w:hint="default" w:ascii="Times New Roman" w:hAnsi="Times New Roman" w:eastAsia="宋体" w:cs="Times New Roman"/>
          <w:b/>
          <w:bCs/>
          <w:color w:val="auto"/>
          <w:sz w:val="30"/>
          <w:szCs w:val="30"/>
          <w:highlight w:val="none"/>
          <w:lang w:val="en-US" w:eastAsia="zh-CN"/>
        </w:rPr>
      </w:pPr>
      <w:bookmarkStart w:id="544" w:name="_Toc7294"/>
      <w:bookmarkStart w:id="545" w:name="_Toc30425"/>
      <w:bookmarkStart w:id="546" w:name="_Toc9607"/>
      <w:bookmarkStart w:id="547" w:name="_Toc20631"/>
      <w:bookmarkStart w:id="548" w:name="_Toc22198"/>
      <w:bookmarkStart w:id="549" w:name="_Toc5736"/>
      <w:bookmarkStart w:id="550" w:name="_Toc3992"/>
      <w:bookmarkStart w:id="551" w:name="_Toc26239"/>
      <w:bookmarkStart w:id="552" w:name="_Toc19893"/>
      <w:bookmarkStart w:id="553" w:name="_Toc1629"/>
      <w:bookmarkStart w:id="554" w:name="_Toc22855"/>
      <w:bookmarkStart w:id="555" w:name="_Toc5840"/>
      <w:bookmarkStart w:id="556" w:name="_Toc12933"/>
      <w:bookmarkStart w:id="557" w:name="_Toc8575"/>
      <w:bookmarkStart w:id="558" w:name="_Toc23898"/>
      <w:bookmarkStart w:id="559" w:name="_Toc26863"/>
      <w:r>
        <w:rPr>
          <w:rFonts w:hint="default" w:ascii="Times New Roman" w:hAnsi="Times New Roman" w:eastAsia="宋体" w:cs="Times New Roman"/>
          <w:b/>
          <w:bCs/>
          <w:color w:val="auto"/>
          <w:sz w:val="30"/>
          <w:szCs w:val="30"/>
          <w:highlight w:val="none"/>
          <w:lang w:val="en-US" w:eastAsia="zh-CN"/>
        </w:rPr>
        <w:t>3.7  （以下格式文件由供应商根据需要选用）</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pStyle w:val="5"/>
        <w:spacing w:before="158"/>
        <w:ind w:right="0" w:firstLine="0" w:firstLineChars="0"/>
        <w:jc w:val="center"/>
        <w:rPr>
          <w:rFonts w:hint="eastAsia" w:ascii="仿宋" w:hAnsi="仿宋" w:eastAsia="仿宋" w:cs="仿宋"/>
          <w:b/>
          <w:bCs/>
          <w:color w:val="auto"/>
          <w:sz w:val="30"/>
          <w:szCs w:val="30"/>
          <w:highlight w:val="none"/>
          <w:lang w:val="en-US" w:eastAsia="zh-CN"/>
        </w:rPr>
      </w:pPr>
      <w:bookmarkStart w:id="560" w:name="_Toc26016"/>
      <w:bookmarkStart w:id="561" w:name="_Toc17400"/>
      <w:bookmarkStart w:id="562" w:name="_Toc1261"/>
      <w:bookmarkStart w:id="563" w:name="_Toc5984"/>
      <w:bookmarkStart w:id="564" w:name="_Toc28182"/>
      <w:bookmarkStart w:id="565" w:name="_Toc29626"/>
      <w:bookmarkStart w:id="566" w:name="_Toc23822"/>
      <w:bookmarkStart w:id="567" w:name="_Toc14782"/>
      <w:bookmarkStart w:id="568" w:name="_Toc27703"/>
      <w:bookmarkStart w:id="569" w:name="_Toc28327"/>
      <w:bookmarkStart w:id="570" w:name="_Toc15160"/>
      <w:bookmarkStart w:id="571" w:name="_Toc17924"/>
      <w:bookmarkStart w:id="572" w:name="_Toc29766"/>
      <w:bookmarkStart w:id="573" w:name="_Toc676"/>
      <w:bookmarkStart w:id="574" w:name="_Toc14677"/>
      <w:bookmarkStart w:id="575" w:name="_Toc31484"/>
      <w:r>
        <w:rPr>
          <w:rFonts w:hint="eastAsia" w:ascii="仿宋" w:hAnsi="仿宋" w:eastAsia="仿宋" w:cs="仿宋"/>
          <w:b/>
          <w:bCs/>
          <w:color w:val="auto"/>
          <w:sz w:val="30"/>
          <w:szCs w:val="30"/>
          <w:highlight w:val="none"/>
          <w:lang w:val="en-US" w:eastAsia="zh-CN"/>
        </w:rPr>
        <w:t>各类证明材料</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pStyle w:val="84"/>
        <w:numPr>
          <w:ilvl w:val="0"/>
          <w:numId w:val="0"/>
        </w:numPr>
        <w:tabs>
          <w:tab w:val="left" w:pos="673"/>
        </w:tabs>
        <w:spacing w:before="0" w:after="0" w:line="240" w:lineRule="auto"/>
        <w:ind w:leftChars="200" w:right="0" w:rightChars="0"/>
        <w:jc w:val="left"/>
        <w:rPr>
          <w:rFonts w:hint="eastAsia"/>
          <w:color w:val="auto"/>
          <w:sz w:val="28"/>
          <w:szCs w:val="28"/>
          <w:highlight w:val="none"/>
          <w:lang w:val="en-US" w:eastAsia="zh-CN"/>
        </w:rPr>
      </w:pPr>
    </w:p>
    <w:p>
      <w:pPr>
        <w:pStyle w:val="84"/>
        <w:numPr>
          <w:ilvl w:val="0"/>
          <w:numId w:val="0"/>
        </w:numPr>
        <w:tabs>
          <w:tab w:val="left" w:pos="673"/>
        </w:tabs>
        <w:spacing w:before="0" w:after="0" w:line="240" w:lineRule="auto"/>
        <w:ind w:leftChars="200" w:right="0" w:rightChars="0"/>
        <w:jc w:val="left"/>
        <w:rPr>
          <w:rFonts w:hint="eastAsia"/>
          <w:color w:val="auto"/>
          <w:sz w:val="28"/>
          <w:szCs w:val="28"/>
          <w:highlight w:val="none"/>
          <w:lang w:val="en-US" w:eastAsia="zh-CN"/>
        </w:rPr>
      </w:pPr>
    </w:p>
    <w:p>
      <w:pPr>
        <w:pStyle w:val="84"/>
        <w:numPr>
          <w:ilvl w:val="0"/>
          <w:numId w:val="0"/>
        </w:numPr>
        <w:tabs>
          <w:tab w:val="left" w:pos="673"/>
        </w:tabs>
        <w:spacing w:before="0" w:after="0" w:line="240" w:lineRule="auto"/>
        <w:ind w:leftChars="200" w:right="0" w:rightChars="0"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1.磋商</w:t>
      </w:r>
      <w:r>
        <w:rPr>
          <w:rFonts w:hint="eastAsia" w:ascii="仿宋" w:hAnsi="仿宋" w:eastAsia="仿宋" w:cs="仿宋"/>
          <w:color w:val="auto"/>
          <w:sz w:val="28"/>
          <w:szCs w:val="28"/>
          <w:highlight w:val="none"/>
        </w:rPr>
        <w:t>文件要求提供的其他资料。</w:t>
      </w:r>
    </w:p>
    <w:p>
      <w:pPr>
        <w:pStyle w:val="84"/>
        <w:numPr>
          <w:ilvl w:val="0"/>
          <w:numId w:val="0"/>
        </w:numPr>
        <w:tabs>
          <w:tab w:val="left" w:pos="673"/>
        </w:tabs>
        <w:spacing w:before="141" w:after="0" w:line="240" w:lineRule="auto"/>
        <w:ind w:leftChars="200" w:right="0" w:rightChars="0" w:firstLine="840" w:firstLineChars="300"/>
        <w:jc w:val="left"/>
        <w:rPr>
          <w:rFonts w:hint="eastAsia" w:ascii="仿宋" w:hAnsi="仿宋" w:eastAsia="仿宋" w:cs="仿宋"/>
          <w:color w:val="auto"/>
          <w:sz w:val="28"/>
          <w:szCs w:val="28"/>
          <w:highlight w:val="none"/>
          <w:lang w:val="en-US" w:eastAsia="zh-CN"/>
        </w:rPr>
        <w:sectPr>
          <w:type w:val="continuous"/>
          <w:pgSz w:w="11900" w:h="16840"/>
          <w:pgMar w:top="1260" w:right="520" w:bottom="280" w:left="560" w:header="720" w:footer="720" w:gutter="0"/>
          <w:pgNumType w:fmt="decimal"/>
          <w:cols w:space="720" w:num="1"/>
        </w:sectPr>
      </w:pPr>
      <w:r>
        <w:rPr>
          <w:rFonts w:hint="eastAsia" w:ascii="仿宋" w:hAnsi="仿宋" w:eastAsia="仿宋" w:cs="仿宋"/>
          <w:color w:val="auto"/>
          <w:sz w:val="28"/>
          <w:szCs w:val="28"/>
          <w:highlight w:val="none"/>
          <w:lang w:val="en-US" w:eastAsia="zh-CN"/>
        </w:rPr>
        <w:t>2.供应商</w:t>
      </w:r>
      <w:r>
        <w:rPr>
          <w:rFonts w:hint="eastAsia" w:ascii="仿宋" w:hAnsi="仿宋" w:eastAsia="仿宋" w:cs="仿宋"/>
          <w:color w:val="auto"/>
          <w:sz w:val="28"/>
          <w:szCs w:val="28"/>
          <w:highlight w:val="none"/>
        </w:rPr>
        <w:t>认为需提供的其他资</w:t>
      </w:r>
      <w:r>
        <w:rPr>
          <w:rFonts w:hint="eastAsia" w:ascii="仿宋" w:hAnsi="仿宋" w:eastAsia="仿宋" w:cs="仿宋"/>
          <w:color w:val="auto"/>
          <w:sz w:val="28"/>
          <w:szCs w:val="28"/>
          <w:highlight w:val="none"/>
          <w:lang w:eastAsia="zh-CN"/>
        </w:rPr>
        <w:t>料。</w:t>
      </w:r>
    </w:p>
    <w:p>
      <w:pPr>
        <w:pStyle w:val="2"/>
        <w:spacing w:before="114"/>
        <w:ind w:left="490"/>
        <w:rPr>
          <w:rFonts w:hint="eastAsia" w:ascii="仿宋" w:hAnsi="仿宋" w:eastAsia="仿宋" w:cs="仿宋"/>
          <w:b/>
          <w:bCs/>
          <w:color w:val="auto"/>
          <w:kern w:val="44"/>
          <w:sz w:val="28"/>
          <w:szCs w:val="28"/>
          <w:highlight w:val="none"/>
          <w:lang w:eastAsia="zh-CN"/>
        </w:rPr>
      </w:pPr>
      <w:r>
        <w:rPr>
          <w:rFonts w:hint="default" w:ascii="Times New Roman" w:hAnsi="Times New Roman" w:eastAsia="宋体" w:cs="Times New Roman"/>
          <w:b/>
          <w:bCs/>
          <w:color w:val="auto"/>
          <w:kern w:val="44"/>
          <w:sz w:val="30"/>
          <w:szCs w:val="30"/>
          <w:highlight w:val="none"/>
          <w:lang w:val="en-US" w:eastAsia="zh-CN"/>
        </w:rPr>
        <w:t xml:space="preserve">3.8 </w:t>
      </w:r>
      <w:r>
        <w:rPr>
          <w:rFonts w:hint="eastAsia" w:ascii="仿宋" w:hAnsi="仿宋" w:eastAsia="仿宋" w:cs="仿宋"/>
          <w:b/>
          <w:bCs/>
          <w:color w:val="auto"/>
          <w:kern w:val="44"/>
          <w:sz w:val="28"/>
          <w:szCs w:val="28"/>
          <w:highlight w:val="none"/>
          <w:lang w:val="en-US" w:eastAsia="zh-CN"/>
        </w:rPr>
        <w:t xml:space="preserve"> 项目</w:t>
      </w:r>
      <w:r>
        <w:rPr>
          <w:rFonts w:hint="eastAsia" w:ascii="仿宋" w:hAnsi="仿宋" w:eastAsia="仿宋" w:cs="仿宋"/>
          <w:b/>
          <w:bCs/>
          <w:color w:val="auto"/>
          <w:kern w:val="44"/>
          <w:sz w:val="28"/>
          <w:szCs w:val="28"/>
          <w:highlight w:val="none"/>
        </w:rPr>
        <w:t>方案</w:t>
      </w:r>
      <w:r>
        <w:rPr>
          <w:rFonts w:hint="eastAsia" w:ascii="仿宋" w:hAnsi="仿宋" w:eastAsia="仿宋" w:cs="仿宋"/>
          <w:b/>
          <w:bCs/>
          <w:color w:val="auto"/>
          <w:kern w:val="44"/>
          <w:sz w:val="28"/>
          <w:szCs w:val="28"/>
          <w:highlight w:val="none"/>
          <w:lang w:eastAsia="zh-CN"/>
        </w:rPr>
        <w:t>，</w:t>
      </w:r>
      <w:r>
        <w:rPr>
          <w:rFonts w:hint="eastAsia" w:ascii="仿宋" w:hAnsi="仿宋" w:eastAsia="仿宋" w:cs="仿宋"/>
          <w:b/>
          <w:bCs/>
          <w:color w:val="auto"/>
          <w:kern w:val="44"/>
          <w:sz w:val="28"/>
          <w:szCs w:val="28"/>
          <w:highlight w:val="none"/>
        </w:rPr>
        <w:t>内容应包括</w:t>
      </w:r>
      <w:r>
        <w:rPr>
          <w:rFonts w:hint="eastAsia" w:ascii="仿宋" w:hAnsi="仿宋" w:eastAsia="仿宋" w:cs="仿宋"/>
          <w:b/>
          <w:bCs/>
          <w:color w:val="auto"/>
          <w:kern w:val="44"/>
          <w:sz w:val="28"/>
          <w:szCs w:val="28"/>
          <w:highlight w:val="none"/>
          <w:lang w:val="en-US" w:eastAsia="zh-CN"/>
        </w:rPr>
        <w:t>但不仅限于（格式自拟）</w:t>
      </w:r>
      <w:r>
        <w:rPr>
          <w:rFonts w:hint="eastAsia" w:ascii="仿宋" w:hAnsi="仿宋" w:eastAsia="仿宋" w:cs="仿宋"/>
          <w:b/>
          <w:bCs/>
          <w:color w:val="auto"/>
          <w:kern w:val="44"/>
          <w:sz w:val="28"/>
          <w:szCs w:val="28"/>
          <w:highlight w:val="none"/>
        </w:rPr>
        <w:t>：</w:t>
      </w:r>
      <w:r>
        <w:rPr>
          <w:rFonts w:hint="eastAsia" w:ascii="仿宋" w:hAnsi="仿宋" w:eastAsia="仿宋" w:cs="仿宋"/>
          <w:b/>
          <w:bCs/>
          <w:color w:val="auto"/>
          <w:kern w:val="44"/>
          <w:sz w:val="28"/>
          <w:szCs w:val="28"/>
          <w:highlight w:val="none"/>
          <w:lang w:val="en-US" w:eastAsia="zh-CN"/>
        </w:rPr>
        <w:t xml:space="preserve">   </w:t>
      </w:r>
    </w:p>
    <w:p>
      <w:pPr>
        <w:numPr>
          <w:ilvl w:val="-1"/>
          <w:numId w:val="0"/>
        </w:numPr>
        <w:spacing w:beforeLines="0" w:afterLines="0" w:line="360" w:lineRule="auto"/>
        <w:ind w:firstLine="560" w:firstLineChars="200"/>
        <w:jc w:val="left"/>
        <w:rPr>
          <w:rFonts w:hint="eastAsia" w:ascii="仿宋" w:hAnsi="仿宋" w:eastAsia="仿宋" w:cs="仿宋"/>
          <w:b w:val="0"/>
          <w:bCs w:val="0"/>
          <w:snapToGrid w:val="0"/>
          <w:color w:val="auto"/>
          <w:kern w:val="0"/>
          <w:sz w:val="28"/>
          <w:szCs w:val="28"/>
          <w:highlight w:val="none"/>
        </w:rPr>
      </w:pPr>
      <w:r>
        <w:rPr>
          <w:rFonts w:hint="eastAsia" w:ascii="仿宋" w:hAnsi="仿宋" w:eastAsia="仿宋" w:cs="仿宋"/>
          <w:b w:val="0"/>
          <w:bCs w:val="0"/>
          <w:snapToGrid w:val="0"/>
          <w:color w:val="auto"/>
          <w:kern w:val="0"/>
          <w:sz w:val="28"/>
          <w:szCs w:val="28"/>
          <w:highlight w:val="none"/>
          <w:lang w:val="en-US" w:eastAsia="zh-CN"/>
        </w:rPr>
        <w:t>1、项目实施</w:t>
      </w:r>
      <w:r>
        <w:rPr>
          <w:rFonts w:hint="eastAsia" w:ascii="仿宋" w:hAnsi="仿宋" w:eastAsia="仿宋" w:cs="仿宋"/>
          <w:b w:val="0"/>
          <w:bCs w:val="0"/>
          <w:snapToGrid w:val="0"/>
          <w:color w:val="auto"/>
          <w:kern w:val="0"/>
          <w:sz w:val="28"/>
          <w:szCs w:val="28"/>
          <w:highlight w:val="none"/>
        </w:rPr>
        <w:t>方案</w:t>
      </w:r>
    </w:p>
    <w:p>
      <w:pPr>
        <w:numPr>
          <w:ilvl w:val="0"/>
          <w:numId w:val="0"/>
        </w:numPr>
        <w:spacing w:beforeLines="0" w:afterLines="0" w:line="360" w:lineRule="auto"/>
        <w:ind w:firstLine="560" w:firstLineChars="200"/>
        <w:jc w:val="left"/>
        <w:rPr>
          <w:rFonts w:hint="eastAsia" w:ascii="仿宋" w:hAnsi="仿宋" w:eastAsia="仿宋" w:cs="仿宋"/>
          <w:b w:val="0"/>
          <w:bCs w:val="0"/>
          <w:snapToGrid w:val="0"/>
          <w:color w:val="auto"/>
          <w:kern w:val="0"/>
          <w:sz w:val="28"/>
          <w:szCs w:val="28"/>
          <w:highlight w:val="none"/>
          <w:lang w:eastAsia="zh-CN"/>
        </w:rPr>
      </w:pPr>
      <w:r>
        <w:rPr>
          <w:rFonts w:hint="eastAsia" w:ascii="仿宋" w:hAnsi="仿宋" w:eastAsia="仿宋" w:cs="仿宋"/>
          <w:b w:val="0"/>
          <w:bCs w:val="0"/>
          <w:snapToGrid w:val="0"/>
          <w:color w:val="auto"/>
          <w:kern w:val="0"/>
          <w:sz w:val="28"/>
          <w:szCs w:val="28"/>
          <w:highlight w:val="none"/>
          <w:lang w:val="en-US" w:eastAsia="zh-CN"/>
        </w:rPr>
        <w:t>2、</w:t>
      </w:r>
      <w:r>
        <w:rPr>
          <w:rFonts w:hint="eastAsia" w:ascii="仿宋" w:hAnsi="仿宋" w:eastAsia="仿宋" w:cs="仿宋"/>
          <w:b w:val="0"/>
          <w:bCs w:val="0"/>
          <w:color w:val="auto"/>
          <w:sz w:val="28"/>
          <w:szCs w:val="28"/>
          <w:highlight w:val="none"/>
          <w:lang w:eastAsia="zh-CN"/>
        </w:rPr>
        <w:t>应急预案</w:t>
      </w:r>
    </w:p>
    <w:p>
      <w:pPr>
        <w:numPr>
          <w:ilvl w:val="0"/>
          <w:numId w:val="0"/>
        </w:numPr>
        <w:spacing w:beforeLines="0" w:afterLines="0" w:line="360" w:lineRule="auto"/>
        <w:ind w:firstLine="560" w:firstLineChars="200"/>
        <w:jc w:val="left"/>
        <w:rPr>
          <w:rFonts w:hint="eastAsia" w:ascii="仿宋" w:hAnsi="仿宋" w:eastAsia="仿宋" w:cs="仿宋"/>
          <w:b w:val="0"/>
          <w:bCs w:val="0"/>
          <w:snapToGrid w:val="0"/>
          <w:color w:val="auto"/>
          <w:kern w:val="0"/>
          <w:sz w:val="28"/>
          <w:szCs w:val="28"/>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rPr>
        <w:t>3、培训方案</w:t>
      </w:r>
    </w:p>
    <w:p>
      <w:pPr>
        <w:pStyle w:val="8"/>
        <w:spacing w:before="0" w:after="0" w:line="360" w:lineRule="auto"/>
        <w:ind w:firstLine="560" w:firstLineChars="200"/>
        <w:rPr>
          <w:rFonts w:hint="default"/>
          <w:color w:val="auto"/>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rPr>
        <w:t>4、售后服务方案</w:t>
      </w:r>
    </w:p>
    <w:p>
      <w:pPr>
        <w:numPr>
          <w:ilvl w:val="-1"/>
          <w:numId w:val="0"/>
        </w:numPr>
        <w:spacing w:beforeLines="0" w:afterLines="0" w:line="360" w:lineRule="auto"/>
        <w:ind w:firstLine="560" w:firstLineChars="200"/>
        <w:jc w:val="left"/>
        <w:rPr>
          <w:rFonts w:hint="eastAsia" w:ascii="仿宋" w:hAnsi="仿宋" w:eastAsia="仿宋" w:cs="仿宋"/>
          <w:b w:val="0"/>
          <w:bCs w:val="0"/>
          <w:snapToGrid w:val="0"/>
          <w:color w:val="auto"/>
          <w:kern w:val="0"/>
          <w:sz w:val="28"/>
          <w:szCs w:val="28"/>
          <w:highlight w:val="none"/>
        </w:rPr>
      </w:pPr>
      <w:r>
        <w:rPr>
          <w:rFonts w:hint="eastAsia" w:ascii="仿宋" w:hAnsi="仿宋" w:eastAsia="仿宋" w:cs="仿宋"/>
          <w:b w:val="0"/>
          <w:bCs w:val="0"/>
          <w:snapToGrid w:val="0"/>
          <w:color w:val="auto"/>
          <w:kern w:val="0"/>
          <w:sz w:val="28"/>
          <w:szCs w:val="28"/>
          <w:highlight w:val="none"/>
          <w:lang w:val="en-US" w:eastAsia="zh-CN"/>
        </w:rPr>
        <w:t>5、供应商</w:t>
      </w:r>
      <w:r>
        <w:rPr>
          <w:rFonts w:hint="eastAsia" w:ascii="仿宋" w:hAnsi="仿宋" w:eastAsia="仿宋" w:cs="仿宋"/>
          <w:b w:val="0"/>
          <w:bCs w:val="0"/>
          <w:snapToGrid w:val="0"/>
          <w:color w:val="auto"/>
          <w:kern w:val="0"/>
          <w:sz w:val="28"/>
          <w:szCs w:val="28"/>
          <w:highlight w:val="none"/>
        </w:rPr>
        <w:t>认为必要的其它内容</w:t>
      </w:r>
    </w:p>
    <w:p>
      <w:pPr>
        <w:numPr>
          <w:ilvl w:val="0"/>
          <w:numId w:val="0"/>
        </w:numPr>
        <w:rPr>
          <w:rFonts w:hint="default" w:ascii="仿宋" w:hAnsi="仿宋" w:eastAsia="仿宋" w:cs="仿宋"/>
          <w:b w:val="0"/>
          <w:bCs w:val="0"/>
          <w:color w:val="auto"/>
          <w:sz w:val="28"/>
          <w:szCs w:val="28"/>
          <w:highlight w:val="none"/>
          <w:lang w:val="en-US" w:eastAsia="zh-CN"/>
        </w:rPr>
      </w:pPr>
    </w:p>
    <w:p>
      <w:pPr>
        <w:numPr>
          <w:ilvl w:val="0"/>
          <w:numId w:val="0"/>
        </w:numPr>
        <w:rPr>
          <w:rFonts w:hint="default" w:ascii="仿宋" w:hAnsi="仿宋" w:eastAsia="仿宋" w:cs="仿宋"/>
          <w:b/>
          <w:bCs/>
          <w:color w:val="auto"/>
          <w:sz w:val="28"/>
          <w:szCs w:val="28"/>
          <w:highlight w:val="none"/>
          <w:lang w:val="en-US" w:eastAsia="zh-CN"/>
        </w:rPr>
        <w:sectPr>
          <w:pgSz w:w="11900" w:h="16840"/>
          <w:pgMar w:top="740" w:right="520" w:bottom="280" w:left="560" w:header="0" w:footer="13" w:gutter="0"/>
          <w:pgNumType w:fmt="decimal"/>
          <w:cols w:space="720" w:num="1"/>
        </w:sectPr>
      </w:pPr>
    </w:p>
    <w:bookmarkEnd w:id="525"/>
    <w:bookmarkEnd w:id="526"/>
    <w:bookmarkEnd w:id="527"/>
    <w:p>
      <w:pPr>
        <w:pStyle w:val="6"/>
        <w:keepLines w:val="0"/>
        <w:tabs>
          <w:tab w:val="left" w:pos="4320"/>
        </w:tabs>
        <w:spacing w:before="240" w:after="60" w:line="480" w:lineRule="exact"/>
        <w:jc w:val="center"/>
        <w:outlineLvl w:val="0"/>
        <w:rPr>
          <w:rFonts w:hint="eastAsia" w:ascii="仿宋" w:hAnsi="仿宋" w:eastAsia="仿宋" w:cs="仿宋"/>
          <w:color w:val="auto"/>
          <w:highlight w:val="none"/>
        </w:rPr>
      </w:pPr>
      <w:bookmarkStart w:id="576" w:name="_Toc3390"/>
      <w:bookmarkStart w:id="577" w:name="_Toc7402"/>
      <w:bookmarkStart w:id="578" w:name="_Toc202819882"/>
      <w:bookmarkStart w:id="579" w:name="_Toc18395"/>
      <w:bookmarkStart w:id="580" w:name="_Toc202817000"/>
      <w:bookmarkStart w:id="581" w:name="_Toc17564"/>
      <w:bookmarkStart w:id="582" w:name="_Toc14618"/>
      <w:bookmarkStart w:id="583" w:name="_Toc202820355"/>
      <w:bookmarkStart w:id="584" w:name="_Toc274896498"/>
      <w:bookmarkStart w:id="585" w:name="_Toc10846"/>
      <w:bookmarkStart w:id="586" w:name="_Toc18263"/>
      <w:bookmarkStart w:id="587" w:name="_Toc10434"/>
      <w:bookmarkStart w:id="588" w:name="_Toc17330"/>
      <w:bookmarkStart w:id="589" w:name="_Toc274896632"/>
      <w:bookmarkStart w:id="590" w:name="_Toc202254108"/>
      <w:bookmarkStart w:id="591" w:name="_Toc6425"/>
      <w:bookmarkStart w:id="592" w:name="_Toc202251078"/>
      <w:bookmarkStart w:id="593" w:name="_Toc6083"/>
      <w:bookmarkStart w:id="594" w:name="_Toc18525"/>
      <w:bookmarkStart w:id="595" w:name="_Toc27611"/>
      <w:bookmarkStart w:id="596" w:name="_Toc202251703"/>
      <w:bookmarkStart w:id="597" w:name="_Toc22396"/>
      <w:bookmarkStart w:id="598" w:name="_Toc18836"/>
      <w:bookmarkStart w:id="599" w:name="_Toc27778"/>
      <w:bookmarkStart w:id="600" w:name="_Toc202252037"/>
      <w:bookmarkStart w:id="601" w:name="_Toc4101"/>
      <w:bookmarkStart w:id="602" w:name="_Toc11762"/>
      <w:r>
        <w:rPr>
          <w:rFonts w:hint="eastAsia" w:ascii="仿宋" w:hAnsi="仿宋" w:eastAsia="仿宋" w:cs="仿宋"/>
          <w:bCs w:val="0"/>
          <w:color w:val="auto"/>
          <w:highlight w:val="none"/>
          <w:lang w:eastAsia="zh-CN"/>
        </w:rPr>
        <w:t>四</w:t>
      </w:r>
      <w:r>
        <w:rPr>
          <w:rFonts w:hint="eastAsia" w:ascii="仿宋" w:hAnsi="仿宋" w:eastAsia="仿宋" w:cs="仿宋"/>
          <w:bCs w:val="0"/>
          <w:color w:val="auto"/>
          <w:highlight w:val="none"/>
        </w:rPr>
        <w:t>、价格部分</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rPr>
          <w:rFonts w:hint="eastAsia" w:ascii="仿宋" w:hAnsi="仿宋" w:eastAsia="仿宋" w:cs="仿宋"/>
          <w:color w:val="auto"/>
          <w:highlight w:val="none"/>
        </w:rPr>
      </w:pPr>
    </w:p>
    <w:p>
      <w:pPr>
        <w:adjustRightInd w:val="0"/>
        <w:snapToGrid w:val="0"/>
        <w:spacing w:line="300" w:lineRule="auto"/>
        <w:rPr>
          <w:rFonts w:hint="eastAsia" w:ascii="仿宋" w:hAnsi="仿宋" w:eastAsia="仿宋" w:cs="仿宋"/>
          <w:b/>
          <w:color w:val="auto"/>
          <w:highlight w:val="none"/>
        </w:rPr>
      </w:pP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投标/报价一览表</w:t>
      </w:r>
    </w:p>
    <w:p>
      <w:pPr>
        <w:spacing w:line="360" w:lineRule="auto"/>
        <w:ind w:firstLine="5320" w:firstLineChars="1900"/>
        <w:jc w:val="center"/>
        <w:rPr>
          <w:rFonts w:hint="eastAsia" w:ascii="仿宋" w:hAnsi="仿宋" w:eastAsia="仿宋" w:cs="仿宋"/>
          <w:color w:val="auto"/>
          <w:sz w:val="28"/>
          <w:szCs w:val="28"/>
          <w:highlight w:val="none"/>
        </w:rPr>
      </w:pPr>
    </w:p>
    <w:p>
      <w:pPr>
        <w:spacing w:line="360" w:lineRule="auto"/>
        <w:ind w:firstLine="5341" w:firstLineChars="1900"/>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HZGX-2023P032</w:t>
      </w:r>
    </w:p>
    <w:tbl>
      <w:tblPr>
        <w:tblStyle w:val="38"/>
        <w:tblW w:w="9106" w:type="dxa"/>
        <w:tblInd w:w="0" w:type="dxa"/>
        <w:tblLayout w:type="fixed"/>
        <w:tblCellMar>
          <w:top w:w="0" w:type="dxa"/>
          <w:left w:w="30" w:type="dxa"/>
          <w:bottom w:w="0" w:type="dxa"/>
          <w:right w:w="30" w:type="dxa"/>
        </w:tblCellMar>
      </w:tblPr>
      <w:tblGrid>
        <w:gridCol w:w="3258"/>
        <w:gridCol w:w="3180"/>
        <w:gridCol w:w="2668"/>
      </w:tblGrid>
      <w:tr>
        <w:tblPrEx>
          <w:tblCellMar>
            <w:top w:w="0" w:type="dxa"/>
            <w:left w:w="30" w:type="dxa"/>
            <w:bottom w:w="0" w:type="dxa"/>
            <w:right w:w="30" w:type="dxa"/>
          </w:tblCellMar>
        </w:tblPrEx>
        <w:trPr>
          <w:trHeight w:val="594" w:hRule="atLeast"/>
        </w:trPr>
        <w:tc>
          <w:tcPr>
            <w:tcW w:w="3258"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31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磋商首次报价（</w:t>
            </w:r>
            <w:r>
              <w:rPr>
                <w:rFonts w:hint="eastAsia" w:ascii="仿宋" w:hAnsi="仿宋" w:eastAsia="仿宋" w:cs="仿宋"/>
                <w:b/>
                <w:bCs/>
                <w:color w:val="auto"/>
                <w:sz w:val="28"/>
                <w:szCs w:val="28"/>
                <w:highlight w:val="none"/>
                <w:lang w:val="en-US" w:eastAsia="zh-CN"/>
              </w:rPr>
              <w:t>元</w:t>
            </w:r>
            <w:r>
              <w:rPr>
                <w:rFonts w:hint="eastAsia" w:ascii="仿宋" w:hAnsi="仿宋" w:eastAsia="仿宋" w:cs="仿宋"/>
                <w:b/>
                <w:bCs/>
                <w:color w:val="auto"/>
                <w:sz w:val="28"/>
                <w:szCs w:val="28"/>
                <w:highlight w:val="none"/>
              </w:rPr>
              <w:t>）</w:t>
            </w:r>
          </w:p>
        </w:tc>
        <w:tc>
          <w:tcPr>
            <w:tcW w:w="26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tblPrEx>
          <w:tblCellMar>
            <w:top w:w="0" w:type="dxa"/>
            <w:left w:w="30" w:type="dxa"/>
            <w:bottom w:w="0" w:type="dxa"/>
            <w:right w:w="30" w:type="dxa"/>
          </w:tblCellMar>
        </w:tblPrEx>
        <w:trPr>
          <w:cantSplit/>
          <w:trHeight w:val="2541" w:hRule="atLeast"/>
        </w:trPr>
        <w:tc>
          <w:tcPr>
            <w:tcW w:w="3258"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惠州市2023年红火蚁应急防控专业服务和建立市级防控示范点项目</w:t>
            </w:r>
          </w:p>
        </w:tc>
        <w:tc>
          <w:tcPr>
            <w:tcW w:w="31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大写：     </w:t>
            </w:r>
          </w:p>
          <w:p>
            <w:pPr>
              <w:autoSpaceDE w:val="0"/>
              <w:autoSpaceDN w:val="0"/>
              <w:adjustRightInd w:val="0"/>
              <w:spacing w:line="56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小写：     </w:t>
            </w:r>
          </w:p>
          <w:p>
            <w:pPr>
              <w:autoSpaceDE w:val="0"/>
              <w:autoSpaceDN w:val="0"/>
              <w:adjustRightInd w:val="0"/>
              <w:spacing w:line="56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（保留两位小数）</w:t>
            </w:r>
          </w:p>
        </w:tc>
        <w:tc>
          <w:tcPr>
            <w:tcW w:w="26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
                <w:bCs/>
                <w:color w:val="auto"/>
                <w:sz w:val="28"/>
                <w:szCs w:val="28"/>
                <w:highlight w:val="none"/>
              </w:rPr>
            </w:pPr>
          </w:p>
        </w:tc>
      </w:tr>
    </w:tbl>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报价下浮率书写样式举例：若下浮率为25.00%，则大写为“百分之贰拾伍点零零”，小写为“25.00%”（数字大写：壹 贰 叁 肆 伍 陆 柒 捌 玖 拾 零）。 </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.报价人须按要求填写所有信息，不得随意更改本表格式。</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.报价中必须包含合同实施过程中应预见和不可预见费用等。</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.此表是响应文件的必要文件，是响应文件的组成部分。</w:t>
      </w: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adjustRightInd w:val="0"/>
        <w:snapToGrid w:val="0"/>
        <w:spacing w:line="360" w:lineRule="auto"/>
        <w:ind w:left="0" w:leftChars="0" w:firstLine="0" w:firstLineChars="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0" w:firstLineChars="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pPr>
        <w:adjustRightInd w:val="0"/>
        <w:snapToGrid w:val="0"/>
        <w:spacing w:line="360" w:lineRule="auto"/>
        <w:ind w:firstLine="2878" w:firstLineChars="1028"/>
        <w:rPr>
          <w:rFonts w:hint="eastAsia" w:ascii="仿宋" w:hAnsi="仿宋" w:eastAsia="仿宋" w:cs="仿宋"/>
          <w:color w:val="auto"/>
          <w:sz w:val="28"/>
          <w:szCs w:val="28"/>
          <w:highlight w:val="none"/>
        </w:rPr>
      </w:pPr>
    </w:p>
    <w:p>
      <w:pPr>
        <w:pStyle w:val="7"/>
        <w:rPr>
          <w:rFonts w:hint="eastAsia" w:ascii="仿宋" w:hAnsi="仿宋" w:eastAsia="仿宋" w:cs="仿宋"/>
          <w:color w:val="auto"/>
          <w:sz w:val="28"/>
          <w:szCs w:val="28"/>
          <w:highlight w:val="none"/>
        </w:rPr>
      </w:pPr>
    </w:p>
    <w:p>
      <w:pPr>
        <w:pStyle w:val="7"/>
        <w:rPr>
          <w:rFonts w:hint="eastAsia"/>
          <w:color w:val="auto"/>
          <w:highlight w:val="none"/>
        </w:rPr>
      </w:pPr>
    </w:p>
    <w:p>
      <w:pPr>
        <w:pStyle w:val="37"/>
        <w:rPr>
          <w:rFonts w:hint="eastAsia" w:ascii="仿宋" w:hAnsi="仿宋" w:eastAsia="仿宋" w:cs="仿宋"/>
          <w:color w:val="auto"/>
          <w:sz w:val="28"/>
          <w:szCs w:val="28"/>
          <w:highlight w:val="none"/>
        </w:rPr>
      </w:pPr>
    </w:p>
    <w:p>
      <w:pPr>
        <w:spacing w:line="360" w:lineRule="auto"/>
        <w:rPr>
          <w:rFonts w:ascii="宋体" w:hAnsi="宋体" w:cs="宋体"/>
          <w:b/>
          <w:color w:val="auto"/>
          <w:sz w:val="24"/>
          <w:szCs w:val="24"/>
          <w:highlight w:val="none"/>
        </w:rPr>
      </w:pPr>
      <w:r>
        <w:rPr>
          <w:rFonts w:hint="eastAsia"/>
          <w:color w:val="auto"/>
          <w:highlight w:val="none"/>
          <w:lang w:val="en-US" w:eastAsia="zh-CN"/>
        </w:rPr>
        <w:t xml:space="preserve">  </w:t>
      </w:r>
      <w:r>
        <w:rPr>
          <w:rFonts w:hint="eastAsia" w:ascii="宋体" w:hAnsi="宋体" w:cs="宋体"/>
          <w:b/>
          <w:color w:val="auto"/>
          <w:sz w:val="24"/>
          <w:szCs w:val="24"/>
          <w:highlight w:val="none"/>
        </w:rPr>
        <w:t>附件</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领取</w:t>
      </w:r>
      <w:r>
        <w:rPr>
          <w:rFonts w:hint="eastAsia" w:ascii="宋体" w:hAnsi="宋体" w:cs="宋体"/>
          <w:b/>
          <w:color w:val="auto"/>
          <w:sz w:val="24"/>
          <w:szCs w:val="24"/>
          <w:highlight w:val="none"/>
          <w:lang w:val="en-US" w:eastAsia="zh-CN"/>
        </w:rPr>
        <w:t>磋商</w:t>
      </w:r>
      <w:r>
        <w:rPr>
          <w:rFonts w:hint="eastAsia" w:ascii="宋体" w:hAnsi="宋体" w:cs="宋体"/>
          <w:b/>
          <w:color w:val="auto"/>
          <w:sz w:val="24"/>
          <w:szCs w:val="24"/>
          <w:highlight w:val="none"/>
        </w:rPr>
        <w:t>文件登记表</w:t>
      </w:r>
    </w:p>
    <w:tbl>
      <w:tblPr>
        <w:tblStyle w:val="38"/>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3315"/>
        <w:gridCol w:w="1590"/>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6982" w:type="dxa"/>
            <w:gridSpan w:val="3"/>
            <w:vAlign w:val="center"/>
          </w:tcPr>
          <w:p>
            <w:pPr>
              <w:jc w:val="left"/>
              <w:rPr>
                <w:rFonts w:hint="eastAsia" w:ascii="宋体" w:hAnsi="宋体" w:cs="宋体"/>
                <w:b/>
                <w:bCs/>
                <w:color w:val="auto"/>
                <w:sz w:val="24"/>
                <w:szCs w:val="24"/>
                <w:highlight w:val="none"/>
              </w:rPr>
            </w:pPr>
            <w:r>
              <w:rPr>
                <w:rFonts w:hint="eastAsia" w:ascii="仿宋" w:hAnsi="仿宋" w:eastAsia="仿宋" w:cs="仿宋"/>
                <w:b/>
                <w:bCs/>
                <w:color w:val="auto"/>
                <w:sz w:val="28"/>
                <w:szCs w:val="28"/>
                <w:highlight w:val="none"/>
                <w:lang w:eastAsia="zh-CN"/>
              </w:rPr>
              <w:t>惠州市2023年红火蚁应急防控专业服务和建立市级防控示范点项目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采购编号</w:t>
            </w:r>
          </w:p>
        </w:tc>
        <w:tc>
          <w:tcPr>
            <w:tcW w:w="6982" w:type="dxa"/>
            <w:gridSpan w:val="3"/>
            <w:vAlign w:val="center"/>
          </w:tcPr>
          <w:p>
            <w:pPr>
              <w:adjustRightInd w:val="0"/>
              <w:snapToGrid w:val="0"/>
              <w:jc w:val="left"/>
              <w:rPr>
                <w:rFonts w:ascii="宋体" w:hAnsi="宋体" w:cs="宋体"/>
                <w:b/>
                <w:bCs/>
                <w:color w:val="auto"/>
                <w:sz w:val="24"/>
                <w:szCs w:val="24"/>
                <w:highlight w:val="none"/>
              </w:rPr>
            </w:pPr>
            <w:r>
              <w:rPr>
                <w:rFonts w:hint="eastAsia" w:ascii="仿宋" w:hAnsi="仿宋" w:eastAsia="仿宋" w:cs="仿宋"/>
                <w:b/>
                <w:bCs/>
                <w:color w:val="auto"/>
                <w:sz w:val="28"/>
                <w:szCs w:val="28"/>
                <w:highlight w:val="none"/>
                <w:lang w:eastAsia="zh-CN"/>
              </w:rPr>
              <w:t>HZGX-2023P032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招标代理机构</w:t>
            </w:r>
          </w:p>
        </w:tc>
        <w:tc>
          <w:tcPr>
            <w:tcW w:w="3315" w:type="dxa"/>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惠州公信项目管理有限公司</w:t>
            </w:r>
          </w:p>
        </w:tc>
        <w:tc>
          <w:tcPr>
            <w:tcW w:w="1590" w:type="dxa"/>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项目负责人</w:t>
            </w:r>
          </w:p>
        </w:tc>
        <w:tc>
          <w:tcPr>
            <w:tcW w:w="2077" w:type="dxa"/>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杨</w:t>
            </w:r>
            <w:r>
              <w:rPr>
                <w:rFonts w:hint="eastAsia" w:ascii="宋体" w:hAnsi="宋体" w:cs="宋体"/>
                <w:b/>
                <w:color w:val="auto"/>
                <w:sz w:val="24"/>
                <w:szCs w:val="24"/>
                <w:highlight w:val="none"/>
              </w:rPr>
              <w:t>小姐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*投标单位名称</w:t>
            </w:r>
          </w:p>
        </w:tc>
        <w:tc>
          <w:tcPr>
            <w:tcW w:w="6982" w:type="dxa"/>
            <w:gridSpan w:val="3"/>
            <w:vAlign w:val="center"/>
          </w:tcPr>
          <w:p>
            <w:pP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*地  址</w:t>
            </w:r>
          </w:p>
        </w:tc>
        <w:tc>
          <w:tcPr>
            <w:tcW w:w="6982" w:type="dxa"/>
            <w:gridSpan w:val="3"/>
            <w:vAlign w:val="center"/>
          </w:tcPr>
          <w:p>
            <w:pP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*固  话</w:t>
            </w:r>
          </w:p>
        </w:tc>
        <w:tc>
          <w:tcPr>
            <w:tcW w:w="6982" w:type="dxa"/>
            <w:gridSpan w:val="3"/>
            <w:vAlign w:val="center"/>
          </w:tcPr>
          <w:p>
            <w:pP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*投标人法定代表人或被授权</w:t>
            </w:r>
          </w:p>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代表签字</w:t>
            </w:r>
          </w:p>
        </w:tc>
        <w:tc>
          <w:tcPr>
            <w:tcW w:w="6982" w:type="dxa"/>
            <w:gridSpan w:val="3"/>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法定代表人或被授权人                </w:t>
            </w: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签名：                                 日  期</w:t>
            </w:r>
          </w:p>
          <w:p>
            <w:pPr>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*移动电话</w:t>
            </w:r>
          </w:p>
        </w:tc>
        <w:tc>
          <w:tcPr>
            <w:tcW w:w="3315" w:type="dxa"/>
            <w:vAlign w:val="center"/>
          </w:tcPr>
          <w:p>
            <w:pPr>
              <w:jc w:val="center"/>
              <w:rPr>
                <w:rFonts w:hint="eastAsia" w:ascii="宋体" w:hAnsi="宋体" w:cs="宋体"/>
                <w:b/>
                <w:color w:val="auto"/>
                <w:sz w:val="24"/>
                <w:szCs w:val="24"/>
                <w:highlight w:val="none"/>
              </w:rPr>
            </w:pPr>
          </w:p>
        </w:tc>
        <w:tc>
          <w:tcPr>
            <w:tcW w:w="1590" w:type="dxa"/>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传真</w:t>
            </w:r>
          </w:p>
        </w:tc>
        <w:tc>
          <w:tcPr>
            <w:tcW w:w="2077" w:type="dxa"/>
            <w:vAlign w:val="center"/>
          </w:tcPr>
          <w:p>
            <w:pPr>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*邮箱</w:t>
            </w:r>
          </w:p>
        </w:tc>
        <w:tc>
          <w:tcPr>
            <w:tcW w:w="6982" w:type="dxa"/>
            <w:gridSpan w:val="3"/>
            <w:vAlign w:val="center"/>
          </w:tcPr>
          <w:p>
            <w:pPr>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*所投包组号（有则填写，无则不填）</w:t>
            </w:r>
          </w:p>
        </w:tc>
        <w:tc>
          <w:tcPr>
            <w:tcW w:w="6982" w:type="dxa"/>
            <w:gridSpan w:val="3"/>
            <w:vAlign w:val="center"/>
          </w:tcPr>
          <w:p>
            <w:pPr>
              <w:ind w:left="3780" w:leftChars="1800"/>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*领取招标文件</w:t>
            </w:r>
          </w:p>
        </w:tc>
        <w:tc>
          <w:tcPr>
            <w:tcW w:w="6982" w:type="dxa"/>
            <w:gridSpan w:val="3"/>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签  名：</w:t>
            </w:r>
          </w:p>
          <w:p>
            <w:pPr>
              <w:ind w:left="3780" w:leftChars="18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备   注</w:t>
            </w:r>
          </w:p>
        </w:tc>
        <w:tc>
          <w:tcPr>
            <w:tcW w:w="6982" w:type="dxa"/>
            <w:gridSpan w:val="3"/>
            <w:vAlign w:val="center"/>
          </w:tcPr>
          <w:p>
            <w:pPr>
              <w:rPr>
                <w:rFonts w:hint="eastAsia" w:ascii="宋体" w:hAnsi="宋体" w:cs="宋体"/>
                <w:b/>
                <w:color w:val="auto"/>
                <w:sz w:val="24"/>
                <w:szCs w:val="24"/>
                <w:highlight w:val="none"/>
              </w:rPr>
            </w:pPr>
          </w:p>
          <w:p>
            <w:pPr>
              <w:rPr>
                <w:rFonts w:hint="eastAsia" w:ascii="宋体" w:hAnsi="宋体" w:cs="宋体"/>
                <w:b/>
                <w:color w:val="auto"/>
                <w:sz w:val="24"/>
                <w:szCs w:val="24"/>
                <w:highlight w:val="none"/>
              </w:rPr>
            </w:pPr>
          </w:p>
          <w:p>
            <w:pPr>
              <w:rPr>
                <w:rFonts w:hint="eastAsia" w:ascii="宋体" w:hAnsi="宋体" w:cs="宋体"/>
                <w:b/>
                <w:color w:val="auto"/>
                <w:sz w:val="24"/>
                <w:szCs w:val="24"/>
                <w:highlight w:val="none"/>
              </w:rPr>
            </w:pPr>
          </w:p>
        </w:tc>
      </w:tr>
    </w:tbl>
    <w:p>
      <w:pPr>
        <w:spacing w:before="240" w:line="400" w:lineRule="exact"/>
        <w:ind w:left="1082" w:leftChars="114" w:hanging="843" w:hangingChars="400"/>
        <w:rPr>
          <w:rFonts w:hint="eastAsia" w:ascii="宋体" w:hAnsi="宋体" w:cs="宋体"/>
          <w:b/>
          <w:color w:val="auto"/>
          <w:sz w:val="21"/>
          <w:szCs w:val="21"/>
          <w:highlight w:val="none"/>
        </w:rPr>
      </w:pPr>
      <w:r>
        <w:rPr>
          <w:rFonts w:hint="eastAsia" w:ascii="宋体" w:hAnsi="宋体" w:cs="宋体"/>
          <w:b/>
          <w:color w:val="auto"/>
          <w:sz w:val="21"/>
          <w:szCs w:val="21"/>
          <w:highlight w:val="none"/>
        </w:rPr>
        <w:t>注：</w:t>
      </w:r>
    </w:p>
    <w:p>
      <w:pPr>
        <w:spacing w:before="240" w:line="400" w:lineRule="exact"/>
        <w:ind w:left="1082" w:leftChars="114" w:hanging="843" w:hangingChars="400"/>
        <w:rPr>
          <w:rFonts w:hint="eastAsia" w:ascii="宋体" w:hAnsi="宋体" w:eastAsia="宋体" w:cs="宋体"/>
          <w:b/>
          <w:bCs/>
          <w:color w:val="auto"/>
          <w:sz w:val="21"/>
          <w:szCs w:val="21"/>
          <w:highlight w:val="none"/>
          <w:u w:val="single"/>
          <w:lang w:eastAsia="zh-CN"/>
        </w:rPr>
      </w:pPr>
      <w:r>
        <w:rPr>
          <w:rFonts w:hint="eastAsia" w:ascii="宋体" w:hAnsi="宋体" w:cs="宋体"/>
          <w:b/>
          <w:color w:val="auto"/>
          <w:sz w:val="21"/>
          <w:szCs w:val="21"/>
          <w:highlight w:val="none"/>
          <w:lang w:val="en-US" w:eastAsia="zh-CN"/>
        </w:rPr>
        <w:t>1、</w:t>
      </w:r>
      <w:r>
        <w:rPr>
          <w:rFonts w:hint="eastAsia" w:ascii="宋体" w:hAnsi="宋体" w:cs="宋体"/>
          <w:b/>
          <w:bCs/>
          <w:color w:val="auto"/>
          <w:sz w:val="21"/>
          <w:szCs w:val="21"/>
          <w:highlight w:val="none"/>
          <w:u w:val="single"/>
        </w:rPr>
        <w:t>实际投标人的称谓必须与报名时的一致，否则其投标文件无效</w:t>
      </w:r>
      <w:r>
        <w:rPr>
          <w:rFonts w:hint="eastAsia" w:ascii="宋体" w:hAnsi="宋体" w:cs="宋体"/>
          <w:b/>
          <w:bCs/>
          <w:color w:val="auto"/>
          <w:sz w:val="21"/>
          <w:szCs w:val="21"/>
          <w:highlight w:val="none"/>
          <w:u w:val="single"/>
          <w:lang w:eastAsia="zh-CN"/>
        </w:rPr>
        <w:t>；</w:t>
      </w:r>
    </w:p>
    <w:p>
      <w:pPr>
        <w:pStyle w:val="7"/>
        <w:spacing w:line="400" w:lineRule="exact"/>
        <w:ind w:firstLine="211" w:firstLineChars="100"/>
        <w:rPr>
          <w:rFonts w:hint="default"/>
          <w:color w:val="auto"/>
          <w:highlight w:val="none"/>
          <w:lang w:val="en-US" w:eastAsia="zh-CN"/>
        </w:rPr>
      </w:pPr>
      <w:r>
        <w:rPr>
          <w:rFonts w:hint="eastAsia" w:ascii="宋体" w:hAnsi="宋体" w:cs="宋体"/>
          <w:b/>
          <w:bCs/>
          <w:color w:val="auto"/>
          <w:sz w:val="21"/>
          <w:szCs w:val="21"/>
          <w:highlight w:val="none"/>
          <w:u w:val="single"/>
          <w:lang w:val="en-US" w:eastAsia="zh-CN"/>
        </w:rPr>
        <w:t>2、</w:t>
      </w:r>
      <w:r>
        <w:rPr>
          <w:rFonts w:hint="eastAsia" w:ascii="宋体" w:hAnsi="宋体" w:cs="宋体"/>
          <w:b/>
          <w:bCs/>
          <w:color w:val="auto"/>
          <w:sz w:val="21"/>
          <w:szCs w:val="21"/>
          <w:highlight w:val="none"/>
          <w:u w:val="single"/>
        </w:rPr>
        <w:t>打*号为必填项</w:t>
      </w:r>
      <w:r>
        <w:rPr>
          <w:rFonts w:hint="eastAsia" w:ascii="宋体" w:hAnsi="宋体" w:cs="宋体"/>
          <w:b/>
          <w:bCs/>
          <w:color w:val="auto"/>
          <w:sz w:val="21"/>
          <w:szCs w:val="21"/>
          <w:highlight w:val="none"/>
          <w:u w:val="single"/>
          <w:lang w:eastAsia="zh-CN"/>
        </w:rPr>
        <w:t>。</w:t>
      </w:r>
    </w:p>
    <w:p>
      <w:pPr>
        <w:rPr>
          <w:rFonts w:hint="default"/>
          <w:color w:val="auto"/>
          <w:highlight w:val="none"/>
          <w:lang w:val="en-US" w:eastAsia="zh-CN"/>
        </w:rPr>
      </w:pPr>
    </w:p>
    <w:sectPr>
      <w:headerReference r:id="rId7" w:type="first"/>
      <w:footerReference r:id="rId9" w:type="first"/>
      <w:headerReference r:id="rId6" w:type="default"/>
      <w:footerReference r:id="rId8" w:type="default"/>
      <w:pgSz w:w="11906" w:h="16838"/>
      <w:pgMar w:top="1418" w:right="1418" w:bottom="1418" w:left="1418"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0BA318-37FC-4C89-A8C1-61793FCD0133}"/>
  </w:font>
  <w:font w:name="黑体">
    <w:panose1 w:val="02010609060101010101"/>
    <w:charset w:val="86"/>
    <w:family w:val="auto"/>
    <w:pitch w:val="default"/>
    <w:sig w:usb0="800002BF" w:usb1="38CF7CFA" w:usb2="00000016" w:usb3="00000000" w:csb0="00040001" w:csb1="00000000"/>
    <w:embedRegular r:id="rId2" w:fontKey="{7FAA5988-2663-4281-8ABD-D9B1062B79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780D539E-4677-4548-907E-26E5BB5D6F57}"/>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embedRegular r:id="rId4" w:fontKey="{2243D112-1220-4759-833A-5FB9E674BDF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Xgd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OXnDlhaeDn79/OP36df35l&#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9V4HdAQAAvgMAAA4AAAAAAAAA&#10;AQAgAAAAHgEAAGRycy9lMm9Eb2MueG1sUEsFBgAAAAAGAAYAWQEAAG0FAAAAAA==&#10;">
              <v:fill on="f" focussize="0,0"/>
              <v:stroke on="f"/>
              <v:imagedata o:title=""/>
              <o:lock v:ext="edit" aspectratio="f"/>
              <v:textbox inset="0mm,0mm,0mm,0mm" style="mso-fit-shape-to-text:t;">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0" cy="16637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162050" cy="166370"/>
                      </a:xfrm>
                      <a:prstGeom prst="rect">
                        <a:avLst/>
                      </a:prstGeom>
                      <a:noFill/>
                      <a:ln>
                        <a:noFill/>
                      </a:ln>
                    </wps:spPr>
                    <wps:txbx>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vert="horz" wrap="square" lIns="0" tIns="0" rIns="0" bIns="0" anchor="t" anchorCtr="0" upright="0"/>
                  </wps:wsp>
                </a:graphicData>
              </a:graphic>
            </wp:anchor>
          </w:drawing>
        </mc:Choice>
        <mc:Fallback>
          <w:pict>
            <v:shape id="文本框 3" o:spid="_x0000_s1026" o:spt="202" type="#_x0000_t202" style="position:absolute;left:0pt;margin-top:0pt;height:13.1pt;width:91.5pt;mso-position-horizontal:center;mso-position-horizontal-relative:margin;z-index:251660288;mso-width-relative:page;mso-height-relative:page;" filled="f" stroked="f" coordsize="21600,21600" o:gfxdata="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An7tMAAAAEAQAADwAAAAAAAAABACAA&#10;AAAiAAAAZHJzL2Rvd25yZXYueG1sUEsBAhQAFAAAAAgAh07iQDN8VJ/ZAQAApQMAAA4AAAAAAAAA&#10;AQAgAAAAIgEAAGRycy9lMm9Eb2MueG1sUEsFBgAAAAAGAAYAWQEAAG0FAAAAAA==&#10;">
              <v:fill on="f" focussize="0,0"/>
              <v:stroke on="f"/>
              <v:imagedata o:title=""/>
              <o:lock v:ext="edit" aspectratio="f"/>
              <v:textbox inset="0mm,0mm,0mm,0mm">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3da9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UTd1r3gEAAL4DAAAOAAAAAAAA&#10;AAEAIAAAAB4BAABkcnMvZTJvRG9jLnhtbFBLBQYAAAAABgAGAFkBAABuBQAAAAA=&#10;">
              <v:fill on="f" focussize="0,0"/>
              <v:stroke on="f"/>
              <v:imagedata o:title=""/>
              <o:lock v:ext="edit" aspectratio="f"/>
              <v:textbox inset="0mm,0mm,0mm,0mm" style="mso-fit-shape-to-text:t;">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8933A"/>
    <w:multiLevelType w:val="singleLevel"/>
    <w:tmpl w:val="D2D8933A"/>
    <w:lvl w:ilvl="0" w:tentative="0">
      <w:start w:val="3"/>
      <w:numFmt w:val="decimal"/>
      <w:suff w:val="nothing"/>
      <w:lvlText w:val="%1、"/>
      <w:lvlJc w:val="left"/>
    </w:lvl>
  </w:abstractNum>
  <w:abstractNum w:abstractNumId="1">
    <w:nsid w:val="00000000"/>
    <w:multiLevelType w:val="multilevel"/>
    <w:tmpl w:val="00000000"/>
    <w:lvl w:ilvl="0" w:tentative="0">
      <w:start w:val="1"/>
      <w:numFmt w:val="decimal"/>
      <w:lvlText w:val="11.%1"/>
      <w:lvlJc w:val="left"/>
      <w:pPr>
        <w:tabs>
          <w:tab w:val="left" w:pos="1680"/>
        </w:tabs>
        <w:ind w:left="16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
    <w:nsid w:val="00000003"/>
    <w:multiLevelType w:val="multilevel"/>
    <w:tmpl w:val="00000003"/>
    <w:lvl w:ilvl="0" w:tentative="0">
      <w:start w:val="1"/>
      <w:numFmt w:val="chineseCountingThousand"/>
      <w:lvlText w:val="%1、"/>
      <w:lvlJc w:val="left"/>
      <w:pPr>
        <w:tabs>
          <w:tab w:val="left" w:pos="980"/>
        </w:tabs>
        <w:ind w:left="980" w:hanging="420"/>
      </w:pPr>
    </w:lvl>
    <w:lvl w:ilvl="1" w:tentative="0">
      <w:start w:val="1"/>
      <w:numFmt w:val="japaneseCounting"/>
      <w:lvlText w:val="%2、"/>
      <w:lvlJc w:val="left"/>
      <w:pPr>
        <w:tabs>
          <w:tab w:val="left" w:pos="2240"/>
        </w:tabs>
        <w:ind w:left="2240" w:hanging="126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0000000B"/>
    <w:multiLevelType w:val="multilevel"/>
    <w:tmpl w:val="0000000B"/>
    <w:lvl w:ilvl="0" w:tentative="0">
      <w:start w:val="1"/>
      <w:numFmt w:val="decimal"/>
      <w:lvlText w:val="%1."/>
      <w:lvlJc w:val="left"/>
      <w:pPr>
        <w:tabs>
          <w:tab w:val="left" w:pos="1680"/>
        </w:tabs>
        <w:ind w:left="1680" w:hanging="420"/>
      </w:pPr>
    </w:lvl>
    <w:lvl w:ilvl="1" w:tentative="0">
      <w:start w:val="1"/>
      <w:numFmt w:val="decimal"/>
      <w:lvlText w:val="%2)"/>
      <w:lvlJc w:val="left"/>
      <w:pPr>
        <w:tabs>
          <w:tab w:val="left" w:pos="2488"/>
        </w:tabs>
        <w:ind w:left="2488" w:hanging="420"/>
      </w:pPr>
      <w:rPr>
        <w:rFonts w:hint="eastAsia"/>
      </w:rPr>
    </w:lvl>
    <w:lvl w:ilvl="2" w:tentative="0">
      <w:start w:val="1"/>
      <w:numFmt w:val="lowerRoman"/>
      <w:lvlText w:val="%3."/>
      <w:lvlJc w:val="right"/>
      <w:pPr>
        <w:tabs>
          <w:tab w:val="left" w:pos="2908"/>
        </w:tabs>
        <w:ind w:left="2908" w:hanging="420"/>
      </w:pPr>
    </w:lvl>
    <w:lvl w:ilvl="3" w:tentative="0">
      <w:start w:val="1"/>
      <w:numFmt w:val="decimal"/>
      <w:lvlText w:val="%4."/>
      <w:lvlJc w:val="left"/>
      <w:pPr>
        <w:tabs>
          <w:tab w:val="left" w:pos="3328"/>
        </w:tabs>
        <w:ind w:left="3328" w:hanging="420"/>
      </w:pPr>
    </w:lvl>
    <w:lvl w:ilvl="4" w:tentative="0">
      <w:start w:val="1"/>
      <w:numFmt w:val="lowerLetter"/>
      <w:lvlText w:val="%5)"/>
      <w:lvlJc w:val="left"/>
      <w:pPr>
        <w:tabs>
          <w:tab w:val="left" w:pos="3748"/>
        </w:tabs>
        <w:ind w:left="3748" w:hanging="420"/>
      </w:pPr>
    </w:lvl>
    <w:lvl w:ilvl="5" w:tentative="0">
      <w:start w:val="1"/>
      <w:numFmt w:val="lowerRoman"/>
      <w:lvlText w:val="%6."/>
      <w:lvlJc w:val="right"/>
      <w:pPr>
        <w:tabs>
          <w:tab w:val="left" w:pos="4168"/>
        </w:tabs>
        <w:ind w:left="4168" w:hanging="420"/>
      </w:pPr>
    </w:lvl>
    <w:lvl w:ilvl="6" w:tentative="0">
      <w:start w:val="1"/>
      <w:numFmt w:val="decimal"/>
      <w:lvlText w:val="%7."/>
      <w:lvlJc w:val="left"/>
      <w:pPr>
        <w:tabs>
          <w:tab w:val="left" w:pos="4588"/>
        </w:tabs>
        <w:ind w:left="4588" w:hanging="420"/>
      </w:pPr>
    </w:lvl>
    <w:lvl w:ilvl="7" w:tentative="0">
      <w:start w:val="1"/>
      <w:numFmt w:val="lowerLetter"/>
      <w:lvlText w:val="%8)"/>
      <w:lvlJc w:val="left"/>
      <w:pPr>
        <w:tabs>
          <w:tab w:val="left" w:pos="5008"/>
        </w:tabs>
        <w:ind w:left="5008" w:hanging="420"/>
      </w:pPr>
    </w:lvl>
    <w:lvl w:ilvl="8" w:tentative="0">
      <w:start w:val="1"/>
      <w:numFmt w:val="lowerRoman"/>
      <w:lvlText w:val="%9."/>
      <w:lvlJc w:val="right"/>
      <w:pPr>
        <w:tabs>
          <w:tab w:val="left" w:pos="5428"/>
        </w:tabs>
        <w:ind w:left="5428" w:hanging="420"/>
      </w:pPr>
    </w:lvl>
  </w:abstractNum>
  <w:abstractNum w:abstractNumId="5">
    <w:nsid w:val="5C98596F"/>
    <w:multiLevelType w:val="singleLevel"/>
    <w:tmpl w:val="5C98596F"/>
    <w:lvl w:ilvl="0" w:tentative="0">
      <w:start w:val="1"/>
      <w:numFmt w:val="decimal"/>
      <w:suff w:val="nothing"/>
      <w:lvlText w:val="%1、"/>
      <w:lvlJc w:val="left"/>
    </w:lvl>
  </w:abstractNum>
  <w:abstractNum w:abstractNumId="6">
    <w:nsid w:val="7DEC2089"/>
    <w:multiLevelType w:val="multilevel"/>
    <w:tmpl w:val="7DEC2089"/>
    <w:lvl w:ilvl="0" w:tentative="0">
      <w:start w:val="1"/>
      <w:numFmt w:val="decimal"/>
      <w:lvlText w:val="%1."/>
      <w:lvlJc w:val="left"/>
      <w:pPr>
        <w:ind w:left="106" w:hanging="183"/>
        <w:jc w:val="left"/>
      </w:pPr>
      <w:rPr>
        <w:rFonts w:hint="default" w:ascii="宋体" w:hAnsi="宋体" w:eastAsia="宋体" w:cs="宋体"/>
        <w:spacing w:val="-3"/>
        <w:w w:val="64"/>
        <w:sz w:val="17"/>
        <w:szCs w:val="17"/>
        <w:lang w:val="en-US" w:eastAsia="zh-CN" w:bidi="ar-SA"/>
      </w:rPr>
    </w:lvl>
    <w:lvl w:ilvl="1" w:tentative="0">
      <w:start w:val="0"/>
      <w:numFmt w:val="bullet"/>
      <w:lvlText w:val="•"/>
      <w:lvlJc w:val="left"/>
      <w:pPr>
        <w:ind w:left="1172" w:hanging="183"/>
      </w:pPr>
      <w:rPr>
        <w:rFonts w:hint="default"/>
        <w:lang w:val="en-US" w:eastAsia="zh-CN" w:bidi="ar-SA"/>
      </w:rPr>
    </w:lvl>
    <w:lvl w:ilvl="2" w:tentative="0">
      <w:start w:val="0"/>
      <w:numFmt w:val="bullet"/>
      <w:lvlText w:val="•"/>
      <w:lvlJc w:val="left"/>
      <w:pPr>
        <w:ind w:left="2244" w:hanging="183"/>
      </w:pPr>
      <w:rPr>
        <w:rFonts w:hint="default"/>
        <w:lang w:val="en-US" w:eastAsia="zh-CN" w:bidi="ar-SA"/>
      </w:rPr>
    </w:lvl>
    <w:lvl w:ilvl="3" w:tentative="0">
      <w:start w:val="0"/>
      <w:numFmt w:val="bullet"/>
      <w:lvlText w:val="•"/>
      <w:lvlJc w:val="left"/>
      <w:pPr>
        <w:ind w:left="3316" w:hanging="183"/>
      </w:pPr>
      <w:rPr>
        <w:rFonts w:hint="default"/>
        <w:lang w:val="en-US" w:eastAsia="zh-CN" w:bidi="ar-SA"/>
      </w:rPr>
    </w:lvl>
    <w:lvl w:ilvl="4" w:tentative="0">
      <w:start w:val="0"/>
      <w:numFmt w:val="bullet"/>
      <w:lvlText w:val="•"/>
      <w:lvlJc w:val="left"/>
      <w:pPr>
        <w:ind w:left="4388" w:hanging="183"/>
      </w:pPr>
      <w:rPr>
        <w:rFonts w:hint="default"/>
        <w:lang w:val="en-US" w:eastAsia="zh-CN" w:bidi="ar-SA"/>
      </w:rPr>
    </w:lvl>
    <w:lvl w:ilvl="5" w:tentative="0">
      <w:start w:val="0"/>
      <w:numFmt w:val="bullet"/>
      <w:lvlText w:val="•"/>
      <w:lvlJc w:val="left"/>
      <w:pPr>
        <w:ind w:left="5460" w:hanging="183"/>
      </w:pPr>
      <w:rPr>
        <w:rFonts w:hint="default"/>
        <w:lang w:val="en-US" w:eastAsia="zh-CN" w:bidi="ar-SA"/>
      </w:rPr>
    </w:lvl>
    <w:lvl w:ilvl="6" w:tentative="0">
      <w:start w:val="0"/>
      <w:numFmt w:val="bullet"/>
      <w:lvlText w:val="•"/>
      <w:lvlJc w:val="left"/>
      <w:pPr>
        <w:ind w:left="6532" w:hanging="183"/>
      </w:pPr>
      <w:rPr>
        <w:rFonts w:hint="default"/>
        <w:lang w:val="en-US" w:eastAsia="zh-CN" w:bidi="ar-SA"/>
      </w:rPr>
    </w:lvl>
    <w:lvl w:ilvl="7" w:tentative="0">
      <w:start w:val="0"/>
      <w:numFmt w:val="bullet"/>
      <w:lvlText w:val="•"/>
      <w:lvlJc w:val="left"/>
      <w:pPr>
        <w:ind w:left="7604" w:hanging="183"/>
      </w:pPr>
      <w:rPr>
        <w:rFonts w:hint="default"/>
        <w:lang w:val="en-US" w:eastAsia="zh-CN" w:bidi="ar-SA"/>
      </w:rPr>
    </w:lvl>
    <w:lvl w:ilvl="8" w:tentative="0">
      <w:start w:val="0"/>
      <w:numFmt w:val="bullet"/>
      <w:lvlText w:val="•"/>
      <w:lvlJc w:val="left"/>
      <w:pPr>
        <w:ind w:left="8676" w:hanging="183"/>
      </w:pPr>
      <w:rPr>
        <w:rFonts w:hint="default"/>
        <w:lang w:val="en-US" w:eastAsia="zh-CN" w:bidi="ar-SA"/>
      </w:r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2VjODJkNDM3MjhlZjkzYjFkYzk2ZjM3MzAyZjYifQ=="/>
  </w:docVars>
  <w:rsids>
    <w:rsidRoot w:val="00000000"/>
    <w:rsid w:val="00AC2161"/>
    <w:rsid w:val="00D44DCC"/>
    <w:rsid w:val="015754F6"/>
    <w:rsid w:val="01583D91"/>
    <w:rsid w:val="02083E52"/>
    <w:rsid w:val="022655F4"/>
    <w:rsid w:val="02586838"/>
    <w:rsid w:val="026B5FEA"/>
    <w:rsid w:val="02755DFE"/>
    <w:rsid w:val="02C646E1"/>
    <w:rsid w:val="032072D1"/>
    <w:rsid w:val="033A4C41"/>
    <w:rsid w:val="03411FB9"/>
    <w:rsid w:val="035E3747"/>
    <w:rsid w:val="03CC3F79"/>
    <w:rsid w:val="040B389F"/>
    <w:rsid w:val="041476CE"/>
    <w:rsid w:val="04732647"/>
    <w:rsid w:val="04AE367F"/>
    <w:rsid w:val="04C06A5A"/>
    <w:rsid w:val="04EB48D3"/>
    <w:rsid w:val="05B4011D"/>
    <w:rsid w:val="05CB4004"/>
    <w:rsid w:val="061870A3"/>
    <w:rsid w:val="063A05ED"/>
    <w:rsid w:val="065A1D10"/>
    <w:rsid w:val="06AB431A"/>
    <w:rsid w:val="07041EC0"/>
    <w:rsid w:val="072C1760"/>
    <w:rsid w:val="07AF1BE8"/>
    <w:rsid w:val="07B40FAC"/>
    <w:rsid w:val="081D2FF5"/>
    <w:rsid w:val="08DF0383"/>
    <w:rsid w:val="09510A7C"/>
    <w:rsid w:val="09D771D4"/>
    <w:rsid w:val="09DE12E2"/>
    <w:rsid w:val="09FA2145"/>
    <w:rsid w:val="0A7A40A6"/>
    <w:rsid w:val="0C01678A"/>
    <w:rsid w:val="0C1A73C7"/>
    <w:rsid w:val="0C302A80"/>
    <w:rsid w:val="0C693011"/>
    <w:rsid w:val="0C6D7E20"/>
    <w:rsid w:val="0CF63E15"/>
    <w:rsid w:val="0D1A7D29"/>
    <w:rsid w:val="0D1C3D77"/>
    <w:rsid w:val="0D542961"/>
    <w:rsid w:val="0D913B3D"/>
    <w:rsid w:val="0DE27A52"/>
    <w:rsid w:val="0E3E4FE7"/>
    <w:rsid w:val="0E4141F2"/>
    <w:rsid w:val="0E5C239D"/>
    <w:rsid w:val="0E6F5F9B"/>
    <w:rsid w:val="0ED9723A"/>
    <w:rsid w:val="0F7F6343"/>
    <w:rsid w:val="0F8676D2"/>
    <w:rsid w:val="106C0458"/>
    <w:rsid w:val="11627D78"/>
    <w:rsid w:val="118A1AC8"/>
    <w:rsid w:val="11D30BC8"/>
    <w:rsid w:val="11F612D3"/>
    <w:rsid w:val="121E6222"/>
    <w:rsid w:val="12B859A1"/>
    <w:rsid w:val="12BC165D"/>
    <w:rsid w:val="12EA7F78"/>
    <w:rsid w:val="13086650"/>
    <w:rsid w:val="13541895"/>
    <w:rsid w:val="15A235E6"/>
    <w:rsid w:val="16337E88"/>
    <w:rsid w:val="169063E0"/>
    <w:rsid w:val="16CB00C0"/>
    <w:rsid w:val="177E3703"/>
    <w:rsid w:val="17B16ECA"/>
    <w:rsid w:val="17D35D45"/>
    <w:rsid w:val="18552337"/>
    <w:rsid w:val="189F7A56"/>
    <w:rsid w:val="18B16D15"/>
    <w:rsid w:val="18C179CD"/>
    <w:rsid w:val="18DF1D22"/>
    <w:rsid w:val="199D3F96"/>
    <w:rsid w:val="19D454DE"/>
    <w:rsid w:val="1A147B1C"/>
    <w:rsid w:val="1A442663"/>
    <w:rsid w:val="1A7501E8"/>
    <w:rsid w:val="1B487F31"/>
    <w:rsid w:val="1BA43607"/>
    <w:rsid w:val="1BC670A8"/>
    <w:rsid w:val="1C367B36"/>
    <w:rsid w:val="1CEA4262"/>
    <w:rsid w:val="1CFC329E"/>
    <w:rsid w:val="1D540E0F"/>
    <w:rsid w:val="1DF0665E"/>
    <w:rsid w:val="1EAF34D8"/>
    <w:rsid w:val="200C3C23"/>
    <w:rsid w:val="208539D6"/>
    <w:rsid w:val="20A51982"/>
    <w:rsid w:val="20B833FE"/>
    <w:rsid w:val="20CC33B3"/>
    <w:rsid w:val="20CE5C4B"/>
    <w:rsid w:val="21170B8F"/>
    <w:rsid w:val="216F7DF9"/>
    <w:rsid w:val="2173382E"/>
    <w:rsid w:val="2217065D"/>
    <w:rsid w:val="225C4440"/>
    <w:rsid w:val="22A23A63"/>
    <w:rsid w:val="22E76BB7"/>
    <w:rsid w:val="23767DC7"/>
    <w:rsid w:val="237B69CA"/>
    <w:rsid w:val="238702CD"/>
    <w:rsid w:val="241F1A4B"/>
    <w:rsid w:val="24F627AC"/>
    <w:rsid w:val="253028F2"/>
    <w:rsid w:val="25553977"/>
    <w:rsid w:val="260A73D7"/>
    <w:rsid w:val="261D1FBA"/>
    <w:rsid w:val="26461511"/>
    <w:rsid w:val="26595B9D"/>
    <w:rsid w:val="266D2F42"/>
    <w:rsid w:val="267A11BB"/>
    <w:rsid w:val="26A738E6"/>
    <w:rsid w:val="26C74787"/>
    <w:rsid w:val="26EB3E67"/>
    <w:rsid w:val="274F2844"/>
    <w:rsid w:val="276B2A66"/>
    <w:rsid w:val="27897907"/>
    <w:rsid w:val="27D769CB"/>
    <w:rsid w:val="28015650"/>
    <w:rsid w:val="280478D6"/>
    <w:rsid w:val="28074CD0"/>
    <w:rsid w:val="283A6E54"/>
    <w:rsid w:val="28BE6EF0"/>
    <w:rsid w:val="28D84117"/>
    <w:rsid w:val="290F208E"/>
    <w:rsid w:val="29CE5AA6"/>
    <w:rsid w:val="2A0616E3"/>
    <w:rsid w:val="2A4346E5"/>
    <w:rsid w:val="2B7A0545"/>
    <w:rsid w:val="2BA240D0"/>
    <w:rsid w:val="2C6E6C8C"/>
    <w:rsid w:val="2DC86CB0"/>
    <w:rsid w:val="2F1A178D"/>
    <w:rsid w:val="2F2F33D5"/>
    <w:rsid w:val="2F91019A"/>
    <w:rsid w:val="2FBE1ADB"/>
    <w:rsid w:val="2FE74FCC"/>
    <w:rsid w:val="301E7C0A"/>
    <w:rsid w:val="30BC6FA0"/>
    <w:rsid w:val="31057114"/>
    <w:rsid w:val="31FA654C"/>
    <w:rsid w:val="31FE6223"/>
    <w:rsid w:val="328F29AF"/>
    <w:rsid w:val="32A32356"/>
    <w:rsid w:val="32B45163"/>
    <w:rsid w:val="34056568"/>
    <w:rsid w:val="346C65E7"/>
    <w:rsid w:val="351331F8"/>
    <w:rsid w:val="352769B2"/>
    <w:rsid w:val="352F3EE8"/>
    <w:rsid w:val="358D281B"/>
    <w:rsid w:val="35DA251A"/>
    <w:rsid w:val="35ED30EC"/>
    <w:rsid w:val="35F165B8"/>
    <w:rsid w:val="36252EF1"/>
    <w:rsid w:val="36486E1A"/>
    <w:rsid w:val="366C4FC4"/>
    <w:rsid w:val="36B971F0"/>
    <w:rsid w:val="37661A13"/>
    <w:rsid w:val="37BB6115"/>
    <w:rsid w:val="37E961A0"/>
    <w:rsid w:val="38237120"/>
    <w:rsid w:val="385555E4"/>
    <w:rsid w:val="38740160"/>
    <w:rsid w:val="38C84008"/>
    <w:rsid w:val="39904B26"/>
    <w:rsid w:val="39A05FBC"/>
    <w:rsid w:val="3AE3337B"/>
    <w:rsid w:val="3B394A75"/>
    <w:rsid w:val="3B787F67"/>
    <w:rsid w:val="3B8561E0"/>
    <w:rsid w:val="3BA174BE"/>
    <w:rsid w:val="3C9F32D2"/>
    <w:rsid w:val="3D2F5920"/>
    <w:rsid w:val="3D7309E6"/>
    <w:rsid w:val="3DFA7013"/>
    <w:rsid w:val="3E9C52E1"/>
    <w:rsid w:val="3F6605B7"/>
    <w:rsid w:val="3F9C2A55"/>
    <w:rsid w:val="3FA37FBD"/>
    <w:rsid w:val="3FEC4A80"/>
    <w:rsid w:val="404262BD"/>
    <w:rsid w:val="40813698"/>
    <w:rsid w:val="41052E60"/>
    <w:rsid w:val="41667046"/>
    <w:rsid w:val="417309B2"/>
    <w:rsid w:val="420460B1"/>
    <w:rsid w:val="425874EE"/>
    <w:rsid w:val="427E7082"/>
    <w:rsid w:val="428E1E1E"/>
    <w:rsid w:val="431B1F06"/>
    <w:rsid w:val="4369741D"/>
    <w:rsid w:val="43A075A0"/>
    <w:rsid w:val="43B27D8E"/>
    <w:rsid w:val="43B458B4"/>
    <w:rsid w:val="43E91FA4"/>
    <w:rsid w:val="442C57E7"/>
    <w:rsid w:val="44497944"/>
    <w:rsid w:val="455A18DC"/>
    <w:rsid w:val="457479F1"/>
    <w:rsid w:val="45F40B61"/>
    <w:rsid w:val="465503EB"/>
    <w:rsid w:val="46F30D1C"/>
    <w:rsid w:val="47737835"/>
    <w:rsid w:val="47A241E9"/>
    <w:rsid w:val="47A93F36"/>
    <w:rsid w:val="4800556C"/>
    <w:rsid w:val="480F3A01"/>
    <w:rsid w:val="48856456"/>
    <w:rsid w:val="48DA5DBD"/>
    <w:rsid w:val="49431BB4"/>
    <w:rsid w:val="4A237586"/>
    <w:rsid w:val="4A664171"/>
    <w:rsid w:val="4AD54A8E"/>
    <w:rsid w:val="4AE10BB2"/>
    <w:rsid w:val="4B9009B5"/>
    <w:rsid w:val="4C0B23EF"/>
    <w:rsid w:val="4C17039B"/>
    <w:rsid w:val="4C87000A"/>
    <w:rsid w:val="4CB46925"/>
    <w:rsid w:val="4CF338F1"/>
    <w:rsid w:val="4D183358"/>
    <w:rsid w:val="4D1F46E6"/>
    <w:rsid w:val="4D2F5DB2"/>
    <w:rsid w:val="4D8A1029"/>
    <w:rsid w:val="4DE1374A"/>
    <w:rsid w:val="4DF30850"/>
    <w:rsid w:val="4E742810"/>
    <w:rsid w:val="4F072DA3"/>
    <w:rsid w:val="4F12716D"/>
    <w:rsid w:val="4F516E46"/>
    <w:rsid w:val="4F600DFC"/>
    <w:rsid w:val="50426629"/>
    <w:rsid w:val="50463D38"/>
    <w:rsid w:val="508E1A12"/>
    <w:rsid w:val="50B360EB"/>
    <w:rsid w:val="50C102AB"/>
    <w:rsid w:val="50CA4969"/>
    <w:rsid w:val="50DF6D04"/>
    <w:rsid w:val="516A3A56"/>
    <w:rsid w:val="517F5572"/>
    <w:rsid w:val="51A6377D"/>
    <w:rsid w:val="51B178D7"/>
    <w:rsid w:val="51C240ED"/>
    <w:rsid w:val="52C06024"/>
    <w:rsid w:val="52C84ED8"/>
    <w:rsid w:val="530670EE"/>
    <w:rsid w:val="53A541AD"/>
    <w:rsid w:val="53AC65A8"/>
    <w:rsid w:val="54333DAA"/>
    <w:rsid w:val="54492049"/>
    <w:rsid w:val="54877909"/>
    <w:rsid w:val="5495528E"/>
    <w:rsid w:val="54D82889"/>
    <w:rsid w:val="55474E5C"/>
    <w:rsid w:val="5560764A"/>
    <w:rsid w:val="55AB421E"/>
    <w:rsid w:val="55CB76ED"/>
    <w:rsid w:val="55FD054F"/>
    <w:rsid w:val="563F3703"/>
    <w:rsid w:val="565847C5"/>
    <w:rsid w:val="56636A30"/>
    <w:rsid w:val="573D63B7"/>
    <w:rsid w:val="574134AB"/>
    <w:rsid w:val="575B27BF"/>
    <w:rsid w:val="577A66A8"/>
    <w:rsid w:val="57827D4C"/>
    <w:rsid w:val="57994DA4"/>
    <w:rsid w:val="57E27507"/>
    <w:rsid w:val="58262DCD"/>
    <w:rsid w:val="58D26AB1"/>
    <w:rsid w:val="59643A06"/>
    <w:rsid w:val="596E471C"/>
    <w:rsid w:val="59AA358A"/>
    <w:rsid w:val="5A2208A2"/>
    <w:rsid w:val="5AE66844"/>
    <w:rsid w:val="5B10566E"/>
    <w:rsid w:val="5B172CE7"/>
    <w:rsid w:val="5B7442D6"/>
    <w:rsid w:val="5BAE4FAD"/>
    <w:rsid w:val="5BB64468"/>
    <w:rsid w:val="5C0712AF"/>
    <w:rsid w:val="5C9D1184"/>
    <w:rsid w:val="5CB07109"/>
    <w:rsid w:val="5CCD2829"/>
    <w:rsid w:val="5D1B0FA5"/>
    <w:rsid w:val="5E310BC6"/>
    <w:rsid w:val="5E665113"/>
    <w:rsid w:val="5E8A5738"/>
    <w:rsid w:val="5E8B401E"/>
    <w:rsid w:val="5FA10F8B"/>
    <w:rsid w:val="5FA56CCD"/>
    <w:rsid w:val="5FD57B2F"/>
    <w:rsid w:val="5FED41D0"/>
    <w:rsid w:val="606D70BF"/>
    <w:rsid w:val="607223D6"/>
    <w:rsid w:val="608A1A1F"/>
    <w:rsid w:val="60E75B2D"/>
    <w:rsid w:val="61581FA1"/>
    <w:rsid w:val="617501D5"/>
    <w:rsid w:val="619D716D"/>
    <w:rsid w:val="61A44D62"/>
    <w:rsid w:val="61D52244"/>
    <w:rsid w:val="61E37639"/>
    <w:rsid w:val="62832BCA"/>
    <w:rsid w:val="62C1708F"/>
    <w:rsid w:val="62DF4982"/>
    <w:rsid w:val="632D02BA"/>
    <w:rsid w:val="63512CC8"/>
    <w:rsid w:val="63C56C56"/>
    <w:rsid w:val="641D6359"/>
    <w:rsid w:val="642F3009"/>
    <w:rsid w:val="644B5969"/>
    <w:rsid w:val="644D1924"/>
    <w:rsid w:val="659550EE"/>
    <w:rsid w:val="65B649EE"/>
    <w:rsid w:val="65D50C45"/>
    <w:rsid w:val="65ED32FE"/>
    <w:rsid w:val="65F660A6"/>
    <w:rsid w:val="66045B6F"/>
    <w:rsid w:val="661F2C0A"/>
    <w:rsid w:val="6635067F"/>
    <w:rsid w:val="66553D9B"/>
    <w:rsid w:val="66AA1EA4"/>
    <w:rsid w:val="66CC3000"/>
    <w:rsid w:val="66EC5996"/>
    <w:rsid w:val="671D5AD6"/>
    <w:rsid w:val="67383E6B"/>
    <w:rsid w:val="67E77F23"/>
    <w:rsid w:val="682D5AB2"/>
    <w:rsid w:val="68442DFB"/>
    <w:rsid w:val="696F5C56"/>
    <w:rsid w:val="69780FAF"/>
    <w:rsid w:val="699F3C7C"/>
    <w:rsid w:val="6A4A4279"/>
    <w:rsid w:val="6A6B716F"/>
    <w:rsid w:val="6AA42F30"/>
    <w:rsid w:val="6AAB1E7D"/>
    <w:rsid w:val="6AC43628"/>
    <w:rsid w:val="6AC56475"/>
    <w:rsid w:val="6AFC5C0F"/>
    <w:rsid w:val="6BEE7306"/>
    <w:rsid w:val="6C450EF0"/>
    <w:rsid w:val="6CA72947"/>
    <w:rsid w:val="6CFE2EDC"/>
    <w:rsid w:val="6D273901"/>
    <w:rsid w:val="6F5B0534"/>
    <w:rsid w:val="6FF31222"/>
    <w:rsid w:val="70342829"/>
    <w:rsid w:val="713559D7"/>
    <w:rsid w:val="715440AF"/>
    <w:rsid w:val="717A6E0F"/>
    <w:rsid w:val="71A439A4"/>
    <w:rsid w:val="71BD1299"/>
    <w:rsid w:val="722021E3"/>
    <w:rsid w:val="72252E5C"/>
    <w:rsid w:val="72B55050"/>
    <w:rsid w:val="72FD42D3"/>
    <w:rsid w:val="7315161C"/>
    <w:rsid w:val="73B00889"/>
    <w:rsid w:val="741B481F"/>
    <w:rsid w:val="749A44CF"/>
    <w:rsid w:val="74A67941"/>
    <w:rsid w:val="74F05309"/>
    <w:rsid w:val="7590640D"/>
    <w:rsid w:val="75D73501"/>
    <w:rsid w:val="7673194C"/>
    <w:rsid w:val="769D0AB5"/>
    <w:rsid w:val="77071BC4"/>
    <w:rsid w:val="780A371A"/>
    <w:rsid w:val="783C764B"/>
    <w:rsid w:val="78BF024C"/>
    <w:rsid w:val="79B118C4"/>
    <w:rsid w:val="79B20ECB"/>
    <w:rsid w:val="7A8318BE"/>
    <w:rsid w:val="7AC36572"/>
    <w:rsid w:val="7AD61FD9"/>
    <w:rsid w:val="7AF24A5E"/>
    <w:rsid w:val="7B0A3A31"/>
    <w:rsid w:val="7B3B154C"/>
    <w:rsid w:val="7B4E2395"/>
    <w:rsid w:val="7B8806EC"/>
    <w:rsid w:val="7BA64452"/>
    <w:rsid w:val="7BC736D0"/>
    <w:rsid w:val="7BE40725"/>
    <w:rsid w:val="7BEE6EAE"/>
    <w:rsid w:val="7CC320E9"/>
    <w:rsid w:val="7CD82038"/>
    <w:rsid w:val="7CEC1AF5"/>
    <w:rsid w:val="7D875863"/>
    <w:rsid w:val="7DAC0DCF"/>
    <w:rsid w:val="7EB02B41"/>
    <w:rsid w:val="7ED9521A"/>
    <w:rsid w:val="7F364DF4"/>
    <w:rsid w:val="7F830D82"/>
    <w:rsid w:val="7FB97B9D"/>
    <w:rsid w:val="7FD60385"/>
    <w:rsid w:val="7FDC75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bCs/>
      <w:kern w:val="44"/>
      <w:sz w:val="44"/>
      <w:szCs w:val="44"/>
    </w:rPr>
  </w:style>
  <w:style w:type="paragraph" w:styleId="6">
    <w:name w:val="heading 2"/>
    <w:basedOn w:val="1"/>
    <w:next w:val="7"/>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8">
    <w:name w:val="heading 3"/>
    <w:basedOn w:val="1"/>
    <w:next w:val="1"/>
    <w:link w:val="54"/>
    <w:qFormat/>
    <w:uiPriority w:val="0"/>
    <w:pPr>
      <w:keepNext/>
      <w:keepLines/>
      <w:spacing w:before="260" w:beforeLines="0" w:after="260" w:afterLines="0" w:line="413" w:lineRule="auto"/>
      <w:outlineLvl w:val="2"/>
    </w:pPr>
    <w:rPr>
      <w:rFonts w:ascii="Times New Roman" w:hAnsi="Times New Roman"/>
      <w:b/>
      <w:bCs/>
      <w:sz w:val="32"/>
      <w:szCs w:val="32"/>
    </w:rPr>
  </w:style>
  <w:style w:type="paragraph" w:styleId="9">
    <w:name w:val="heading 4"/>
    <w:basedOn w:val="1"/>
    <w:next w:val="1"/>
    <w:qFormat/>
    <w:uiPriority w:val="0"/>
    <w:pPr>
      <w:keepNext/>
      <w:keepLines/>
      <w:spacing w:before="280" w:beforeLines="0" w:after="290" w:afterLines="0" w:line="372" w:lineRule="auto"/>
      <w:outlineLvl w:val="3"/>
    </w:pPr>
    <w:rPr>
      <w:rFonts w:ascii="Arial" w:hAnsi="Arial" w:eastAsia="黑体" w:cs="Times New Roman"/>
      <w:b/>
      <w:bCs/>
      <w:sz w:val="28"/>
      <w:szCs w:val="28"/>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semiHidden/>
    <w:qFormat/>
    <w:uiPriority w:val="0"/>
    <w:tblPr>
      <w:tblCellMar>
        <w:top w:w="0" w:type="dxa"/>
        <w:left w:w="108" w:type="dxa"/>
        <w:bottom w:w="0" w:type="dxa"/>
        <w:right w:w="108" w:type="dxa"/>
      </w:tblCellMar>
    </w:tblPr>
  </w:style>
  <w:style w:type="paragraph" w:styleId="2">
    <w:name w:val="Body Text"/>
    <w:basedOn w:val="1"/>
    <w:next w:val="3"/>
    <w:link w:val="53"/>
    <w:qFormat/>
    <w:uiPriority w:val="0"/>
    <w:pPr>
      <w:spacing w:line="360" w:lineRule="auto"/>
    </w:pPr>
    <w:rPr>
      <w:rFonts w:ascii="Times New Roman" w:hAnsi="Times New Roman"/>
      <w:szCs w:val="20"/>
    </w:rPr>
  </w:style>
  <w:style w:type="paragraph" w:styleId="3">
    <w:name w:val="Body Text Indent"/>
    <w:basedOn w:val="1"/>
    <w:next w:val="4"/>
    <w:qFormat/>
    <w:uiPriority w:val="0"/>
    <w:pPr>
      <w:ind w:firstLine="830" w:firstLineChars="352"/>
    </w:pPr>
    <w:rPr>
      <w:rFonts w:ascii="仿宋_GB2312" w:hAnsi="Times New Roman" w:eastAsia="仿宋_GB2312" w:cs="Times New Roman"/>
      <w:sz w:val="32"/>
      <w:szCs w:val="20"/>
    </w:rPr>
  </w:style>
  <w:style w:type="paragraph" w:styleId="4">
    <w:name w:val="envelope return"/>
    <w:qFormat/>
    <w:uiPriority w:val="99"/>
    <w:pPr>
      <w:widowControl w:val="0"/>
      <w:snapToGrid w:val="0"/>
      <w:jc w:val="both"/>
    </w:pPr>
    <w:rPr>
      <w:rFonts w:ascii="Arial" w:hAnsi="Arial" w:eastAsia="宋体" w:cs="Times New Roman"/>
      <w:kern w:val="2"/>
      <w:sz w:val="21"/>
      <w:szCs w:val="24"/>
      <w:lang w:val="en-US" w:eastAsia="zh-CN" w:bidi="ar-SA"/>
    </w:rPr>
  </w:style>
  <w:style w:type="paragraph" w:styleId="7">
    <w:name w:val="Normal Indent"/>
    <w:basedOn w:val="1"/>
    <w:next w:val="1"/>
    <w:link w:val="62"/>
    <w:qFormat/>
    <w:uiPriority w:val="0"/>
    <w:pPr>
      <w:ind w:firstLine="420"/>
    </w:pPr>
    <w:rPr>
      <w:rFonts w:ascii="Times New Roman" w:hAnsi="Times New Roman"/>
      <w:szCs w:val="20"/>
    </w:rPr>
  </w:style>
  <w:style w:type="paragraph" w:styleId="10">
    <w:name w:val="toc 7"/>
    <w:basedOn w:val="1"/>
    <w:next w:val="1"/>
    <w:qFormat/>
    <w:uiPriority w:val="0"/>
    <w:pPr>
      <w:ind w:left="1260"/>
      <w:jc w:val="left"/>
    </w:pPr>
    <w:rPr>
      <w:rFonts w:ascii="Times New Roman" w:hAnsi="Times New Roman" w:eastAsia="宋体" w:cs="Times New Roman"/>
      <w:sz w:val="18"/>
      <w:szCs w:val="18"/>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65"/>
    <w:qFormat/>
    <w:uiPriority w:val="0"/>
    <w:pPr>
      <w:shd w:val="clear" w:color="auto" w:fill="000080"/>
    </w:pPr>
    <w:rPr>
      <w:rFonts w:ascii="Times New Roman" w:hAnsi="Times New Roman"/>
    </w:rPr>
  </w:style>
  <w:style w:type="paragraph" w:styleId="13">
    <w:name w:val="toa heading"/>
    <w:basedOn w:val="1"/>
    <w:next w:val="1"/>
    <w:qFormat/>
    <w:uiPriority w:val="99"/>
    <w:rPr>
      <w:rFonts w:ascii="Arial" w:hAnsi="Arial"/>
      <w:sz w:val="24"/>
      <w:szCs w:val="20"/>
    </w:rPr>
  </w:style>
  <w:style w:type="paragraph" w:styleId="14">
    <w:name w:val="annotation text"/>
    <w:basedOn w:val="1"/>
    <w:next w:val="1"/>
    <w:qFormat/>
    <w:uiPriority w:val="0"/>
    <w:pPr>
      <w:jc w:val="left"/>
    </w:pPr>
    <w:rPr>
      <w:rFonts w:ascii="Times New Roman" w:hAnsi="Times New Roman" w:eastAsia="宋体" w:cs="Times New Roman"/>
    </w:rPr>
  </w:style>
  <w:style w:type="paragraph" w:styleId="15">
    <w:name w:val="Body Text 3"/>
    <w:basedOn w:val="1"/>
    <w:qFormat/>
    <w:uiPriority w:val="0"/>
    <w:pPr>
      <w:spacing w:after="120" w:afterLines="0"/>
    </w:pPr>
    <w:rPr>
      <w:rFonts w:ascii="Times New Roman" w:hAnsi="Times New Roman" w:eastAsia="宋体" w:cs="Times New Roman"/>
      <w:sz w:val="16"/>
      <w:szCs w:val="16"/>
    </w:rPr>
  </w:style>
  <w:style w:type="paragraph" w:styleId="16">
    <w:name w:val="toc 5"/>
    <w:basedOn w:val="1"/>
    <w:next w:val="1"/>
    <w:qFormat/>
    <w:uiPriority w:val="0"/>
    <w:pPr>
      <w:ind w:left="840"/>
      <w:jc w:val="left"/>
    </w:pPr>
    <w:rPr>
      <w:rFonts w:ascii="Times New Roman" w:hAnsi="Times New Roman" w:eastAsia="宋体" w:cs="Times New Roman"/>
      <w:sz w:val="18"/>
      <w:szCs w:val="18"/>
    </w:rPr>
  </w:style>
  <w:style w:type="paragraph" w:styleId="17">
    <w:name w:val="toc 3"/>
    <w:basedOn w:val="1"/>
    <w:next w:val="1"/>
    <w:qFormat/>
    <w:uiPriority w:val="0"/>
    <w:pPr>
      <w:ind w:left="420"/>
      <w:jc w:val="left"/>
    </w:pPr>
    <w:rPr>
      <w:rFonts w:ascii="Times New Roman" w:hAnsi="Times New Roman" w:eastAsia="宋体" w:cs="Times New Roman"/>
      <w:i/>
      <w:iCs/>
      <w:sz w:val="20"/>
      <w:szCs w:val="20"/>
    </w:rPr>
  </w:style>
  <w:style w:type="paragraph" w:styleId="18">
    <w:name w:val="Plain Text"/>
    <w:basedOn w:val="1"/>
    <w:next w:val="19"/>
    <w:link w:val="77"/>
    <w:qFormat/>
    <w:uiPriority w:val="0"/>
    <w:rPr>
      <w:rFonts w:ascii="宋体" w:hAnsi="Courier New" w:cs="Courier New"/>
      <w:szCs w:val="21"/>
    </w:rPr>
  </w:style>
  <w:style w:type="paragraph" w:customStyle="1" w:styleId="19">
    <w:name w:val="Default"/>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paragraph" w:styleId="20">
    <w:name w:val="toc 8"/>
    <w:basedOn w:val="1"/>
    <w:next w:val="1"/>
    <w:qFormat/>
    <w:uiPriority w:val="0"/>
    <w:pPr>
      <w:ind w:left="1470"/>
      <w:jc w:val="left"/>
    </w:pPr>
    <w:rPr>
      <w:rFonts w:ascii="Times New Roman" w:hAnsi="Times New Roman" w:eastAsia="宋体" w:cs="Times New Roman"/>
      <w:sz w:val="18"/>
      <w:szCs w:val="18"/>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link w:val="56"/>
    <w:qFormat/>
    <w:uiPriority w:val="0"/>
    <w:pPr>
      <w:tabs>
        <w:tab w:val="center" w:pos="4153"/>
        <w:tab w:val="right" w:pos="8306"/>
      </w:tabs>
      <w:snapToGrid w:val="0"/>
      <w:jc w:val="left"/>
    </w:pPr>
    <w:rPr>
      <w:rFonts w:ascii="Times New Roman" w:hAnsi="Times New Roman"/>
      <w:sz w:val="18"/>
      <w:szCs w:val="18"/>
    </w:rPr>
  </w:style>
  <w:style w:type="paragraph" w:styleId="23">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4">
    <w:name w:val="toc 1"/>
    <w:basedOn w:val="1"/>
    <w:next w:val="1"/>
    <w:qFormat/>
    <w:uiPriority w:val="0"/>
    <w:pPr>
      <w:spacing w:before="120" w:beforeLines="0" w:after="120" w:afterLines="0"/>
      <w:jc w:val="left"/>
    </w:pPr>
    <w:rPr>
      <w:rFonts w:ascii="Times New Roman" w:hAnsi="Times New Roman" w:eastAsia="宋体" w:cs="Times New Roman"/>
      <w:b/>
      <w:bCs/>
      <w:caps/>
      <w:sz w:val="20"/>
      <w:szCs w:val="20"/>
    </w:rPr>
  </w:style>
  <w:style w:type="paragraph" w:styleId="25">
    <w:name w:val="toc 4"/>
    <w:basedOn w:val="1"/>
    <w:next w:val="1"/>
    <w:qFormat/>
    <w:uiPriority w:val="0"/>
    <w:pPr>
      <w:ind w:left="630"/>
      <w:jc w:val="left"/>
    </w:pPr>
    <w:rPr>
      <w:rFonts w:ascii="Times New Roman" w:hAnsi="Times New Roman" w:eastAsia="宋体" w:cs="Times New Roman"/>
      <w:sz w:val="18"/>
      <w:szCs w:val="18"/>
    </w:rPr>
  </w:style>
  <w:style w:type="paragraph" w:styleId="26">
    <w:name w:val="index heading"/>
    <w:basedOn w:val="1"/>
    <w:next w:val="27"/>
    <w:qFormat/>
    <w:uiPriority w:val="0"/>
    <w:rPr>
      <w:rFonts w:ascii="Times New Roman" w:hAnsi="Times New Roman" w:eastAsia="宋体" w:cs="Times New Roman"/>
      <w:szCs w:val="20"/>
    </w:rPr>
  </w:style>
  <w:style w:type="paragraph" w:styleId="27">
    <w:name w:val="index 1"/>
    <w:basedOn w:val="1"/>
    <w:next w:val="1"/>
    <w:qFormat/>
    <w:uiPriority w:val="0"/>
    <w:pPr>
      <w:tabs>
        <w:tab w:val="left" w:pos="7740"/>
      </w:tabs>
      <w:jc w:val="center"/>
    </w:pPr>
    <w:rPr>
      <w:rFonts w:ascii="仿宋" w:hAnsi="仿宋" w:eastAsia="仿宋" w:cs="Times New Roman"/>
      <w:b/>
      <w:sz w:val="28"/>
      <w:szCs w:val="28"/>
    </w:rPr>
  </w:style>
  <w:style w:type="paragraph" w:styleId="28">
    <w:name w:val="toc 6"/>
    <w:basedOn w:val="1"/>
    <w:next w:val="1"/>
    <w:qFormat/>
    <w:uiPriority w:val="0"/>
    <w:pPr>
      <w:ind w:left="1050"/>
      <w:jc w:val="left"/>
    </w:pPr>
    <w:rPr>
      <w:rFonts w:ascii="Times New Roman" w:hAnsi="Times New Roman" w:eastAsia="宋体" w:cs="Times New Roman"/>
      <w:sz w:val="18"/>
      <w:szCs w:val="18"/>
    </w:rPr>
  </w:style>
  <w:style w:type="paragraph" w:styleId="29">
    <w:name w:val="Body Text Indent 3"/>
    <w:basedOn w:val="1"/>
    <w:link w:val="78"/>
    <w:qFormat/>
    <w:uiPriority w:val="0"/>
    <w:pPr>
      <w:spacing w:line="360" w:lineRule="auto"/>
      <w:ind w:firstLine="420" w:firstLineChars="200"/>
    </w:pPr>
    <w:rPr>
      <w:rFonts w:ascii="Times New Roman" w:hAnsi="Times New Roman"/>
      <w:szCs w:val="20"/>
    </w:rPr>
  </w:style>
  <w:style w:type="paragraph" w:styleId="30">
    <w:name w:val="toc 2"/>
    <w:basedOn w:val="1"/>
    <w:next w:val="1"/>
    <w:qFormat/>
    <w:uiPriority w:val="0"/>
    <w:pPr>
      <w:ind w:left="210"/>
      <w:jc w:val="left"/>
    </w:pPr>
    <w:rPr>
      <w:rFonts w:ascii="Times New Roman" w:hAnsi="Times New Roman" w:eastAsia="宋体" w:cs="Times New Roman"/>
      <w:smallCaps/>
      <w:sz w:val="20"/>
      <w:szCs w:val="20"/>
    </w:rPr>
  </w:style>
  <w:style w:type="paragraph" w:styleId="31">
    <w:name w:val="toc 9"/>
    <w:basedOn w:val="1"/>
    <w:next w:val="1"/>
    <w:qFormat/>
    <w:uiPriority w:val="0"/>
    <w:pPr>
      <w:ind w:left="1680"/>
      <w:jc w:val="left"/>
    </w:pPr>
    <w:rPr>
      <w:rFonts w:ascii="Times New Roman" w:hAnsi="Times New Roman" w:eastAsia="宋体" w:cs="Times New Roman"/>
      <w:sz w:val="18"/>
      <w:szCs w:val="18"/>
    </w:rPr>
  </w:style>
  <w:style w:type="paragraph" w:styleId="32">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szCs w:val="20"/>
    </w:rPr>
  </w:style>
  <w:style w:type="paragraph" w:styleId="33">
    <w:name w:val="Normal (Web)"/>
    <w:basedOn w:val="1"/>
    <w:qFormat/>
    <w:uiPriority w:val="0"/>
    <w:pPr>
      <w:widowControl/>
      <w:spacing w:before="100" w:beforeLines="0" w:beforeAutospacing="1" w:after="100" w:afterLines="0" w:afterAutospacing="1"/>
      <w:jc w:val="left"/>
    </w:pPr>
    <w:rPr>
      <w:rFonts w:ascii="宋体" w:hAnsi="宋体" w:eastAsia="宋体" w:cs="Times New Roman"/>
      <w:color w:val="000000"/>
      <w:kern w:val="0"/>
      <w:sz w:val="24"/>
    </w:rPr>
  </w:style>
  <w:style w:type="paragraph" w:styleId="34">
    <w:name w:val="Title"/>
    <w:basedOn w:val="1"/>
    <w:qFormat/>
    <w:uiPriority w:val="0"/>
    <w:pPr>
      <w:spacing w:before="240" w:beforeLines="0" w:after="60" w:afterLines="0"/>
      <w:jc w:val="center"/>
      <w:outlineLvl w:val="0"/>
    </w:pPr>
    <w:rPr>
      <w:rFonts w:ascii="Arial" w:hAnsi="Arial" w:eastAsia="宋体" w:cs="Arial"/>
      <w:b/>
      <w:bCs/>
      <w:sz w:val="32"/>
      <w:szCs w:val="32"/>
    </w:rPr>
  </w:style>
  <w:style w:type="paragraph" w:styleId="35">
    <w:name w:val="annotation subject"/>
    <w:basedOn w:val="14"/>
    <w:next w:val="14"/>
    <w:qFormat/>
    <w:uiPriority w:val="0"/>
    <w:rPr>
      <w:rFonts w:ascii="Times New Roman" w:hAnsi="Times New Roman" w:eastAsia="宋体" w:cs="Times New Roman"/>
      <w:b/>
      <w:bCs/>
    </w:rPr>
  </w:style>
  <w:style w:type="paragraph" w:styleId="36">
    <w:name w:val="Body Text First Indent"/>
    <w:basedOn w:val="2"/>
    <w:link w:val="79"/>
    <w:qFormat/>
    <w:uiPriority w:val="0"/>
    <w:pPr>
      <w:spacing w:after="120" w:afterLines="0" w:line="240" w:lineRule="auto"/>
      <w:ind w:firstLine="420" w:firstLineChars="100"/>
    </w:pPr>
    <w:rPr>
      <w:szCs w:val="24"/>
    </w:rPr>
  </w:style>
  <w:style w:type="paragraph" w:styleId="37">
    <w:name w:val="Body Text First Indent 2"/>
    <w:basedOn w:val="3"/>
    <w:next w:val="2"/>
    <w:unhideWhenUsed/>
    <w:qFormat/>
    <w:uiPriority w:val="99"/>
    <w:pPr>
      <w:ind w:firstLine="42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ahoma" w:hAnsi="Tahoma" w:eastAsia="宋体" w:cs="Times New Roman"/>
      <w:b/>
      <w:bCs/>
      <w:spacing w:val="10"/>
      <w:sz w:val="24"/>
      <w:lang w:val="en-US" w:eastAsia="zh-CN" w:bidi="ar-SA"/>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u w:val="single"/>
    </w:rPr>
  </w:style>
  <w:style w:type="character" w:styleId="44">
    <w:name w:val="Emphasis"/>
    <w:qFormat/>
    <w:uiPriority w:val="0"/>
    <w:rPr>
      <w:rFonts w:ascii="Times New Roman" w:hAnsi="Times New Roman" w:eastAsia="宋体" w:cs="Times New Roman"/>
      <w:i/>
      <w:iCs/>
    </w:rPr>
  </w:style>
  <w:style w:type="character" w:styleId="45">
    <w:name w:val="Hyperlink"/>
    <w:basedOn w:val="40"/>
    <w:qFormat/>
    <w:uiPriority w:val="0"/>
    <w:rPr>
      <w:rFonts w:ascii="Times New Roman" w:hAnsi="Times New Roman" w:eastAsia="宋体" w:cs="Times New Roman"/>
      <w:color w:val="0000FF"/>
      <w:u w:val="single"/>
    </w:rPr>
  </w:style>
  <w:style w:type="character" w:styleId="46">
    <w:name w:val="HTML Code"/>
    <w:qFormat/>
    <w:uiPriority w:val="0"/>
    <w:rPr>
      <w:rFonts w:ascii="Consolas" w:hAnsi="Consolas" w:eastAsia="Consolas" w:cs="Consolas"/>
      <w:color w:val="DD1144"/>
      <w:sz w:val="18"/>
      <w:szCs w:val="18"/>
      <w:bdr w:val="single" w:color="E1E1E8" w:sz="6" w:space="0"/>
      <w:shd w:val="clear" w:color="auto" w:fill="F7F7F9"/>
    </w:rPr>
  </w:style>
  <w:style w:type="character" w:styleId="47">
    <w:name w:val="annotation reference"/>
    <w:qFormat/>
    <w:uiPriority w:val="0"/>
    <w:rPr>
      <w:rFonts w:ascii="Times New Roman" w:hAnsi="Times New Roman" w:eastAsia="宋体" w:cs="Times New Roman"/>
      <w:sz w:val="21"/>
      <w:szCs w:val="21"/>
    </w:rPr>
  </w:style>
  <w:style w:type="character" w:styleId="48">
    <w:name w:val="HTML Cite"/>
    <w:qFormat/>
    <w:uiPriority w:val="0"/>
    <w:rPr>
      <w:rFonts w:ascii="Times New Roman" w:hAnsi="Times New Roman" w:eastAsia="宋体" w:cs="Times New Roman"/>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z正文"/>
    <w:basedOn w:val="1"/>
    <w:qFormat/>
    <w:uiPriority w:val="0"/>
    <w:pPr>
      <w:ind w:firstLine="560" w:firstLineChars="200"/>
    </w:pPr>
    <w:rPr>
      <w:rFonts w:eastAsia="仿宋_GB2312" w:cs="宋体"/>
      <w:sz w:val="28"/>
      <w:szCs w:val="20"/>
    </w:rPr>
  </w:style>
  <w:style w:type="character" w:customStyle="1" w:styleId="51">
    <w:name w:val="jbox-icon-error"/>
    <w:basedOn w:val="40"/>
    <w:qFormat/>
    <w:uiPriority w:val="0"/>
  </w:style>
  <w:style w:type="character" w:customStyle="1" w:styleId="52">
    <w:name w:val=" Char Char9"/>
    <w:qFormat/>
    <w:uiPriority w:val="0"/>
    <w:rPr>
      <w:rFonts w:ascii="Times New Roman" w:hAnsi="Times New Roman" w:eastAsia="宋体" w:cs="Times New Roman"/>
      <w:kern w:val="2"/>
      <w:sz w:val="18"/>
      <w:szCs w:val="18"/>
      <w:lang w:val="en-US" w:eastAsia="zh-CN" w:bidi="ar-SA"/>
    </w:rPr>
  </w:style>
  <w:style w:type="character" w:customStyle="1" w:styleId="53">
    <w:name w:val="正文文本 字符"/>
    <w:link w:val="2"/>
    <w:qFormat/>
    <w:uiPriority w:val="0"/>
    <w:rPr>
      <w:rFonts w:ascii="Times New Roman" w:hAnsi="Times New Roman" w:eastAsia="宋体" w:cs="Times New Roman"/>
      <w:kern w:val="2"/>
      <w:sz w:val="21"/>
      <w:lang w:val="en-US" w:eastAsia="zh-CN" w:bidi="ar-SA"/>
    </w:rPr>
  </w:style>
  <w:style w:type="character" w:customStyle="1" w:styleId="54">
    <w:name w:val="标题 3 字符"/>
    <w:link w:val="8"/>
    <w:qFormat/>
    <w:uiPriority w:val="0"/>
    <w:rPr>
      <w:rFonts w:ascii="Times New Roman" w:hAnsi="Times New Roman" w:eastAsia="宋体" w:cs="Times New Roman"/>
      <w:b/>
      <w:bCs/>
      <w:kern w:val="2"/>
      <w:sz w:val="32"/>
      <w:szCs w:val="32"/>
      <w:lang w:val="en-US" w:eastAsia="zh-CN" w:bidi="ar-SA"/>
    </w:rPr>
  </w:style>
  <w:style w:type="character" w:customStyle="1" w:styleId="55">
    <w:name w:val="jbox-icon-success"/>
    <w:basedOn w:val="40"/>
    <w:qFormat/>
    <w:uiPriority w:val="0"/>
  </w:style>
  <w:style w:type="character" w:customStyle="1" w:styleId="56">
    <w:name w:val="页脚 字符"/>
    <w:link w:val="22"/>
    <w:qFormat/>
    <w:uiPriority w:val="0"/>
    <w:rPr>
      <w:rFonts w:ascii="Times New Roman" w:hAnsi="Times New Roman" w:eastAsia="宋体" w:cs="Times New Roman"/>
      <w:kern w:val="2"/>
      <w:sz w:val="18"/>
      <w:szCs w:val="18"/>
      <w:lang w:val="en-US" w:eastAsia="zh-CN" w:bidi="ar-SA"/>
    </w:rPr>
  </w:style>
  <w:style w:type="character" w:customStyle="1" w:styleId="57">
    <w:name w:val="HTML 预设格式 字符"/>
    <w:link w:val="32"/>
    <w:qFormat/>
    <w:uiPriority w:val="0"/>
    <w:rPr>
      <w:rFonts w:ascii="Arial Unicode MS" w:hAnsi="Arial Unicode MS" w:eastAsia="Arial Unicode MS" w:cs="Arial Unicode MS"/>
      <w:color w:val="000000"/>
      <w:lang w:val="en-US" w:eastAsia="zh-CN" w:bidi="ar-SA"/>
    </w:rPr>
  </w:style>
  <w:style w:type="character" w:customStyle="1" w:styleId="58">
    <w:name w:val=" Char Char8"/>
    <w:qFormat/>
    <w:uiPriority w:val="0"/>
    <w:rPr>
      <w:rFonts w:ascii="宋体" w:hAnsi="Courier New" w:eastAsia="宋体" w:cs="Courier New"/>
      <w:kern w:val="2"/>
      <w:sz w:val="21"/>
      <w:szCs w:val="21"/>
      <w:lang w:val="en-US" w:eastAsia="zh-CN" w:bidi="ar-SA"/>
    </w:rPr>
  </w:style>
  <w:style w:type="character" w:customStyle="1" w:styleId="59">
    <w:name w:val="页码 New"/>
    <w:basedOn w:val="60"/>
    <w:qFormat/>
    <w:uiPriority w:val="0"/>
  </w:style>
  <w:style w:type="character" w:customStyle="1" w:styleId="60">
    <w:name w:val="默认段落字体 New"/>
    <w:qFormat/>
    <w:uiPriority w:val="0"/>
  </w:style>
  <w:style w:type="character" w:customStyle="1" w:styleId="61">
    <w:name w:val="jbox-icon-none"/>
    <w:qFormat/>
    <w:uiPriority w:val="0"/>
    <w:rPr>
      <w:rFonts w:ascii="Times New Roman" w:hAnsi="Times New Roman" w:eastAsia="宋体" w:cs="Times New Roman"/>
      <w:vanish/>
    </w:rPr>
  </w:style>
  <w:style w:type="character" w:customStyle="1" w:styleId="62">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63">
    <w:name w:val=" Char Char3"/>
    <w:qFormat/>
    <w:uiPriority w:val="0"/>
    <w:rPr>
      <w:rFonts w:ascii="Times New Roman" w:hAnsi="Times New Roman" w:eastAsia="宋体" w:cs="Times New Roman"/>
      <w:kern w:val="2"/>
      <w:sz w:val="18"/>
      <w:szCs w:val="18"/>
      <w:lang w:val="en-US" w:eastAsia="zh-CN" w:bidi="ar-SA"/>
    </w:rPr>
  </w:style>
  <w:style w:type="character" w:customStyle="1" w:styleId="64">
    <w:name w:val="param-value3"/>
    <w:qFormat/>
    <w:uiPriority w:val="0"/>
    <w:rPr>
      <w:rFonts w:ascii="Times New Roman" w:hAnsi="Times New Roman" w:eastAsia="宋体" w:cs="Times New Roman"/>
    </w:rPr>
  </w:style>
  <w:style w:type="character" w:customStyle="1" w:styleId="65">
    <w:name w:val="文档结构图 字符"/>
    <w:link w:val="12"/>
    <w:qFormat/>
    <w:uiPriority w:val="0"/>
    <w:rPr>
      <w:rFonts w:ascii="Times New Roman" w:hAnsi="Times New Roman" w:eastAsia="宋体" w:cs="Times New Roman"/>
      <w:kern w:val="2"/>
      <w:sz w:val="21"/>
      <w:szCs w:val="24"/>
      <w:lang w:val="en-US" w:eastAsia="zh-CN" w:bidi="ar-SA"/>
    </w:rPr>
  </w:style>
  <w:style w:type="character" w:customStyle="1" w:styleId="66">
    <w:name w:val="jbox-icon"/>
    <w:basedOn w:val="40"/>
    <w:qFormat/>
    <w:uiPriority w:val="0"/>
  </w:style>
  <w:style w:type="character" w:customStyle="1" w:styleId="67">
    <w:name w:val="jbox-icon-warning"/>
    <w:basedOn w:val="40"/>
    <w:qFormat/>
    <w:uiPriority w:val="0"/>
  </w:style>
  <w:style w:type="character" w:customStyle="1" w:styleId="68">
    <w:name w:val="页眉 字符"/>
    <w:link w:val="23"/>
    <w:qFormat/>
    <w:uiPriority w:val="0"/>
    <w:rPr>
      <w:rFonts w:ascii="Times New Roman" w:hAnsi="Times New Roman" w:eastAsia="宋体" w:cs="Times New Roman"/>
      <w:kern w:val="2"/>
      <w:sz w:val="18"/>
      <w:szCs w:val="18"/>
    </w:rPr>
  </w:style>
  <w:style w:type="character" w:customStyle="1" w:styleId="69">
    <w:name w:val="页码 New New"/>
    <w:basedOn w:val="70"/>
    <w:qFormat/>
    <w:uiPriority w:val="0"/>
  </w:style>
  <w:style w:type="character" w:customStyle="1" w:styleId="70">
    <w:name w:val="默认段落字体 New New"/>
    <w:qFormat/>
    <w:uiPriority w:val="0"/>
  </w:style>
  <w:style w:type="character" w:customStyle="1" w:styleId="71">
    <w:name w:val="jbox-icon-loading"/>
    <w:basedOn w:val="40"/>
    <w:qFormat/>
    <w:uiPriority w:val="0"/>
  </w:style>
  <w:style w:type="character" w:customStyle="1" w:styleId="72">
    <w:name w:val="标题 2 Char"/>
    <w:qFormat/>
    <w:uiPriority w:val="0"/>
    <w:rPr>
      <w:rFonts w:ascii="Arial" w:hAnsi="Arial" w:eastAsia="黑体" w:cs="Times New Roman"/>
      <w:b/>
      <w:bCs/>
      <w:kern w:val="2"/>
      <w:sz w:val="32"/>
      <w:szCs w:val="32"/>
      <w:lang w:val="en-US" w:eastAsia="zh-CN" w:bidi="ar-SA"/>
    </w:rPr>
  </w:style>
  <w:style w:type="character" w:customStyle="1" w:styleId="73">
    <w:name w:val="Char Char2"/>
    <w:qFormat/>
    <w:uiPriority w:val="0"/>
    <w:rPr>
      <w:rFonts w:ascii="宋体" w:hAnsi="Courier New" w:eastAsia="宋体" w:cs="Courier New"/>
      <w:kern w:val="2"/>
      <w:sz w:val="21"/>
      <w:szCs w:val="21"/>
      <w:lang w:val="en-US" w:eastAsia="zh-CN" w:bidi="ar-SA"/>
    </w:rPr>
  </w:style>
  <w:style w:type="character" w:customStyle="1" w:styleId="74">
    <w:name w:val="普通文字1 Char"/>
    <w:qFormat/>
    <w:uiPriority w:val="0"/>
    <w:rPr>
      <w:rFonts w:ascii="宋体" w:hAnsi="Courier New" w:eastAsia="宋体" w:cs="Courier New"/>
      <w:kern w:val="2"/>
      <w:sz w:val="21"/>
      <w:szCs w:val="21"/>
      <w:lang w:val="en-US" w:eastAsia="zh-CN" w:bidi="ar-SA"/>
    </w:rPr>
  </w:style>
  <w:style w:type="character" w:customStyle="1" w:styleId="75">
    <w:name w:val=" Char Char10"/>
    <w:qFormat/>
    <w:uiPriority w:val="0"/>
    <w:rPr>
      <w:rFonts w:ascii="Times New Roman" w:hAnsi="Times New Roman" w:eastAsia="宋体" w:cs="Times New Roman"/>
      <w:b/>
      <w:bCs/>
      <w:kern w:val="2"/>
      <w:sz w:val="32"/>
      <w:szCs w:val="32"/>
      <w:lang w:val="en-US" w:eastAsia="zh-CN" w:bidi="ar-SA"/>
    </w:rPr>
  </w:style>
  <w:style w:type="character" w:customStyle="1" w:styleId="76">
    <w:name w:val="正文缩进 Char1"/>
    <w:qFormat/>
    <w:uiPriority w:val="0"/>
    <w:rPr>
      <w:rFonts w:ascii="Times New Roman" w:hAnsi="Times New Roman" w:eastAsia="宋体" w:cs="Times New Roman"/>
      <w:kern w:val="2"/>
      <w:sz w:val="21"/>
      <w:lang w:val="en-US" w:eastAsia="zh-CN" w:bidi="ar-SA"/>
    </w:rPr>
  </w:style>
  <w:style w:type="character" w:customStyle="1" w:styleId="77">
    <w:name w:val="纯文本 字符"/>
    <w:link w:val="18"/>
    <w:qFormat/>
    <w:uiPriority w:val="0"/>
    <w:rPr>
      <w:rFonts w:ascii="宋体" w:hAnsi="Courier New" w:eastAsia="宋体" w:cs="Courier New"/>
      <w:kern w:val="2"/>
      <w:sz w:val="21"/>
      <w:szCs w:val="21"/>
      <w:lang w:val="en-US" w:eastAsia="zh-CN" w:bidi="ar-SA"/>
    </w:rPr>
  </w:style>
  <w:style w:type="character" w:customStyle="1" w:styleId="78">
    <w:name w:val="正文文本缩进 3 字符"/>
    <w:link w:val="29"/>
    <w:qFormat/>
    <w:uiPriority w:val="0"/>
    <w:rPr>
      <w:rFonts w:ascii="Times New Roman" w:hAnsi="Times New Roman" w:eastAsia="宋体" w:cs="Times New Roman"/>
      <w:kern w:val="2"/>
      <w:sz w:val="21"/>
      <w:lang w:val="en-US" w:eastAsia="zh-CN" w:bidi="ar-SA"/>
    </w:rPr>
  </w:style>
  <w:style w:type="character" w:customStyle="1" w:styleId="79">
    <w:name w:val="正文文本首行缩进 字符"/>
    <w:link w:val="36"/>
    <w:qFormat/>
    <w:uiPriority w:val="0"/>
    <w:rPr>
      <w:rFonts w:ascii="Times New Roman" w:hAnsi="Times New Roman" w:eastAsia="宋体" w:cs="Times New Roman"/>
      <w:kern w:val="2"/>
      <w:sz w:val="21"/>
      <w:szCs w:val="24"/>
      <w:lang w:val="en-US" w:eastAsia="zh-CN" w:bidi="ar-SA"/>
    </w:rPr>
  </w:style>
  <w:style w:type="character" w:customStyle="1" w:styleId="80">
    <w:name w:val="jbox-icon-question"/>
    <w:basedOn w:val="40"/>
    <w:qFormat/>
    <w:uiPriority w:val="0"/>
  </w:style>
  <w:style w:type="character" w:customStyle="1" w:styleId="81">
    <w:name w:val="jbox-icon-info"/>
    <w:basedOn w:val="40"/>
    <w:qFormat/>
    <w:uiPriority w:val="0"/>
  </w:style>
  <w:style w:type="character" w:customStyle="1" w:styleId="82">
    <w:name w:val="要点 New"/>
    <w:qFormat/>
    <w:uiPriority w:val="0"/>
    <w:rPr>
      <w:rFonts w:ascii="Times New Roman" w:hAnsi="Times New Roman" w:eastAsia="宋体" w:cs="Times New Roman"/>
      <w:b/>
    </w:rPr>
  </w:style>
  <w:style w:type="character" w:customStyle="1" w:styleId="83">
    <w:name w:val="列表段落 字符"/>
    <w:link w:val="84"/>
    <w:qFormat/>
    <w:uiPriority w:val="0"/>
    <w:rPr>
      <w:rFonts w:ascii="Calibri" w:hAnsi="Calibri" w:eastAsia="宋体" w:cs="Times New Roman"/>
      <w:kern w:val="2"/>
      <w:sz w:val="21"/>
      <w:szCs w:val="22"/>
      <w:lang w:bidi="ar-SA"/>
    </w:rPr>
  </w:style>
  <w:style w:type="paragraph" w:customStyle="1" w:styleId="84">
    <w:name w:val="List Paragraph"/>
    <w:basedOn w:val="1"/>
    <w:link w:val="83"/>
    <w:qFormat/>
    <w:uiPriority w:val="0"/>
    <w:pPr>
      <w:ind w:firstLine="420" w:firstLineChars="200"/>
    </w:pPr>
    <w:rPr>
      <w:szCs w:val="22"/>
    </w:rPr>
  </w:style>
  <w:style w:type="paragraph" w:customStyle="1" w:styleId="85">
    <w:name w:val="标题 1 New New"/>
    <w:basedOn w:val="86"/>
    <w:next w:val="86"/>
    <w:qFormat/>
    <w:uiPriority w:val="0"/>
    <w:pPr>
      <w:keepNext/>
      <w:keepLines/>
      <w:spacing w:before="340" w:beforeLines="0" w:beforeAutospacing="0" w:after="330" w:afterLines="0" w:afterAutospacing="0" w:line="576" w:lineRule="auto"/>
      <w:ind w:firstLine="525"/>
      <w:outlineLvl w:val="0"/>
    </w:pPr>
    <w:rPr>
      <w:rFonts w:ascii="Times New Roman" w:hAnsi="Times New Roman" w:eastAsia="宋体" w:cs="Times New Roman"/>
      <w:b/>
      <w:kern w:val="44"/>
      <w:sz w:val="28"/>
      <w:lang w:val="en-US" w:eastAsia="zh-CN" w:bidi="ar-SA"/>
    </w:rPr>
  </w:style>
  <w:style w:type="paragraph" w:customStyle="1" w:styleId="86">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页眉 New New New New New New New New New New New New New New New New New New New New New New New New New New New New New New New"/>
    <w:basedOn w:val="89"/>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8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页眉 New New New New New New New New New New New New New New New New New New New New New New New New"/>
    <w:basedOn w:val="92"/>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92">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页眉 New New New New New New New New New New New New New New New New New New New New New New New New New New New New New New New New New New"/>
    <w:basedOn w:val="9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9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页脚 New New New New New New New New New New New New New New"/>
    <w:basedOn w:val="9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96">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_Style 2"/>
    <w:basedOn w:val="1"/>
    <w:qFormat/>
    <w:uiPriority w:val="0"/>
    <w:pPr>
      <w:ind w:firstLine="420" w:firstLineChars="200"/>
    </w:pPr>
  </w:style>
  <w:style w:type="paragraph" w:customStyle="1" w:styleId="99">
    <w:name w:val="页眉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00">
    <w:name w:val="页眉 New New New New New"/>
    <w:basedOn w:val="9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01">
    <w:name w:val="页脚 New New New New"/>
    <w:basedOn w:val="102"/>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02">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
    <w:name w:val="页眉 New New New New New New New New New New New New New New New New New New New New New New New New New New New New New New New New New New New New New New New New New New New New New"/>
    <w:basedOn w:val="104"/>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页脚 New New New New New New New New New New New New New New New New New New New New New New New New New New New New New New New"/>
    <w:basedOn w:val="10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06">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正文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 Char Char8 Char Char"/>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11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页脚 New New New New New New New New New New New New New New New New New New New New New New"/>
    <w:basedOn w:val="11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1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页脚 New New New New New New New New New New New New"/>
    <w:basedOn w:val="11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18">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9">
    <w:name w:val="页脚 New New New New New New New New New New New New New New New New New New New New New New New New New New New New New New New New New New New New New New"/>
    <w:basedOn w:val="11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20">
    <w:name w:val="普通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paragraph" w:customStyle="1" w:styleId="12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
    <w:name w:val="Plain Text"/>
    <w:basedOn w:val="1"/>
    <w:qFormat/>
    <w:uiPriority w:val="0"/>
    <w:rPr>
      <w:rFonts w:ascii="宋体" w:hAnsi="Courier New"/>
      <w:kern w:val="0"/>
      <w:sz w:val="20"/>
      <w:szCs w:val="21"/>
    </w:rPr>
  </w:style>
  <w:style w:type="paragraph" w:customStyle="1" w:styleId="123">
    <w:name w:val="页眉 New New New New New New New New New New New New New New New New New New New New"/>
    <w:basedOn w:val="114"/>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24">
    <w:name w:val="页脚 New New New New New New New New New New New New New New New New New New New New New New New New New New New New New New"/>
    <w:basedOn w:val="12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25">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
    <w:name w:val="页眉 New New New New New New New New New New"/>
    <w:basedOn w:val="1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28">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
    <w:name w:val="办公自动化专用标题"/>
    <w:basedOn w:val="34"/>
    <w:qFormat/>
    <w:uiPriority w:val="0"/>
    <w:pPr>
      <w:spacing w:line="560" w:lineRule="atLeast"/>
    </w:pPr>
    <w:rPr>
      <w:rFonts w:ascii="宋体" w:hAnsi="Times New Roman" w:eastAsia="宋体" w:cs="Times New Roman"/>
      <w:bCs w:val="0"/>
      <w:sz w:val="44"/>
      <w:szCs w:val="20"/>
    </w:rPr>
  </w:style>
  <w:style w:type="paragraph" w:customStyle="1" w:styleId="130">
    <w:name w:val="页眉 New New New New New New New New New New New"/>
    <w:basedOn w:val="12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31">
    <w:name w:val=" Char Char17 Char Char Char Char"/>
    <w:basedOn w:val="112"/>
    <w:qFormat/>
    <w:uiPriority w:val="0"/>
    <w:rPr>
      <w:rFonts w:ascii="Times New Roman" w:hAnsi="Times New Roman" w:eastAsia="宋体" w:cs="Times New Roman"/>
    </w:rPr>
  </w:style>
  <w:style w:type="paragraph" w:customStyle="1" w:styleId="132">
    <w:name w:val="页眉 New New New New"/>
    <w:basedOn w:val="10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33">
    <w:name w:val="正文 New New New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34">
    <w:name w:val="Char Char2 Char"/>
    <w:basedOn w:val="1"/>
    <w:qFormat/>
    <w:uiPriority w:val="0"/>
    <w:rPr>
      <w:rFonts w:ascii="宋体" w:hAnsi="宋体" w:eastAsia="宋体" w:cs="Times New Roman"/>
      <w:b/>
      <w:sz w:val="28"/>
      <w:szCs w:val="28"/>
    </w:rPr>
  </w:style>
  <w:style w:type="paragraph" w:customStyle="1" w:styleId="13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
    <w:name w:val="074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38">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szCs w:val="20"/>
    </w:rPr>
  </w:style>
  <w:style w:type="paragraph" w:customStyle="1" w:styleId="139">
    <w:name w:val="页眉 New New New New New New New New New New New New New New New New"/>
    <w:basedOn w:val="140"/>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4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页脚 New New New New New New New New New New New New New New New New New New New New New New New New New New New New New New New New New"/>
    <w:basedOn w:val="89"/>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42">
    <w:name w:val="页脚 New New New New New New New New New New New New New New New New New New New"/>
    <w:basedOn w:val="8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43">
    <w:name w:val="页眉 New New New New New New New New New New New New New New New New New New New New New New New"/>
    <w:basedOn w:val="136"/>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44">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题注5"/>
    <w:basedOn w:val="1"/>
    <w:next w:val="11"/>
    <w:qFormat/>
    <w:uiPriority w:val="0"/>
    <w:pPr>
      <w:jc w:val="center"/>
    </w:pPr>
    <w:rPr>
      <w:rFonts w:ascii="Times New Roman" w:hAnsi="Times New Roman" w:eastAsia="宋体" w:cs="Times New Roman"/>
      <w:b/>
      <w:color w:val="000000"/>
      <w:sz w:val="24"/>
      <w:szCs w:val="21"/>
    </w:rPr>
  </w:style>
  <w:style w:type="paragraph" w:customStyle="1" w:styleId="146">
    <w:name w:val="页脚 New New New New New New New New New New"/>
    <w:basedOn w:val="128"/>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题注4"/>
    <w:basedOn w:val="1"/>
    <w:next w:val="11"/>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49">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52">
    <w:name w:val="页脚 New New New New New New New New"/>
    <w:basedOn w:val="153"/>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53">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页脚 New New New New New New New New New New New New New New New New New New New New New New New New New New New"/>
    <w:basedOn w:val="15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5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页脚 New New New New New New New New New New New New New New New New New New New New New New New New New New New New New New New New"/>
    <w:basedOn w:val="158"/>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58">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 Char2"/>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160">
    <w:name w:val="页眉 New New New New New New New New New New New New New New New New New New New New New New New New New New New"/>
    <w:basedOn w:val="161"/>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6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2">
    <w:name w:val=" Char3"/>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63">
    <w:name w:val="Char Char Char Char"/>
    <w:basedOn w:val="1"/>
    <w:qFormat/>
    <w:uiPriority w:val="0"/>
    <w:pPr>
      <w:widowControl/>
      <w:spacing w:after="160" w:afterLines="0" w:line="240" w:lineRule="exact"/>
      <w:jc w:val="left"/>
    </w:pPr>
    <w:rPr>
      <w:rFonts w:ascii="Verdana" w:hAnsi="Verdana" w:eastAsia="楷体_GB2312" w:cs="Verdana"/>
      <w:b/>
      <w:bCs/>
      <w:i/>
      <w:iCs/>
      <w:color w:val="000000"/>
      <w:kern w:val="0"/>
      <w:sz w:val="20"/>
      <w:szCs w:val="20"/>
      <w:lang w:eastAsia="en-US"/>
    </w:rPr>
  </w:style>
  <w:style w:type="paragraph" w:customStyle="1" w:styleId="16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5">
    <w:name w:val="页眉 New"/>
    <w:basedOn w:val="16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66">
    <w:name w:val="页眉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67">
    <w:name w:val="页脚 New New"/>
    <w:basedOn w:val="13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68">
    <w:name w:val="页眉 New New New New New New New New New New New New"/>
    <w:basedOn w:val="1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69">
    <w:name w:val="标题 1 New"/>
    <w:basedOn w:val="116"/>
    <w:next w:val="116"/>
    <w:qFormat/>
    <w:uiPriority w:val="0"/>
    <w:pPr>
      <w:keepNext/>
      <w:keepLines/>
      <w:spacing w:before="340" w:beforeLines="0" w:beforeAutospacing="0" w:after="330" w:afterLines="0" w:afterAutospacing="0" w:line="576" w:lineRule="auto"/>
      <w:ind w:firstLine="525"/>
      <w:outlineLvl w:val="0"/>
    </w:pPr>
    <w:rPr>
      <w:rFonts w:ascii="Times New Roman" w:hAnsi="Times New Roman" w:eastAsia="宋体" w:cs="Times New Roman"/>
      <w:b/>
      <w:kern w:val="44"/>
      <w:sz w:val="28"/>
      <w:lang w:val="en-US" w:eastAsia="zh-CN" w:bidi="ar-SA"/>
    </w:rPr>
  </w:style>
  <w:style w:type="paragraph" w:customStyle="1" w:styleId="17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olor w:val="auto"/>
      <w:szCs w:val="21"/>
    </w:rPr>
  </w:style>
  <w:style w:type="paragraph" w:customStyle="1" w:styleId="171">
    <w:name w:val="默认段落字体 Para Char"/>
    <w:basedOn w:val="1"/>
    <w:qFormat/>
    <w:uiPriority w:val="0"/>
    <w:rPr>
      <w:rFonts w:ascii="宋体" w:hAnsi="宋体" w:eastAsia="宋体" w:cs="Times New Roman"/>
      <w:b/>
      <w:sz w:val="28"/>
      <w:szCs w:val="28"/>
    </w:rPr>
  </w:style>
  <w:style w:type="paragraph" w:customStyle="1" w:styleId="172">
    <w:name w:val=" Char Char3 Char Char Char 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173">
    <w:name w:val="页脚 New New New New New"/>
    <w:basedOn w:val="9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7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普通文字"/>
    <w:basedOn w:val="1"/>
    <w:qFormat/>
    <w:uiPriority w:val="0"/>
    <w:pPr>
      <w:widowControl/>
      <w:spacing w:line="351" w:lineRule="atLeast"/>
      <w:ind w:firstLine="419"/>
      <w:textAlignment w:val="baseline"/>
    </w:pPr>
    <w:rPr>
      <w:rFonts w:ascii="宋体" w:hAnsi="Times New Roman" w:eastAsia="宋体" w:cs="Times New Roman"/>
      <w:color w:val="000000"/>
      <w:kern w:val="0"/>
      <w:szCs w:val="20"/>
      <w:u w:val="none" w:color="000000"/>
    </w:rPr>
  </w:style>
  <w:style w:type="paragraph" w:customStyle="1" w:styleId="176">
    <w:name w:val="页脚 New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eastAsia="宋体" w:cs="Times New Roman"/>
      <w:kern w:val="2"/>
      <w:sz w:val="18"/>
      <w:szCs w:val="18"/>
    </w:rPr>
  </w:style>
  <w:style w:type="paragraph" w:customStyle="1" w:styleId="177">
    <w:name w:val=" Char Char15"/>
    <w:basedOn w:val="164"/>
    <w:qFormat/>
    <w:uiPriority w:val="0"/>
    <w:rPr>
      <w:rFonts w:ascii="Times New Roman" w:hAnsi="Times New Roman" w:eastAsia="宋体" w:cs="Times New Roman"/>
    </w:rPr>
  </w:style>
  <w:style w:type="paragraph" w:customStyle="1" w:styleId="178">
    <w:name w:val="1"/>
    <w:basedOn w:val="1"/>
    <w:next w:val="18"/>
    <w:qFormat/>
    <w:uiPriority w:val="0"/>
    <w:rPr>
      <w:rFonts w:ascii="宋体" w:hAnsi="Courier New" w:eastAsia="宋体" w:cs="Times New Roman"/>
      <w:szCs w:val="20"/>
    </w:rPr>
  </w:style>
  <w:style w:type="paragraph" w:customStyle="1" w:styleId="179">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页脚 New New New"/>
    <w:basedOn w:val="18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81">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2">
    <w:name w:val="正文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83">
    <w:name w:val="页脚 New New New New New New New New New New New New New New New New New New New New New New New New New New New New New New New New New New New New New"/>
    <w:basedOn w:val="11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84">
    <w:name w:val="xl51"/>
    <w:basedOn w:val="1"/>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paragraph" w:customStyle="1" w:styleId="185">
    <w:name w:val="页脚 New New New New New New New New New New New"/>
    <w:basedOn w:val="12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86">
    <w:name w:val="列表段落1"/>
    <w:basedOn w:val="1"/>
    <w:qFormat/>
    <w:uiPriority w:val="34"/>
    <w:pPr>
      <w:ind w:firstLine="420" w:firstLineChars="200"/>
    </w:pPr>
  </w:style>
  <w:style w:type="paragraph" w:customStyle="1" w:styleId="187">
    <w:name w:val="_Style 75"/>
    <w:basedOn w:val="1"/>
    <w:next w:val="186"/>
    <w:qFormat/>
    <w:uiPriority w:val="99"/>
    <w:pPr>
      <w:ind w:firstLine="420" w:firstLineChars="200"/>
    </w:pPr>
    <w:rPr>
      <w:rFonts w:eastAsia="黑体"/>
      <w:bCs/>
      <w:sz w:val="30"/>
      <w:szCs w:val="30"/>
    </w:rPr>
  </w:style>
  <w:style w:type="paragraph" w:customStyle="1" w:styleId="188">
    <w:name w:val="页眉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89">
    <w:name w:val="页脚 New New New New New New New New New New New New New"/>
    <w:basedOn w:val="8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0">
    <w:name w:val="页脚 New New New New New New New New New New New New New New New New New New New New New New New New New"/>
    <w:basedOn w:val="13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1">
    <w:name w:val="页脚 New New New New New New New"/>
    <w:basedOn w:val="149"/>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2">
    <w:name w:val="页眉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93">
    <w:name w:val="页脚 New New New New New New New New New New New New New New New New New New New New New New New New New New New New New New New New New New New New New New New"/>
    <w:basedOn w:val="17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5">
    <w:name w:val="页眉 New New New New New New New New New New New New New New New New New New New New New New New New New New New New New New New New New New New New New New New New New New New New"/>
    <w:basedOn w:val="196"/>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页脚 New New New New New New New New New New New New New New New New New New New New"/>
    <w:basedOn w:val="9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8">
    <w:name w:val="页脚 New New New New New New New New New New New New New New New New New New New New New New New New New New New New New New New New New New New New New New New New New New New"/>
    <w:basedOn w:val="104"/>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99">
    <w:name w:val="页脚 New New New New New New New New New New New New New New New"/>
    <w:basedOn w:val="20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00">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1">
    <w:name w:val="Char2"/>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202">
    <w:name w:val="页脚 New"/>
    <w:basedOn w:val="16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03">
    <w:name w:val="页眉 New New New New New New New New New New New New New New New"/>
    <w:basedOn w:val="204"/>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0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
    <w:name w:val="样式 首行缩进:  2 字符"/>
    <w:basedOn w:val="1"/>
    <w:qFormat/>
    <w:uiPriority w:val="0"/>
    <w:pPr>
      <w:spacing w:line="360" w:lineRule="auto"/>
      <w:ind w:right="420" w:rightChars="200" w:firstLine="200" w:firstLineChars="200"/>
    </w:pPr>
    <w:rPr>
      <w:rFonts w:cs="宋体"/>
      <w:sz w:val="24"/>
      <w:szCs w:val="20"/>
    </w:rPr>
  </w:style>
  <w:style w:type="paragraph" w:customStyle="1" w:styleId="206">
    <w:name w:val="页脚 New New New New New New New New New New New New New New New New New New New New New New New New"/>
    <w:basedOn w:val="20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0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 w:type="paragraph" w:customStyle="1" w:styleId="20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页脚 New New New New New New New New New New New New New New New New New New New New New New New New New New New New"/>
    <w:basedOn w:val="12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11">
    <w:name w:val="Table Paragraph"/>
    <w:basedOn w:val="1"/>
    <w:qFormat/>
    <w:uiPriority w:val="1"/>
    <w:rPr>
      <w:rFonts w:ascii="宋体" w:hAnsi="宋体" w:eastAsia="宋体" w:cs="宋体"/>
      <w:lang w:val="zh-CN" w:eastAsia="zh-CN" w:bidi="zh-CN"/>
    </w:rPr>
  </w:style>
  <w:style w:type="paragraph" w:customStyle="1" w:styleId="212">
    <w:name w:val="页脚 New New New New New New New New New New New New New New New New New New"/>
    <w:basedOn w:val="14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13">
    <w:name w:val=" Char1 Char Char Char Char Char Char Char Char Char Char Char Char Char Char Char1 Char Char Char Char Char 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214">
    <w:name w:val="xl22"/>
    <w:basedOn w:val="1"/>
    <w:qFormat/>
    <w:uiPriority w:val="0"/>
    <w:pPr>
      <w:widowControl/>
      <w:spacing w:before="100" w:beforeLines="0" w:beforeAutospacing="1" w:after="100" w:afterLines="0" w:afterAutospacing="1"/>
      <w:jc w:val="center"/>
    </w:pPr>
    <w:rPr>
      <w:rFonts w:hint="eastAsia" w:ascii="Arial Unicode MS" w:hAnsi="Arial Unicode MS" w:eastAsia="Arial Unicode MS" w:cs="Arial Unicode MS"/>
      <w:kern w:val="0"/>
      <w:sz w:val="24"/>
    </w:rPr>
  </w:style>
  <w:style w:type="paragraph" w:customStyle="1" w:styleId="215">
    <w:name w:val="页眉 New New New New New New New"/>
    <w:basedOn w:val="14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16">
    <w:name w:val="页眉 New New New New New New New New New New New New New New New New New New New New New New New New New New New New New New New New New"/>
    <w:basedOn w:val="21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17">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_Style 63"/>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19">
    <w:name w:val="页眉 New New New New New New New New New New New New New New New New New New New New New New New New New New New New New New New New New New New"/>
    <w:basedOn w:val="111"/>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20">
    <w:name w:val="2册标题2"/>
    <w:basedOn w:val="1"/>
    <w:next w:val="1"/>
    <w:qFormat/>
    <w:uiPriority w:val="0"/>
    <w:pPr>
      <w:spacing w:before="156" w:beforeLines="50" w:after="156" w:afterLines="50" w:line="300" w:lineRule="auto"/>
      <w:outlineLvl w:val="1"/>
    </w:pPr>
    <w:rPr>
      <w:rFonts w:ascii="Arial" w:hAnsi="Arial" w:eastAsia="黑体" w:cs="Times New Roman"/>
      <w:sz w:val="30"/>
      <w:szCs w:val="30"/>
    </w:rPr>
  </w:style>
  <w:style w:type="paragraph" w:customStyle="1" w:styleId="221">
    <w:name w:val="页眉 New New New New New New New New New New New New New New New New New New"/>
    <w:basedOn w:val="9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22">
    <w:name w:val="页脚 New New New New New New New New New New New New New New New New New New New New New New New New New New New New New New New New New New New New"/>
    <w:basedOn w:val="9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23">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页脚 New New New New New New New New New New New New New New New New New New New New New"/>
    <w:basedOn w:val="15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25">
    <w:name w:val="页脚 New New New New New New New New New New New New New New New New New"/>
    <w:basedOn w:val="20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26">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27">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28">
    <w:name w:val="页眉 New New New New New New New New"/>
    <w:basedOn w:val="15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29">
    <w:name w:val="Char Char1"/>
    <w:basedOn w:val="1"/>
    <w:qFormat/>
    <w:uiPriority w:val="0"/>
    <w:pPr>
      <w:widowControl/>
      <w:spacing w:after="160" w:afterLines="0" w:line="240" w:lineRule="exact"/>
      <w:jc w:val="left"/>
    </w:pPr>
    <w:rPr>
      <w:rFonts w:ascii="Verdana" w:hAnsi="Verdana" w:eastAsia="楷体_GB2312" w:cs="Times New Roman"/>
      <w:b/>
      <w:i/>
      <w:iCs/>
      <w:color w:val="000000"/>
      <w:kern w:val="0"/>
      <w:sz w:val="20"/>
      <w:szCs w:val="20"/>
      <w:lang w:eastAsia="en-US"/>
    </w:rPr>
  </w:style>
  <w:style w:type="paragraph" w:customStyle="1" w:styleId="230">
    <w:name w:val="页脚 New New New New New New New New New New New New New New New New New New New New New New New New New New New New New New New New New New New"/>
    <w:basedOn w:val="21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31">
    <w:name w:val="页眉 New New New New New New New New New New New New New New New New New New New New New New New New New"/>
    <w:basedOn w:val="155"/>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32">
    <w:name w:val="页眉 New New New New New New New New New New New New New New New New New New New New New New New New New New New New New New New New New New New New New New New New New New"/>
    <w:basedOn w:val="174"/>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33">
    <w:name w:val="_Style 62"/>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34">
    <w:name w:val="页眉 New New New New New New New New New New New New New New New New New New New"/>
    <w:basedOn w:val="150"/>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35">
    <w:name w:val="zw1"/>
    <w:basedOn w:val="1"/>
    <w:qFormat/>
    <w:uiPriority w:val="0"/>
    <w:pPr>
      <w:widowControl/>
      <w:spacing w:line="360" w:lineRule="auto"/>
      <w:ind w:firstLine="480" w:firstLineChars="200"/>
    </w:pPr>
    <w:rPr>
      <w:rFonts w:ascii="Calibri" w:hAnsi="Calibri" w:eastAsia="宋体" w:cs="Times New Roman"/>
      <w:kern w:val="0"/>
      <w:sz w:val="24"/>
      <w:lang w:eastAsia="en-US" w:bidi="en-US"/>
    </w:rPr>
  </w:style>
  <w:style w:type="paragraph" w:customStyle="1" w:styleId="236">
    <w:name w:val="页脚 New New New New New New New New New New New New New New New New New New New New New New New New New New New New New"/>
    <w:basedOn w:val="16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37">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页眉 New New New New New New New New New New New New New New New New New New New New New New New New New New New New"/>
    <w:basedOn w:val="125"/>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39">
    <w:name w:val="页眉 New New New New New New New New New New New New New New New New New New New New New New New New New New New New New New"/>
    <w:basedOn w:val="15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40">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41">
    <w:name w:val="页眉 New New New New New New New New New New New New New New"/>
    <w:basedOn w:val="24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42">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页眉 New New New New New New New New New New New New New New New New New New New New New New New New New New"/>
    <w:basedOn w:val="126"/>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44">
    <w:name w:val="页脚 New New New New New New New New New New New New New New New New New New New New New New New New New New New New New New New New New New"/>
    <w:basedOn w:val="24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45">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6">
    <w:name w:val="页脚 New New New New New New New New New New New New New New New New New New New New New New New New New New New New New New New New New New New New New New New New New New"/>
    <w:basedOn w:val="196"/>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47">
    <w:name w:val="页眉 New New New New New New New New New New New New New New New New New New New New New New"/>
    <w:basedOn w:val="20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48">
    <w:name w:val="页眉 New New New New New New New New New New New New New New New New New New New New New New New New New New New New New New New New New New New New New New New New New"/>
    <w:basedOn w:val="115"/>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49">
    <w:name w:val="页眉 New New New New New New New New New"/>
    <w:basedOn w:val="10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0">
    <w:name w:val="页眉 New New New New New New New New New New New New New"/>
    <w:basedOn w:val="8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52">
    <w:name w:val="图 New"/>
    <w:basedOn w:val="204"/>
    <w:qFormat/>
    <w:uiPriority w:val="0"/>
    <w:pPr>
      <w:keepNext/>
      <w:adjustRightInd w:val="0"/>
      <w:spacing w:before="60" w:beforeLines="0" w:beforeAutospacing="0" w:after="60" w:afterLines="0" w:afterAutospacing="0" w:line="300" w:lineRule="auto"/>
      <w:jc w:val="center"/>
      <w:textAlignment w:val="center"/>
    </w:pPr>
    <w:rPr>
      <w:rFonts w:ascii="Times New Roman" w:hAnsi="Times New Roman" w:eastAsia="宋体" w:cs="Times New Roman"/>
      <w:snapToGrid w:val="0"/>
      <w:spacing w:val="20"/>
      <w:kern w:val="0"/>
      <w:sz w:val="24"/>
    </w:rPr>
  </w:style>
  <w:style w:type="paragraph" w:customStyle="1" w:styleId="253">
    <w:name w:val="页眉 New New"/>
    <w:basedOn w:val="13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4">
    <w:name w:val=" Char Char Char Char Char Char Char Char Char1"/>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255">
    <w:name w:val="页眉 New New New New New New"/>
    <w:basedOn w:val="19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6">
    <w:name w:val="页脚 New New New New New New New New New New New New New New New New New New New New New New New"/>
    <w:basedOn w:val="15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57">
    <w:name w:val="样式2"/>
    <w:basedOn w:val="2"/>
    <w:qFormat/>
    <w:uiPriority w:val="0"/>
    <w:pPr>
      <w:widowControl/>
      <w:spacing w:before="156" w:beforeLines="50" w:after="156" w:afterLines="50"/>
      <w:jc w:val="left"/>
      <w:outlineLvl w:val="1"/>
    </w:pPr>
    <w:rPr>
      <w:rFonts w:ascii="Times New Roman" w:hAnsi="Times New Roman" w:eastAsia="宋体" w:cs="Times New Roman"/>
      <w:b/>
      <w:sz w:val="28"/>
      <w:szCs w:val="28"/>
    </w:rPr>
  </w:style>
  <w:style w:type="paragraph" w:customStyle="1" w:styleId="258">
    <w:name w:val="页眉 New New New New New New New New New New New New New New New New New"/>
    <w:basedOn w:val="8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59">
    <w:name w:val=" Char Char2 Char"/>
    <w:basedOn w:val="1"/>
    <w:qFormat/>
    <w:uiPriority w:val="0"/>
    <w:rPr>
      <w:rFonts w:ascii="宋体" w:hAnsi="宋体" w:eastAsia="宋体" w:cs="Times New Roman"/>
      <w:b/>
      <w:sz w:val="28"/>
      <w:szCs w:val="28"/>
    </w:rPr>
  </w:style>
  <w:style w:type="paragraph" w:customStyle="1" w:styleId="260">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1">
    <w:name w:val="List Paragraph1"/>
    <w:basedOn w:val="1"/>
    <w:qFormat/>
    <w:uiPriority w:val="0"/>
    <w:pPr>
      <w:widowControl/>
      <w:ind w:left="720" w:firstLine="200" w:firstLineChars="200"/>
      <w:contextualSpacing/>
      <w:jc w:val="left"/>
    </w:pPr>
    <w:rPr>
      <w:rFonts w:ascii="Times New Roman" w:hAnsi="Times New Roman" w:eastAsia="微软雅黑" w:cs="Times New Roman"/>
      <w:kern w:val="0"/>
      <w:sz w:val="22"/>
      <w:szCs w:val="20"/>
    </w:rPr>
  </w:style>
  <w:style w:type="paragraph" w:customStyle="1" w:styleId="262">
    <w:name w:val="页眉 New New New New New New New New New New New New New New New New New New New New New New New New New New New New New New New New New New New New New New New New New New New"/>
    <w:basedOn w:val="14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63">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4">
    <w:name w:val="Char Char Char Char Char Char Char Char Char Char Char Char Char"/>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65">
    <w:name w:val="页脚 New New New New New New New New New New New New New New New New"/>
    <w:basedOn w:val="242"/>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66">
    <w:name w:val="页眉 New New New New New New New New New New New New New New New New New New New New New"/>
    <w:basedOn w:val="156"/>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67">
    <w:name w:val="正文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69">
    <w:name w:val="WPSOffice手动目录 1"/>
    <w:qFormat/>
    <w:uiPriority w:val="0"/>
    <w:pPr>
      <w:ind w:leftChars="0"/>
    </w:pPr>
    <w:rPr>
      <w:rFonts w:ascii="Times New Roman" w:hAnsi="Times New Roman" w:eastAsia="宋体" w:cs="Times New Roman"/>
      <w:sz w:val="20"/>
      <w:szCs w:val="20"/>
    </w:rPr>
  </w:style>
  <w:style w:type="paragraph" w:customStyle="1" w:styleId="270">
    <w:name w:val="页眉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71">
    <w:name w:val="页脚 New New New New New New New New New New New New New New New New New New New New New New New New New New New New New New New New New New New New New New New New"/>
    <w:basedOn w:val="14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72">
    <w:name w:val="_Style 3"/>
    <w:basedOn w:val="1"/>
    <w:qFormat/>
    <w:uiPriority w:val="34"/>
    <w:pPr>
      <w:ind w:firstLine="420" w:firstLineChars="200"/>
    </w:pPr>
    <w:rPr>
      <w:szCs w:val="22"/>
    </w:rPr>
  </w:style>
  <w:style w:type="paragraph" w:customStyle="1" w:styleId="273">
    <w:name w:val="正文缩进1"/>
    <w:qFormat/>
    <w:uiPriority w:val="0"/>
    <w:pPr>
      <w:ind w:firstLine="420"/>
    </w:pPr>
    <w:rPr>
      <w:rFonts w:ascii="Times New Roman" w:hAnsi="Times New Roman" w:eastAsia="宋体" w:cs="Times New Roman"/>
      <w:lang w:val="en-US" w:eastAsia="zh-CN" w:bidi="ar-SA"/>
    </w:rPr>
  </w:style>
  <w:style w:type="paragraph" w:customStyle="1" w:styleId="274">
    <w:name w:val="页眉 New New New New New New New New New New New New New New New New New New New New New New New New New New New New New New New New"/>
    <w:basedOn w:val="24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75">
    <w:name w:val="页脚 New New New New New New New New New"/>
    <w:basedOn w:val="10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76">
    <w:name w:val="页眉 New New New"/>
    <w:basedOn w:val="18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77">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Char"/>
    <w:basedOn w:val="1"/>
    <w:qFormat/>
    <w:uiPriority w:val="0"/>
    <w:pPr>
      <w:widowControl/>
      <w:spacing w:after="160" w:afterLines="0" w:line="240" w:lineRule="exact"/>
      <w:jc w:val="left"/>
    </w:pPr>
    <w:rPr>
      <w:rFonts w:ascii="Verdana" w:hAnsi="Verdana" w:eastAsia="宋体" w:cs="Times New Roman"/>
      <w:kern w:val="0"/>
      <w:szCs w:val="20"/>
      <w:lang w:eastAsia="en-US"/>
    </w:rPr>
  </w:style>
  <w:style w:type="paragraph" w:customStyle="1" w:styleId="279">
    <w:name w:val="页脚 New New New New New New New New New New New New New New New New New New New New New New New New New New"/>
    <w:basedOn w:val="92"/>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80">
    <w:name w:val="页脚 New New New New New New"/>
    <w:basedOn w:val="19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81">
    <w:name w:val="p15"/>
    <w:basedOn w:val="1"/>
    <w:qFormat/>
    <w:uiPriority w:val="0"/>
    <w:pPr>
      <w:widowControl/>
      <w:snapToGrid w:val="0"/>
      <w:jc w:val="left"/>
    </w:pPr>
    <w:rPr>
      <w:rFonts w:ascii="微软雅黑" w:hAnsi="微软雅黑" w:eastAsia="微软雅黑" w:cs="宋体"/>
      <w:color w:val="000000"/>
      <w:kern w:val="0"/>
      <w:sz w:val="24"/>
    </w:rPr>
  </w:style>
  <w:style w:type="paragraph" w:customStyle="1" w:styleId="282">
    <w:name w:val="页眉 New New New New New New New New New New New New New New New New New New New New New New New New New New New New New"/>
    <w:basedOn w:val="10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83">
    <w:name w:val=" Char Char Char Char Char Char"/>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84">
    <w:name w:val="Body Text Indent 2"/>
    <w:basedOn w:val="1"/>
    <w:qFormat/>
    <w:uiPriority w:val="0"/>
    <w:pPr>
      <w:spacing w:after="120" w:afterLines="0" w:line="480" w:lineRule="auto"/>
      <w:ind w:left="420" w:leftChars="200"/>
    </w:pPr>
    <w:rPr>
      <w:rFonts w:ascii="仿宋_GB2312" w:hAnsi="Times New Roman" w:eastAsia="宋体" w:cs="Times New Roman"/>
      <w:b/>
      <w:kern w:val="0"/>
      <w:sz w:val="20"/>
    </w:rPr>
  </w:style>
  <w:style w:type="paragraph" w:customStyle="1" w:styleId="285">
    <w:name w:val="正文文本缩进 21"/>
    <w:basedOn w:val="1"/>
    <w:qFormat/>
    <w:uiPriority w:val="0"/>
    <w:pPr>
      <w:spacing w:after="120" w:line="480" w:lineRule="auto"/>
      <w:ind w:left="420" w:leftChars="200"/>
    </w:pPr>
    <w:rPr>
      <w:rFonts w:ascii="仿宋_GB2312"/>
      <w:b/>
      <w:kern w:val="0"/>
      <w:sz w:val="20"/>
    </w:rPr>
  </w:style>
  <w:style w:type="table" w:customStyle="1" w:styleId="286">
    <w:name w:val="Table Normal"/>
    <w:unhideWhenUsed/>
    <w:qFormat/>
    <w:uiPriority w:val="0"/>
    <w:tblPr>
      <w:tblCellMar>
        <w:top w:w="0" w:type="dxa"/>
        <w:left w:w="0" w:type="dxa"/>
        <w:bottom w:w="0" w:type="dxa"/>
        <w:right w:w="0" w:type="dxa"/>
      </w:tblCellMar>
    </w:tblPr>
  </w:style>
  <w:style w:type="paragraph" w:customStyle="1" w:styleId="287">
    <w:name w:val="正文缩进2格"/>
    <w:basedOn w:val="1"/>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88">
    <w:name w:val="正文首行缩进1"/>
    <w:basedOn w:val="2"/>
    <w:unhideWhenUsed/>
    <w:qFormat/>
    <w:uiPriority w:val="99"/>
    <w:pPr>
      <w:ind w:firstLine="420" w:firstLineChars="100"/>
    </w:pPr>
  </w:style>
  <w:style w:type="character" w:customStyle="1" w:styleId="289">
    <w:name w:val="NormalCharacter"/>
    <w:qFormat/>
    <w:uiPriority w:val="0"/>
  </w:style>
  <w:style w:type="paragraph" w:customStyle="1" w:styleId="290">
    <w:name w:val="列出段落1"/>
    <w:basedOn w:val="1"/>
    <w:qFormat/>
    <w:uiPriority w:val="99"/>
    <w:pPr>
      <w:ind w:firstLine="420" w:firstLineChars="200"/>
    </w:pPr>
    <w:rPr>
      <w:rFonts w:ascii="Calibri" w:hAnsi="Calibri"/>
      <w:szCs w:val="22"/>
    </w:rPr>
  </w:style>
  <w:style w:type="paragraph" w:customStyle="1" w:styleId="291">
    <w:name w:val="UserStyle_63"/>
    <w:basedOn w:val="1"/>
    <w:qFormat/>
    <w:uiPriority w:val="0"/>
    <w:pPr>
      <w:pBdr>
        <w:bottom w:val="single" w:color="000000" w:sz="4" w:space="0"/>
        <w:right w:val="single" w:color="000000" w:sz="4" w:space="0"/>
      </w:pBdr>
      <w:spacing w:before="100" w:beforeAutospacing="1" w:after="100" w:afterAutospacing="1"/>
      <w:jc w:val="center"/>
    </w:pPr>
    <w:rPr>
      <w:rFonts w:ascii="宋体" w:hAnsi="宋体"/>
      <w:kern w:val="0"/>
      <w:szCs w:val="21"/>
    </w:rPr>
  </w:style>
  <w:style w:type="character" w:customStyle="1" w:styleId="292">
    <w:name w:val="font01"/>
    <w:qFormat/>
    <w:uiPriority w:val="0"/>
    <w:rPr>
      <w:rFonts w:hint="default" w:ascii="Times New Roman" w:hAnsi="Times New Roman" w:cs="Times New Roman"/>
      <w:color w:val="000000"/>
      <w:sz w:val="28"/>
      <w:szCs w:val="28"/>
      <w:u w:val="none"/>
    </w:rPr>
  </w:style>
  <w:style w:type="character" w:customStyle="1" w:styleId="293">
    <w:name w:val="font11"/>
    <w:basedOn w:val="40"/>
    <w:qFormat/>
    <w:uiPriority w:val="0"/>
    <w:rPr>
      <w:rFonts w:hint="default"/>
    </w:rPr>
  </w:style>
  <w:style w:type="paragraph" w:customStyle="1" w:styleId="294">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SUN工作室</Company>
  <Pages>67</Pages>
  <Words>27047</Words>
  <Characters>28277</Characters>
  <Lines>1</Lines>
  <Paragraphs>1</Paragraphs>
  <TotalTime>72</TotalTime>
  <ScaleCrop>false</ScaleCrop>
  <LinksUpToDate>false</LinksUpToDate>
  <CharactersWithSpaces>30444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2020-10-22T14:25:00Z</dcterms:created>
  <dc:creator>微软中国</dc:creator>
  <dc:description>广东元正招标公司招标二部20150918</dc:description>
  <cp:lastModifiedBy>huanhuan</cp:lastModifiedBy>
  <cp:lastPrinted>2023-04-28T10:26:00Z</cp:lastPrinted>
  <dcterms:modified xsi:type="dcterms:W3CDTF">2023-05-06T06:55:38Z</dcterms:modified>
  <dc:title>竞争性磋商文件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384738185_btnclosed</vt:lpwstr>
  </property>
  <property fmtid="{D5CDD505-2E9C-101B-9397-08002B2CF9AE}" pid="4" name="ICV">
    <vt:lpwstr>2DEBA2A9E6F9451AA6F8F1248AC5AB6D</vt:lpwstr>
  </property>
</Properties>
</file>