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adjustRightInd w:val="0"/>
        <w:snapToGrid w:val="0"/>
        <w:spacing w:line="600" w:lineRule="exact"/>
        <w:jc w:val="center"/>
        <w:rPr>
          <w:rFonts w:ascii="黑体" w:hAnsi="黑体" w:eastAsia="黑体"/>
          <w:b/>
          <w:sz w:val="48"/>
          <w:szCs w:val="48"/>
        </w:rPr>
      </w:pPr>
    </w:p>
    <w:p>
      <w:pPr>
        <w:pStyle w:val="17"/>
        <w:adjustRightInd w:val="0"/>
        <w:snapToGrid w:val="0"/>
        <w:spacing w:line="600" w:lineRule="exact"/>
        <w:jc w:val="center"/>
        <w:rPr>
          <w:rFonts w:ascii="黑体" w:hAnsi="黑体" w:eastAsia="黑体"/>
          <w:b/>
          <w:sz w:val="48"/>
          <w:szCs w:val="48"/>
        </w:rPr>
      </w:pPr>
    </w:p>
    <w:p>
      <w:pPr>
        <w:pStyle w:val="17"/>
        <w:adjustRightInd w:val="0"/>
        <w:snapToGrid w:val="0"/>
        <w:spacing w:line="600" w:lineRule="exact"/>
        <w:jc w:val="center"/>
        <w:rPr>
          <w:rFonts w:hint="eastAsia" w:hAnsi="宋体" w:eastAsia="宋体" w:cs="宋体"/>
          <w:b/>
          <w:bCs/>
          <w:sz w:val="44"/>
          <w:szCs w:val="44"/>
          <w:lang w:eastAsia="zh-CN"/>
        </w:rPr>
      </w:pPr>
      <w:r>
        <w:rPr>
          <w:rFonts w:hint="eastAsia" w:hAnsi="宋体" w:cs="宋体"/>
          <w:b/>
          <w:bCs/>
          <w:sz w:val="44"/>
          <w:szCs w:val="44"/>
          <w:lang w:eastAsia="zh-CN"/>
        </w:rPr>
        <w:t>张家界市烟草专卖局（公司）关于2023年雪茄烟晾晒房及配套设施采购项目（第二次）</w:t>
      </w:r>
    </w:p>
    <w:p>
      <w:pPr>
        <w:pStyle w:val="17"/>
        <w:adjustRightInd w:val="0"/>
        <w:snapToGrid w:val="0"/>
        <w:spacing w:line="600" w:lineRule="exact"/>
        <w:jc w:val="center"/>
        <w:rPr>
          <w:rFonts w:hAnsi="宋体" w:cs="宋体"/>
          <w:b/>
          <w:sz w:val="48"/>
          <w:szCs w:val="48"/>
        </w:rPr>
      </w:pPr>
    </w:p>
    <w:p>
      <w:pPr>
        <w:jc w:val="center"/>
        <w:rPr>
          <w:rFonts w:ascii="宋体" w:hAnsi="宋体" w:cs="宋体"/>
          <w:b/>
          <w:sz w:val="30"/>
          <w:szCs w:val="30"/>
        </w:rPr>
      </w:pPr>
      <w:r>
        <w:rPr>
          <w:rFonts w:hint="eastAsia"/>
          <w:b/>
          <w:sz w:val="96"/>
        </w:rPr>
        <w:t>招 标 文 件</w:t>
      </w:r>
    </w:p>
    <w:p>
      <w:pPr>
        <w:jc w:val="center"/>
        <w:rPr>
          <w:rFonts w:ascii="宋体" w:hAnsi="宋体" w:cs="宋体"/>
          <w:b/>
          <w:spacing w:val="-20"/>
          <w:sz w:val="32"/>
          <w:szCs w:val="32"/>
        </w:rPr>
      </w:pPr>
      <w:r>
        <w:rPr>
          <w:rFonts w:hint="eastAsia" w:ascii="宋体" w:hAnsi="宋体" w:cs="宋体"/>
          <w:b/>
          <w:spacing w:val="-20"/>
          <w:sz w:val="32"/>
          <w:szCs w:val="32"/>
          <w:lang w:eastAsia="zh-CN"/>
        </w:rPr>
        <w:t>委托代理</w:t>
      </w:r>
      <w:r>
        <w:rPr>
          <w:rFonts w:hint="eastAsia" w:ascii="宋体" w:hAnsi="宋体" w:cs="宋体"/>
          <w:b/>
          <w:spacing w:val="-20"/>
          <w:sz w:val="32"/>
          <w:szCs w:val="32"/>
        </w:rPr>
        <w:t>编号：TCZY-2023-ZJJ013</w:t>
      </w:r>
    </w:p>
    <w:p>
      <w:pPr>
        <w:pStyle w:val="3"/>
      </w:pPr>
    </w:p>
    <w:p>
      <w:pPr>
        <w:pStyle w:val="3"/>
      </w:pPr>
    </w:p>
    <w:p/>
    <w:p>
      <w:pPr>
        <w:pStyle w:val="30"/>
        <w:ind w:firstLine="210"/>
      </w:pPr>
    </w:p>
    <w:p>
      <w:pPr>
        <w:pStyle w:val="30"/>
        <w:ind w:firstLine="210"/>
      </w:pPr>
    </w:p>
    <w:p>
      <w:pPr>
        <w:pStyle w:val="30"/>
        <w:ind w:firstLine="210"/>
      </w:pPr>
    </w:p>
    <w:p>
      <w:pPr>
        <w:rPr>
          <w:b/>
        </w:rPr>
      </w:pPr>
    </w:p>
    <w:p>
      <w:pPr>
        <w:rPr>
          <w:b/>
        </w:rPr>
      </w:pPr>
    </w:p>
    <w:p>
      <w:pPr>
        <w:pStyle w:val="2"/>
        <w:rPr>
          <w:b/>
        </w:rPr>
      </w:pPr>
    </w:p>
    <w:p>
      <w:pPr>
        <w:pStyle w:val="2"/>
        <w:rPr>
          <w:b/>
        </w:rPr>
      </w:pPr>
    </w:p>
    <w:p>
      <w:pPr>
        <w:pStyle w:val="2"/>
        <w:rPr>
          <w:b/>
        </w:rPr>
      </w:pPr>
    </w:p>
    <w:p>
      <w:pPr>
        <w:pStyle w:val="2"/>
        <w:rPr>
          <w:b/>
        </w:rPr>
      </w:pPr>
    </w:p>
    <w:p>
      <w:pPr>
        <w:pStyle w:val="2"/>
        <w:rPr>
          <w:b/>
        </w:rPr>
      </w:pPr>
    </w:p>
    <w:p>
      <w:pPr>
        <w:pStyle w:val="2"/>
        <w:rPr>
          <w:b/>
        </w:rPr>
      </w:pPr>
    </w:p>
    <w:p>
      <w:pPr>
        <w:pStyle w:val="2"/>
        <w:rPr>
          <w:b/>
        </w:rPr>
      </w:pPr>
    </w:p>
    <w:p>
      <w:pPr>
        <w:pStyle w:val="2"/>
        <w:rPr>
          <w:b/>
        </w:rPr>
      </w:pPr>
    </w:p>
    <w:p>
      <w:pPr>
        <w:adjustRightInd w:val="0"/>
        <w:snapToGrid w:val="0"/>
        <w:spacing w:line="600" w:lineRule="exact"/>
        <w:ind w:firstLine="1050" w:firstLineChars="350"/>
        <w:rPr>
          <w:rFonts w:ascii="宋体" w:hAnsi="宋体" w:cs="宋体"/>
          <w:b/>
          <w:sz w:val="30"/>
          <w:szCs w:val="30"/>
        </w:rPr>
      </w:pPr>
    </w:p>
    <w:p>
      <w:pPr>
        <w:adjustRightInd w:val="0"/>
        <w:snapToGrid w:val="0"/>
        <w:spacing w:line="600" w:lineRule="exact"/>
        <w:ind w:firstLine="1050" w:firstLineChars="350"/>
        <w:rPr>
          <w:rFonts w:ascii="宋体" w:hAnsi="宋体" w:cs="宋体"/>
          <w:b/>
          <w:sz w:val="30"/>
          <w:szCs w:val="30"/>
        </w:rPr>
      </w:pPr>
      <w:r>
        <w:rPr>
          <w:rFonts w:hint="eastAsia" w:ascii="宋体" w:hAnsi="宋体" w:cs="宋体"/>
          <w:b/>
          <w:sz w:val="30"/>
          <w:szCs w:val="30"/>
        </w:rPr>
        <w:t>招标人：</w:t>
      </w:r>
      <w:r>
        <w:rPr>
          <w:rFonts w:hint="eastAsia" w:ascii="宋体" w:hAnsi="宋体" w:cs="宋体"/>
          <w:b/>
          <w:sz w:val="30"/>
          <w:szCs w:val="30"/>
          <w:u w:val="single"/>
        </w:rPr>
        <w:t>湖南省烟草公司张家界市公司</w:t>
      </w:r>
      <w:r>
        <w:rPr>
          <w:rFonts w:hint="eastAsia" w:ascii="宋体" w:hAnsi="宋体" w:cs="宋体"/>
          <w:b/>
          <w:sz w:val="30"/>
          <w:szCs w:val="30"/>
        </w:rPr>
        <w:t xml:space="preserve">     </w:t>
      </w:r>
    </w:p>
    <w:p>
      <w:pPr>
        <w:adjustRightInd w:val="0"/>
        <w:snapToGrid w:val="0"/>
        <w:spacing w:line="600" w:lineRule="exact"/>
        <w:ind w:firstLine="1050" w:firstLineChars="350"/>
        <w:rPr>
          <w:rFonts w:ascii="宋体" w:hAnsi="宋体" w:cs="宋体"/>
          <w:b/>
          <w:sz w:val="30"/>
          <w:szCs w:val="30"/>
        </w:rPr>
      </w:pPr>
      <w:r>
        <w:rPr>
          <w:rFonts w:hint="eastAsia" w:ascii="宋体" w:hAnsi="宋体" w:cs="宋体"/>
          <w:b/>
          <w:sz w:val="30"/>
          <w:szCs w:val="30"/>
        </w:rPr>
        <w:t>招标代理机构：</w:t>
      </w:r>
      <w:r>
        <w:rPr>
          <w:rFonts w:hint="eastAsia" w:ascii="宋体" w:hAnsi="宋体" w:cs="宋体"/>
          <w:b/>
          <w:sz w:val="30"/>
          <w:szCs w:val="30"/>
          <w:u w:val="single"/>
        </w:rPr>
        <w:t>天策致远工程咨询管理有限公司</w:t>
      </w:r>
    </w:p>
    <w:p>
      <w:pPr>
        <w:pStyle w:val="17"/>
        <w:adjustRightInd w:val="0"/>
        <w:snapToGrid w:val="0"/>
        <w:spacing w:line="600" w:lineRule="exact"/>
        <w:jc w:val="center"/>
        <w:rPr>
          <w:rFonts w:hAnsi="宋体" w:cs="宋体"/>
          <w:b/>
          <w:bCs/>
          <w:sz w:val="30"/>
          <w:szCs w:val="30"/>
        </w:rPr>
      </w:pPr>
    </w:p>
    <w:p>
      <w:pPr>
        <w:pStyle w:val="17"/>
        <w:adjustRightInd w:val="0"/>
        <w:snapToGrid w:val="0"/>
        <w:spacing w:line="600" w:lineRule="exact"/>
        <w:jc w:val="center"/>
        <w:rPr>
          <w:rFonts w:hAnsi="宋体" w:cs="宋体"/>
          <w:b/>
          <w:sz w:val="30"/>
          <w:szCs w:val="30"/>
        </w:rPr>
      </w:pPr>
      <w:r>
        <w:rPr>
          <w:rFonts w:hint="eastAsia" w:hAnsi="宋体" w:cs="宋体"/>
          <w:b/>
          <w:sz w:val="30"/>
          <w:szCs w:val="30"/>
        </w:rPr>
        <w:t xml:space="preserve"> 2023年0</w:t>
      </w:r>
      <w:r>
        <w:rPr>
          <w:rFonts w:hint="eastAsia" w:hAnsi="宋体" w:cs="宋体"/>
          <w:b/>
          <w:sz w:val="30"/>
          <w:szCs w:val="30"/>
          <w:lang w:val="en-US" w:eastAsia="zh-CN"/>
        </w:rPr>
        <w:t>4</w:t>
      </w:r>
      <w:r>
        <w:rPr>
          <w:rFonts w:hint="eastAsia" w:hAnsi="宋体" w:cs="宋体"/>
          <w:b/>
          <w:sz w:val="30"/>
          <w:szCs w:val="30"/>
        </w:rPr>
        <w:t>月</w:t>
      </w:r>
    </w:p>
    <w:p>
      <w:pPr>
        <w:pStyle w:val="17"/>
        <w:spacing w:line="600" w:lineRule="exact"/>
        <w:ind w:right="980"/>
        <w:jc w:val="center"/>
        <w:rPr>
          <w:rFonts w:hAnsi="宋体" w:cs="宋体"/>
          <w:b/>
          <w:sz w:val="28"/>
          <w:szCs w:val="28"/>
        </w:rPr>
      </w:pPr>
    </w:p>
    <w:p>
      <w:pPr>
        <w:pStyle w:val="17"/>
        <w:spacing w:line="600" w:lineRule="exact"/>
        <w:ind w:right="420"/>
        <w:jc w:val="left"/>
        <w:rPr>
          <w:rFonts w:hAnsi="宋体" w:cs="宋体"/>
          <w:b/>
        </w:rPr>
        <w:sectPr>
          <w:headerReference r:id="rId4" w:type="first"/>
          <w:headerReference r:id="rId3" w:type="default"/>
          <w:footerReference r:id="rId5" w:type="default"/>
          <w:pgSz w:w="11906" w:h="16838"/>
          <w:pgMar w:top="1200" w:right="1531" w:bottom="1474" w:left="1531" w:header="851" w:footer="772" w:gutter="0"/>
          <w:cols w:space="720" w:num="1"/>
          <w:docGrid w:type="linesAndChars" w:linePitch="312" w:charSpace="0"/>
        </w:sectPr>
      </w:pPr>
    </w:p>
    <w:p>
      <w:pPr>
        <w:jc w:val="center"/>
        <w:rPr>
          <w:b/>
          <w:bCs/>
          <w:sz w:val="32"/>
          <w:szCs w:val="32"/>
        </w:rPr>
      </w:pPr>
      <w:bookmarkStart w:id="0" w:name="_Toc30061_WPSOffice_Type1"/>
      <w:r>
        <w:rPr>
          <w:rFonts w:ascii="宋体" w:hAnsi="宋体"/>
          <w:b/>
          <w:bCs/>
          <w:sz w:val="32"/>
          <w:szCs w:val="32"/>
        </w:rPr>
        <w:t>目</w:t>
      </w:r>
      <w:r>
        <w:rPr>
          <w:rFonts w:hint="eastAsia" w:ascii="宋体" w:hAnsi="宋体"/>
          <w:b/>
          <w:bCs/>
          <w:sz w:val="32"/>
          <w:szCs w:val="32"/>
        </w:rPr>
        <w:t xml:space="preserve">  </w:t>
      </w:r>
      <w:r>
        <w:rPr>
          <w:rFonts w:ascii="宋体" w:hAnsi="宋体"/>
          <w:b/>
          <w:bCs/>
          <w:sz w:val="32"/>
          <w:szCs w:val="32"/>
        </w:rPr>
        <w:t>录</w:t>
      </w:r>
    </w:p>
    <w:p>
      <w:pPr>
        <w:pStyle w:val="247"/>
        <w:tabs>
          <w:tab w:val="right" w:leader="dot" w:pos="8844"/>
        </w:tabs>
        <w:rPr>
          <w:sz w:val="30"/>
          <w:szCs w:val="30"/>
        </w:rPr>
      </w:pPr>
      <w:r>
        <w:fldChar w:fldCharType="begin"/>
      </w:r>
      <w:r>
        <w:instrText xml:space="preserve"> HYPERLINK \l "_Toc15893_WPSOffice_Level1" </w:instrText>
      </w:r>
      <w:r>
        <w:fldChar w:fldCharType="separate"/>
      </w:r>
      <w:r>
        <w:rPr>
          <w:rFonts w:hint="eastAsia" w:ascii="宋体" w:hAnsi="宋体" w:cs="宋体"/>
          <w:sz w:val="30"/>
          <w:szCs w:val="30"/>
        </w:rPr>
        <w:t>第一章 招标公告</w:t>
      </w:r>
      <w:r>
        <w:rPr>
          <w:sz w:val="30"/>
          <w:szCs w:val="30"/>
        </w:rPr>
        <w:tab/>
      </w:r>
      <w:bookmarkStart w:id="1" w:name="_Toc15893_WPSOffice_Level1Page"/>
      <w:r>
        <w:rPr>
          <w:sz w:val="30"/>
          <w:szCs w:val="30"/>
        </w:rPr>
        <w:t>2</w:t>
      </w:r>
      <w:bookmarkEnd w:id="1"/>
      <w:r>
        <w:rPr>
          <w:sz w:val="30"/>
          <w:szCs w:val="30"/>
        </w:rPr>
        <w:fldChar w:fldCharType="end"/>
      </w:r>
    </w:p>
    <w:p>
      <w:pPr>
        <w:pStyle w:val="247"/>
        <w:tabs>
          <w:tab w:val="right" w:leader="dot" w:pos="8844"/>
        </w:tabs>
        <w:rPr>
          <w:sz w:val="30"/>
          <w:szCs w:val="30"/>
        </w:rPr>
      </w:pPr>
      <w:r>
        <w:fldChar w:fldCharType="begin"/>
      </w:r>
      <w:r>
        <w:instrText xml:space="preserve"> HYPERLINK \l "_Toc26177_WPSOffice_Level1" </w:instrText>
      </w:r>
      <w:r>
        <w:fldChar w:fldCharType="separate"/>
      </w:r>
      <w:r>
        <w:rPr>
          <w:rFonts w:hint="eastAsia" w:ascii="宋体" w:hAnsi="宋体" w:cs="宋体"/>
          <w:sz w:val="30"/>
          <w:szCs w:val="30"/>
        </w:rPr>
        <w:t>第二章 投标人须知</w:t>
      </w:r>
      <w:r>
        <w:rPr>
          <w:sz w:val="30"/>
          <w:szCs w:val="30"/>
        </w:rPr>
        <w:tab/>
      </w:r>
      <w:r>
        <w:rPr>
          <w:rFonts w:hint="eastAsia"/>
          <w:sz w:val="30"/>
          <w:szCs w:val="30"/>
          <w:lang w:val="en-US" w:eastAsia="zh-CN"/>
        </w:rPr>
        <w:t>7</w:t>
      </w:r>
      <w:r>
        <w:rPr>
          <w:rFonts w:hint="eastAsia"/>
          <w:sz w:val="30"/>
          <w:szCs w:val="30"/>
        </w:rPr>
        <w:fldChar w:fldCharType="end"/>
      </w:r>
    </w:p>
    <w:p>
      <w:pPr>
        <w:pStyle w:val="247"/>
        <w:tabs>
          <w:tab w:val="right" w:leader="dot" w:pos="8844"/>
        </w:tabs>
        <w:rPr>
          <w:sz w:val="30"/>
          <w:szCs w:val="30"/>
        </w:rPr>
      </w:pPr>
      <w:r>
        <w:fldChar w:fldCharType="begin"/>
      </w:r>
      <w:r>
        <w:instrText xml:space="preserve"> HYPERLINK \l "_Toc12035_WPSOffice_Level1" </w:instrText>
      </w:r>
      <w:r>
        <w:fldChar w:fldCharType="separate"/>
      </w:r>
      <w:r>
        <w:rPr>
          <w:rFonts w:hint="eastAsia" w:ascii="宋体" w:hAnsi="宋体" w:cs="宋体"/>
          <w:sz w:val="30"/>
          <w:szCs w:val="30"/>
        </w:rPr>
        <w:t>第三章 评标方法及标准（综合评分法）</w:t>
      </w:r>
      <w:r>
        <w:rPr>
          <w:sz w:val="30"/>
          <w:szCs w:val="30"/>
        </w:rPr>
        <w:tab/>
      </w:r>
      <w:bookmarkStart w:id="2" w:name="_Toc12035_WPSOffice_Level1Page"/>
      <w:r>
        <w:rPr>
          <w:sz w:val="30"/>
          <w:szCs w:val="30"/>
        </w:rPr>
        <w:t>2</w:t>
      </w:r>
      <w:bookmarkEnd w:id="2"/>
      <w:r>
        <w:rPr>
          <w:rFonts w:hint="eastAsia"/>
          <w:sz w:val="30"/>
          <w:szCs w:val="30"/>
          <w:lang w:val="en-US" w:eastAsia="zh-CN"/>
        </w:rPr>
        <w:t>7</w:t>
      </w:r>
      <w:r>
        <w:rPr>
          <w:rFonts w:hint="eastAsia"/>
          <w:sz w:val="30"/>
          <w:szCs w:val="30"/>
        </w:rPr>
        <w:fldChar w:fldCharType="end"/>
      </w:r>
    </w:p>
    <w:p>
      <w:pPr>
        <w:pStyle w:val="247"/>
        <w:tabs>
          <w:tab w:val="right" w:leader="dot" w:pos="8844"/>
        </w:tabs>
        <w:rPr>
          <w:rFonts w:hint="eastAsia" w:eastAsia="宋体"/>
          <w:sz w:val="30"/>
          <w:szCs w:val="30"/>
          <w:lang w:eastAsia="zh-CN"/>
        </w:rPr>
      </w:pPr>
      <w:r>
        <w:fldChar w:fldCharType="begin"/>
      </w:r>
      <w:r>
        <w:instrText xml:space="preserve"> HYPERLINK \l "_Toc27167_WPSOffice_Level1" </w:instrText>
      </w:r>
      <w:r>
        <w:fldChar w:fldCharType="separate"/>
      </w:r>
      <w:r>
        <w:rPr>
          <w:rFonts w:hint="eastAsia" w:ascii="宋体" w:hAnsi="宋体" w:cs="宋体"/>
          <w:sz w:val="30"/>
          <w:szCs w:val="30"/>
        </w:rPr>
        <w:t>第四章 合同格</w:t>
      </w:r>
      <w:bookmarkStart w:id="3" w:name="_Hlt58831700"/>
      <w:bookmarkStart w:id="4" w:name="_Hlt58831701"/>
      <w:r>
        <w:rPr>
          <w:rFonts w:hint="eastAsia" w:ascii="宋体" w:hAnsi="宋体" w:cs="宋体"/>
          <w:sz w:val="30"/>
          <w:szCs w:val="30"/>
        </w:rPr>
        <w:t>式</w:t>
      </w:r>
      <w:bookmarkEnd w:id="3"/>
      <w:bookmarkEnd w:id="4"/>
      <w:r>
        <w:rPr>
          <w:rFonts w:hint="eastAsia" w:ascii="宋体" w:hAnsi="宋体" w:cs="宋体"/>
          <w:sz w:val="30"/>
          <w:szCs w:val="30"/>
        </w:rPr>
        <w:t>条款</w:t>
      </w:r>
      <w:r>
        <w:rPr>
          <w:sz w:val="30"/>
          <w:szCs w:val="30"/>
        </w:rPr>
        <w:tab/>
      </w:r>
      <w:r>
        <w:rPr>
          <w:rFonts w:hint="eastAsia"/>
          <w:sz w:val="30"/>
          <w:szCs w:val="30"/>
        </w:rPr>
        <w:t>3</w:t>
      </w:r>
      <w:r>
        <w:rPr>
          <w:rFonts w:hint="eastAsia"/>
          <w:sz w:val="30"/>
          <w:szCs w:val="30"/>
        </w:rPr>
        <w:fldChar w:fldCharType="end"/>
      </w:r>
      <w:r>
        <w:rPr>
          <w:rFonts w:hint="eastAsia"/>
          <w:sz w:val="30"/>
          <w:szCs w:val="30"/>
          <w:lang w:val="en-US" w:eastAsia="zh-CN"/>
        </w:rPr>
        <w:t>7</w:t>
      </w:r>
    </w:p>
    <w:p>
      <w:pPr>
        <w:pStyle w:val="247"/>
        <w:tabs>
          <w:tab w:val="right" w:leader="dot" w:pos="8844"/>
        </w:tabs>
        <w:rPr>
          <w:rFonts w:hint="eastAsia" w:eastAsia="宋体"/>
          <w:sz w:val="30"/>
          <w:szCs w:val="30"/>
          <w:lang w:eastAsia="zh-CN"/>
        </w:rPr>
      </w:pPr>
      <w:r>
        <w:fldChar w:fldCharType="begin"/>
      </w:r>
      <w:r>
        <w:instrText xml:space="preserve"> HYPERLINK \l "_Toc11538_WPSOffice_Level1" </w:instrText>
      </w:r>
      <w:r>
        <w:fldChar w:fldCharType="separate"/>
      </w:r>
      <w:r>
        <w:rPr>
          <w:rFonts w:hint="eastAsia" w:ascii="宋体" w:hAnsi="宋体" w:cs="宋体"/>
          <w:sz w:val="30"/>
          <w:szCs w:val="30"/>
        </w:rPr>
        <w:t xml:space="preserve">第五章 </w:t>
      </w:r>
      <w:r>
        <w:rPr>
          <w:rFonts w:hint="eastAsia" w:ascii="宋体" w:hAnsi="宋体" w:cs="宋体"/>
          <w:sz w:val="28"/>
          <w:szCs w:val="28"/>
        </w:rPr>
        <w:t>招标采购内容及要求</w:t>
      </w:r>
      <w:r>
        <w:rPr>
          <w:sz w:val="30"/>
          <w:szCs w:val="30"/>
        </w:rPr>
        <w:tab/>
      </w:r>
      <w:r>
        <w:rPr>
          <w:rFonts w:hint="eastAsia"/>
          <w:sz w:val="30"/>
          <w:szCs w:val="30"/>
        </w:rPr>
        <w:t>4</w:t>
      </w:r>
      <w:r>
        <w:rPr>
          <w:rFonts w:hint="eastAsia"/>
          <w:sz w:val="30"/>
          <w:szCs w:val="30"/>
        </w:rPr>
        <w:fldChar w:fldCharType="end"/>
      </w:r>
      <w:r>
        <w:rPr>
          <w:rFonts w:hint="eastAsia"/>
          <w:sz w:val="30"/>
          <w:szCs w:val="30"/>
          <w:lang w:val="en-US" w:eastAsia="zh-CN"/>
        </w:rPr>
        <w:t>8</w:t>
      </w:r>
    </w:p>
    <w:p>
      <w:pPr>
        <w:pStyle w:val="247"/>
        <w:tabs>
          <w:tab w:val="right" w:leader="dot" w:pos="8844"/>
        </w:tabs>
        <w:rPr>
          <w:rFonts w:hint="eastAsia" w:eastAsia="宋体"/>
          <w:sz w:val="30"/>
          <w:szCs w:val="30"/>
          <w:lang w:val="en-US" w:eastAsia="zh-CN"/>
        </w:rPr>
      </w:pPr>
      <w:r>
        <w:fldChar w:fldCharType="begin"/>
      </w:r>
      <w:r>
        <w:instrText xml:space="preserve"> HYPERLINK \l "_Toc10767_WPSOffice_Level1" </w:instrText>
      </w:r>
      <w:r>
        <w:fldChar w:fldCharType="separate"/>
      </w:r>
      <w:r>
        <w:rPr>
          <w:rFonts w:hint="eastAsia" w:ascii="宋体" w:hAnsi="宋体" w:cs="宋体"/>
          <w:sz w:val="30"/>
          <w:szCs w:val="30"/>
        </w:rPr>
        <w:t>第六章 投标文件的组</w:t>
      </w:r>
      <w:bookmarkStart w:id="5" w:name="_Hlt63682530"/>
      <w:r>
        <w:rPr>
          <w:rFonts w:hint="eastAsia" w:ascii="宋体" w:hAnsi="宋体" w:cs="宋体"/>
          <w:sz w:val="30"/>
          <w:szCs w:val="30"/>
        </w:rPr>
        <w:t>成</w:t>
      </w:r>
      <w:bookmarkEnd w:id="5"/>
      <w:r>
        <w:rPr>
          <w:sz w:val="30"/>
          <w:szCs w:val="30"/>
        </w:rPr>
        <w:tab/>
      </w:r>
      <w:r>
        <w:rPr>
          <w:rFonts w:hint="eastAsia"/>
          <w:sz w:val="30"/>
          <w:szCs w:val="30"/>
          <w:lang w:val="en-US" w:eastAsia="zh-CN"/>
        </w:rPr>
        <w:t>7</w:t>
      </w:r>
      <w:r>
        <w:rPr>
          <w:rFonts w:hint="eastAsia"/>
          <w:sz w:val="30"/>
          <w:szCs w:val="30"/>
        </w:rPr>
        <w:fldChar w:fldCharType="end"/>
      </w:r>
      <w:r>
        <w:rPr>
          <w:rFonts w:hint="eastAsia"/>
          <w:sz w:val="30"/>
          <w:szCs w:val="30"/>
          <w:lang w:val="en-US" w:eastAsia="zh-CN"/>
        </w:rPr>
        <w:t>2</w:t>
      </w:r>
    </w:p>
    <w:bookmarkEnd w:id="0"/>
    <w:p>
      <w:pPr>
        <w:adjustRightInd w:val="0"/>
        <w:snapToGrid w:val="0"/>
        <w:spacing w:before="156" w:beforeLines="50" w:line="600" w:lineRule="exact"/>
        <w:jc w:val="center"/>
        <w:rPr>
          <w:rFonts w:ascii="宋体" w:hAnsi="宋体" w:cs="宋体"/>
          <w:b/>
          <w:bCs/>
          <w:sz w:val="32"/>
        </w:rPr>
        <w:sectPr>
          <w:footerReference r:id="rId7" w:type="first"/>
          <w:footerReference r:id="rId6" w:type="default"/>
          <w:pgSz w:w="11906" w:h="16838"/>
          <w:pgMar w:top="1474" w:right="1531" w:bottom="1474" w:left="1531" w:header="851" w:footer="992" w:gutter="0"/>
          <w:pgNumType w:start="1"/>
          <w:cols w:space="720" w:num="1"/>
          <w:titlePg/>
          <w:docGrid w:type="linesAndChars" w:linePitch="312" w:charSpace="0"/>
        </w:sectPr>
      </w:pPr>
    </w:p>
    <w:p>
      <w:pPr>
        <w:numPr>
          <w:ilvl w:val="0"/>
          <w:numId w:val="2"/>
        </w:numPr>
        <w:adjustRightInd w:val="0"/>
        <w:snapToGrid w:val="0"/>
        <w:spacing w:before="156" w:beforeLines="50" w:line="600" w:lineRule="exact"/>
        <w:jc w:val="center"/>
        <w:rPr>
          <w:rFonts w:ascii="宋体" w:hAnsi="宋体" w:cs="宋体"/>
          <w:b/>
          <w:bCs/>
          <w:sz w:val="32"/>
        </w:rPr>
      </w:pPr>
      <w:r>
        <w:rPr>
          <w:rFonts w:hint="eastAsia" w:ascii="宋体" w:hAnsi="宋体" w:cs="宋体"/>
          <w:b/>
          <w:bCs/>
          <w:sz w:val="32"/>
        </w:rPr>
        <w:t>招标公告</w:t>
      </w:r>
    </w:p>
    <w:p>
      <w:pPr>
        <w:pStyle w:val="31"/>
        <w:ind w:left="0" w:leftChars="0" w:firstLine="0" w:firstLineChars="0"/>
        <w:rPr>
          <w:rFonts w:ascii="宋体" w:hAnsi="宋体" w:cs="宋体"/>
          <w:b/>
          <w:bCs/>
          <w:sz w:val="28"/>
          <w:szCs w:val="28"/>
        </w:rPr>
      </w:pPr>
      <w:r>
        <w:rPr>
          <w:rFonts w:hint="eastAsia" w:ascii="宋体" w:hAnsi="宋体" w:cs="宋体"/>
          <w:b/>
          <w:bCs/>
          <w:sz w:val="28"/>
          <w:szCs w:val="28"/>
        </w:rPr>
        <w:t>1.招标条件：</w:t>
      </w:r>
    </w:p>
    <w:p>
      <w:pPr>
        <w:spacing w:line="360" w:lineRule="auto"/>
        <w:ind w:firstLine="420" w:firstLineChars="200"/>
        <w:rPr>
          <w:rFonts w:ascii="宋体" w:hAnsi="宋体" w:cs="宋体"/>
          <w:szCs w:val="22"/>
        </w:rPr>
      </w:pPr>
      <w:r>
        <w:rPr>
          <w:rFonts w:hint="eastAsia" w:hAnsi="宋体"/>
          <w:u w:val="single"/>
        </w:rPr>
        <w:t>天策致远工程咨询管理有限公司</w:t>
      </w:r>
      <w:r>
        <w:rPr>
          <w:rFonts w:hint="eastAsia" w:ascii="宋体" w:hAnsi="宋体" w:cs="宋体"/>
          <w:szCs w:val="22"/>
        </w:rPr>
        <w:t>受</w:t>
      </w:r>
      <w:r>
        <w:rPr>
          <w:rFonts w:hint="eastAsia" w:ascii="宋体" w:hAnsi="宋体" w:cs="宋体"/>
          <w:szCs w:val="22"/>
          <w:u w:val="single"/>
        </w:rPr>
        <w:t>湖南省烟草公司张家界市公司</w:t>
      </w:r>
      <w:r>
        <w:rPr>
          <w:rFonts w:hint="eastAsia" w:ascii="宋体" w:hAnsi="宋体" w:cs="宋体"/>
          <w:szCs w:val="22"/>
        </w:rPr>
        <w:t>的委托，本代理机构对</w:t>
      </w:r>
      <w:r>
        <w:rPr>
          <w:rFonts w:hint="eastAsia" w:ascii="宋体" w:hAnsi="宋体" w:cs="宋体"/>
          <w:szCs w:val="22"/>
          <w:u w:val="single"/>
          <w:lang w:eastAsia="zh-CN"/>
        </w:rPr>
        <w:t>张家界市烟草专卖局（公司）关于2023年雪茄烟晾晒房及配套设施采购项目（第二次）</w:t>
      </w:r>
      <w:r>
        <w:rPr>
          <w:rFonts w:hint="eastAsia" w:ascii="宋体" w:hAnsi="宋体" w:cs="宋体"/>
          <w:szCs w:val="22"/>
        </w:rPr>
        <w:t>进行公开招标采购，欢迎符合资格条件并对此有参加竞争意向的投标人前来投标。</w:t>
      </w:r>
    </w:p>
    <w:p>
      <w:pPr>
        <w:spacing w:line="360" w:lineRule="auto"/>
        <w:rPr>
          <w:rFonts w:ascii="宋体" w:hAnsi="宋体" w:cs="宋体"/>
          <w:b/>
          <w:bCs/>
          <w:sz w:val="24"/>
          <w:szCs w:val="24"/>
        </w:rPr>
      </w:pPr>
      <w:r>
        <w:rPr>
          <w:rFonts w:hint="eastAsia" w:ascii="宋体" w:hAnsi="宋体" w:cs="宋体"/>
          <w:b/>
          <w:bCs/>
          <w:sz w:val="24"/>
          <w:szCs w:val="24"/>
        </w:rPr>
        <w:t>2.</w:t>
      </w:r>
      <w:r>
        <w:rPr>
          <w:rFonts w:hint="eastAsia" w:ascii="宋体" w:hAnsi="宋体" w:cs="宋体"/>
          <w:b/>
          <w:bCs/>
          <w:sz w:val="28"/>
          <w:szCs w:val="28"/>
        </w:rPr>
        <w:t>项目概况与招标范围</w:t>
      </w:r>
    </w:p>
    <w:p>
      <w:pPr>
        <w:spacing w:line="360" w:lineRule="auto"/>
        <w:ind w:firstLine="210" w:firstLineChars="100"/>
        <w:rPr>
          <w:rFonts w:ascii="宋体" w:hAnsi="宋体" w:cs="宋体"/>
          <w:szCs w:val="22"/>
        </w:rPr>
      </w:pPr>
      <w:r>
        <w:rPr>
          <w:rFonts w:hint="eastAsia" w:ascii="宋体" w:hAnsi="宋体" w:cs="宋体"/>
          <w:szCs w:val="22"/>
        </w:rPr>
        <w:t>2.1项目名称：</w:t>
      </w:r>
      <w:r>
        <w:rPr>
          <w:rFonts w:hint="eastAsia" w:ascii="宋体" w:hAnsi="宋体" w:cs="宋体"/>
          <w:szCs w:val="22"/>
          <w:lang w:eastAsia="zh-CN"/>
        </w:rPr>
        <w:t>张家界市烟草专卖局（公司）关于2023年雪茄烟晾晒房及配套设施采购项目（第二次）</w:t>
      </w:r>
      <w:r>
        <w:rPr>
          <w:rFonts w:hint="eastAsia" w:ascii="宋体" w:hAnsi="宋体" w:cs="宋体"/>
          <w:szCs w:val="22"/>
        </w:rPr>
        <w:t>。</w:t>
      </w:r>
    </w:p>
    <w:p>
      <w:pPr>
        <w:spacing w:line="360" w:lineRule="auto"/>
        <w:ind w:firstLine="210" w:firstLineChars="100"/>
        <w:rPr>
          <w:rFonts w:ascii="宋体" w:hAnsi="宋体"/>
          <w:szCs w:val="21"/>
        </w:rPr>
      </w:pPr>
      <w:r>
        <w:rPr>
          <w:rFonts w:hint="eastAsia" w:ascii="宋体" w:hAnsi="宋体"/>
          <w:szCs w:val="21"/>
        </w:rPr>
        <w:t>2.2项目概况：</w:t>
      </w:r>
      <w:r>
        <w:rPr>
          <w:rFonts w:hint="eastAsia" w:ascii="宋体" w:hAnsi="宋体" w:cs="宋体"/>
          <w:szCs w:val="21"/>
        </w:rPr>
        <w:t>湖南省烟草公司张家界市公司关于雪茄烟晾房、编烟棚设备采购</w:t>
      </w:r>
      <w:r>
        <w:rPr>
          <w:rFonts w:hint="eastAsia" w:ascii="宋体" w:hAnsi="宋体"/>
          <w:szCs w:val="21"/>
        </w:rPr>
        <w:t>，共采购桑植 26座雪茄烟晾房 ，13个编烟棚（两座雪茄烟晾房及一个编烟棚为一套，桑植县共13套）；慈利10座晾房，5个编烟棚（两座雪茄烟晾房及一个编烟棚为一套，慈利县共5套）。服务内容：涉及采购内容的设备供应、运输、安装，以及售后质保等。</w:t>
      </w:r>
    </w:p>
    <w:p>
      <w:pPr>
        <w:pStyle w:val="15"/>
        <w:rPr>
          <w:rFonts w:ascii="宋体" w:hAnsi="宋体"/>
        </w:rPr>
      </w:pPr>
      <w:r>
        <w:rPr>
          <w:rFonts w:hint="eastAsia" w:ascii="宋体" w:hAnsi="宋体"/>
        </w:rPr>
        <w:t xml:space="preserve"> 2.3本项目划分</w:t>
      </w:r>
      <w:r>
        <w:rPr>
          <w:rFonts w:ascii="宋体" w:hAnsi="宋体"/>
        </w:rPr>
        <w:t>1</w:t>
      </w:r>
      <w:r>
        <w:rPr>
          <w:rFonts w:hint="eastAsia" w:ascii="宋体" w:hAnsi="宋体"/>
        </w:rPr>
        <w:t>个标段</w:t>
      </w:r>
    </w:p>
    <w:tbl>
      <w:tblPr>
        <w:tblStyle w:val="32"/>
        <w:tblW w:w="9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2126"/>
        <w:gridCol w:w="992"/>
        <w:gridCol w:w="2552"/>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4" w:type="dxa"/>
            <w:vAlign w:val="center"/>
          </w:tcPr>
          <w:p>
            <w:pPr>
              <w:pStyle w:val="15"/>
              <w:ind w:firstLine="420" w:firstLineChars="200"/>
              <w:rPr>
                <w:rFonts w:ascii="宋体" w:hAnsi="宋体"/>
              </w:rPr>
            </w:pPr>
            <w:r>
              <w:rPr>
                <w:rFonts w:hint="eastAsia" w:ascii="宋体" w:hAnsi="宋体"/>
              </w:rPr>
              <w:t>标段</w:t>
            </w:r>
          </w:p>
        </w:tc>
        <w:tc>
          <w:tcPr>
            <w:tcW w:w="2126" w:type="dxa"/>
            <w:vAlign w:val="center"/>
          </w:tcPr>
          <w:p>
            <w:pPr>
              <w:pStyle w:val="15"/>
              <w:ind w:firstLine="420" w:firstLineChars="200"/>
              <w:rPr>
                <w:rFonts w:ascii="宋体" w:hAnsi="宋体"/>
              </w:rPr>
            </w:pPr>
            <w:r>
              <w:rPr>
                <w:rFonts w:hint="eastAsia" w:ascii="宋体" w:hAnsi="宋体"/>
              </w:rPr>
              <w:t>采购内容</w:t>
            </w:r>
          </w:p>
        </w:tc>
        <w:tc>
          <w:tcPr>
            <w:tcW w:w="992" w:type="dxa"/>
            <w:vAlign w:val="center"/>
          </w:tcPr>
          <w:p>
            <w:pPr>
              <w:pStyle w:val="15"/>
              <w:rPr>
                <w:rFonts w:ascii="宋体" w:hAnsi="宋体"/>
              </w:rPr>
            </w:pPr>
            <w:r>
              <w:rPr>
                <w:rFonts w:hint="eastAsia" w:ascii="宋体" w:hAnsi="宋体"/>
              </w:rPr>
              <w:t>数量</w:t>
            </w:r>
          </w:p>
        </w:tc>
        <w:tc>
          <w:tcPr>
            <w:tcW w:w="2552" w:type="dxa"/>
            <w:vAlign w:val="center"/>
          </w:tcPr>
          <w:p>
            <w:pPr>
              <w:pStyle w:val="15"/>
              <w:jc w:val="center"/>
              <w:rPr>
                <w:rFonts w:ascii="宋体" w:hAnsi="宋体"/>
              </w:rPr>
            </w:pPr>
            <w:r>
              <w:rPr>
                <w:rFonts w:hint="eastAsia" w:ascii="宋体" w:hAnsi="宋体"/>
              </w:rPr>
              <w:t>供货及安装调试地点</w:t>
            </w:r>
          </w:p>
        </w:tc>
        <w:tc>
          <w:tcPr>
            <w:tcW w:w="2220" w:type="dxa"/>
            <w:vAlign w:val="center"/>
          </w:tcPr>
          <w:p>
            <w:pPr>
              <w:pStyle w:val="15"/>
              <w:jc w:val="center"/>
              <w:rPr>
                <w:rFonts w:ascii="宋体" w:hAnsi="宋体"/>
              </w:rPr>
            </w:pPr>
            <w:r>
              <w:rPr>
                <w:rFonts w:hint="eastAsia" w:ascii="宋体" w:hAnsi="宋体"/>
              </w:rPr>
              <w:t>安装调试完成时间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4" w:type="dxa"/>
            <w:vAlign w:val="center"/>
          </w:tcPr>
          <w:p>
            <w:pPr>
              <w:pStyle w:val="15"/>
              <w:jc w:val="center"/>
              <w:rPr>
                <w:rFonts w:ascii="宋体" w:hAnsi="宋体"/>
                <w:szCs w:val="21"/>
              </w:rPr>
            </w:pPr>
            <w:r>
              <w:rPr>
                <w:rFonts w:hint="eastAsia" w:ascii="宋体" w:hAnsi="宋体"/>
                <w:szCs w:val="21"/>
              </w:rPr>
              <w:t>标段</w:t>
            </w:r>
          </w:p>
        </w:tc>
        <w:tc>
          <w:tcPr>
            <w:tcW w:w="2126" w:type="dxa"/>
            <w:vAlign w:val="center"/>
          </w:tcPr>
          <w:p>
            <w:pPr>
              <w:pStyle w:val="15"/>
              <w:jc w:val="center"/>
              <w:rPr>
                <w:rFonts w:ascii="宋体" w:hAnsi="宋体"/>
                <w:szCs w:val="21"/>
              </w:rPr>
            </w:pPr>
            <w:r>
              <w:rPr>
                <w:rFonts w:hint="eastAsia" w:ascii="宋体" w:hAnsi="宋体"/>
                <w:szCs w:val="21"/>
              </w:rPr>
              <w:t>晾房</w:t>
            </w:r>
            <w:r>
              <w:rPr>
                <w:rFonts w:ascii="宋体" w:hAnsi="宋体"/>
                <w:szCs w:val="21"/>
              </w:rPr>
              <w:t>（</w:t>
            </w:r>
            <w:r>
              <w:rPr>
                <w:rFonts w:hint="eastAsia" w:ascii="宋体" w:hAnsi="宋体"/>
                <w:szCs w:val="21"/>
              </w:rPr>
              <w:t>移动式或固定式</w:t>
            </w:r>
            <w:r>
              <w:rPr>
                <w:rFonts w:ascii="宋体" w:hAnsi="宋体"/>
                <w:szCs w:val="21"/>
              </w:rPr>
              <w:t>）</w:t>
            </w:r>
            <w:r>
              <w:rPr>
                <w:rFonts w:hint="eastAsia" w:ascii="宋体" w:hAnsi="宋体"/>
                <w:szCs w:val="21"/>
              </w:rPr>
              <w:t>、编烟棚（</w:t>
            </w:r>
            <w:r>
              <w:rPr>
                <w:rFonts w:hint="eastAsia" w:ascii="宋体" w:hAnsi="宋体" w:cs="宋体"/>
                <w:szCs w:val="21"/>
                <w:shd w:val="clear" w:color="auto" w:fill="FFFFFF"/>
              </w:rPr>
              <w:t>具体技术指标要求详见招标文件）</w:t>
            </w:r>
          </w:p>
        </w:tc>
        <w:tc>
          <w:tcPr>
            <w:tcW w:w="992" w:type="dxa"/>
            <w:vAlign w:val="center"/>
          </w:tcPr>
          <w:p>
            <w:pPr>
              <w:pStyle w:val="15"/>
              <w:jc w:val="center"/>
              <w:rPr>
                <w:rFonts w:ascii="宋体" w:hAnsi="宋体"/>
                <w:szCs w:val="21"/>
              </w:rPr>
            </w:pPr>
            <w:r>
              <w:rPr>
                <w:rFonts w:hint="eastAsia" w:ascii="宋体" w:hAnsi="宋体"/>
                <w:szCs w:val="21"/>
              </w:rPr>
              <w:t>18套（桑植县13套，慈利县5套）</w:t>
            </w:r>
          </w:p>
        </w:tc>
        <w:tc>
          <w:tcPr>
            <w:tcW w:w="2552" w:type="dxa"/>
            <w:vAlign w:val="center"/>
          </w:tcPr>
          <w:p>
            <w:pPr>
              <w:pStyle w:val="15"/>
              <w:jc w:val="center"/>
              <w:rPr>
                <w:rFonts w:ascii="宋体" w:hAnsi="宋体"/>
                <w:szCs w:val="21"/>
              </w:rPr>
            </w:pPr>
            <w:r>
              <w:rPr>
                <w:rFonts w:hint="eastAsia" w:ascii="宋体" w:hAnsi="宋体"/>
                <w:szCs w:val="21"/>
              </w:rPr>
              <w:t>招标人指定地点（桑植、慈利）</w:t>
            </w:r>
          </w:p>
        </w:tc>
        <w:tc>
          <w:tcPr>
            <w:tcW w:w="2220" w:type="dxa"/>
            <w:vAlign w:val="center"/>
          </w:tcPr>
          <w:p>
            <w:pPr>
              <w:pStyle w:val="15"/>
              <w:jc w:val="center"/>
              <w:rPr>
                <w:rFonts w:ascii="宋体" w:hAnsi="宋体"/>
                <w:szCs w:val="21"/>
              </w:rPr>
            </w:pPr>
            <w:r>
              <w:rPr>
                <w:rFonts w:hint="eastAsia" w:ascii="宋体" w:hAnsi="宋体"/>
                <w:szCs w:val="21"/>
                <w:u w:val="single"/>
              </w:rPr>
              <w:t xml:space="preserve">合同签定后 </w:t>
            </w:r>
            <w:r>
              <w:rPr>
                <w:rFonts w:ascii="宋体" w:hAnsi="宋体"/>
                <w:szCs w:val="21"/>
                <w:u w:val="single"/>
              </w:rPr>
              <w:t>50</w:t>
            </w:r>
            <w:r>
              <w:rPr>
                <w:rFonts w:hint="eastAsia" w:ascii="宋体" w:hAnsi="宋体"/>
                <w:szCs w:val="21"/>
                <w:u w:val="single"/>
              </w:rPr>
              <w:t>个日历日</w:t>
            </w:r>
          </w:p>
        </w:tc>
      </w:tr>
    </w:tbl>
    <w:p>
      <w:pPr>
        <w:pStyle w:val="2"/>
      </w:pPr>
    </w:p>
    <w:p>
      <w:pPr>
        <w:spacing w:line="360" w:lineRule="auto"/>
        <w:ind w:firstLine="420" w:firstLineChars="200"/>
        <w:rPr>
          <w:rFonts w:ascii="宋体" w:hAnsi="宋体" w:cs="宋体"/>
          <w:szCs w:val="22"/>
        </w:rPr>
      </w:pPr>
      <w:r>
        <w:rPr>
          <w:rFonts w:hint="eastAsia" w:ascii="宋体" w:hAnsi="宋体" w:cs="宋体"/>
          <w:szCs w:val="22"/>
        </w:rPr>
        <w:t>2.4本项目上限值为（人民币）：</w:t>
      </w:r>
      <w:r>
        <w:rPr>
          <w:rFonts w:ascii="宋体" w:hAnsi="宋体" w:cs="宋体"/>
          <w:szCs w:val="22"/>
        </w:rPr>
        <w:t>16037706.48</w:t>
      </w:r>
      <w:r>
        <w:rPr>
          <w:rFonts w:hint="eastAsia" w:ascii="宋体" w:hAnsi="宋体" w:cs="宋体"/>
          <w:szCs w:val="22"/>
          <w:u w:val="none"/>
        </w:rPr>
        <w:t>元（</w:t>
      </w:r>
      <w:r>
        <w:rPr>
          <w:rFonts w:hint="eastAsia" w:ascii="宋体" w:hAnsi="宋体" w:cs="宋体"/>
          <w:szCs w:val="22"/>
          <w:u w:val="single"/>
        </w:rPr>
        <w:t>桑植</w:t>
      </w:r>
      <w:r>
        <w:rPr>
          <w:rFonts w:ascii="宋体" w:hAnsi="宋体" w:cs="宋体"/>
          <w:szCs w:val="22"/>
          <w:u w:val="single"/>
        </w:rPr>
        <w:t>888774.26</w:t>
      </w:r>
      <w:r>
        <w:rPr>
          <w:rFonts w:hint="eastAsia" w:ascii="宋体" w:hAnsi="宋体" w:cs="宋体"/>
          <w:szCs w:val="22"/>
          <w:u w:val="single"/>
        </w:rPr>
        <w:t>元</w:t>
      </w:r>
      <w:r>
        <w:rPr>
          <w:rFonts w:ascii="宋体" w:hAnsi="宋体" w:cs="宋体"/>
          <w:szCs w:val="22"/>
          <w:u w:val="single"/>
        </w:rPr>
        <w:t>/</w:t>
      </w:r>
      <w:r>
        <w:rPr>
          <w:rFonts w:hint="eastAsia" w:ascii="宋体" w:hAnsi="宋体" w:cs="宋体"/>
          <w:szCs w:val="22"/>
          <w:u w:val="single"/>
        </w:rPr>
        <w:t>套，慈利8</w:t>
      </w:r>
      <w:r>
        <w:rPr>
          <w:rFonts w:ascii="宋体" w:hAnsi="宋体" w:cs="宋体"/>
          <w:szCs w:val="22"/>
          <w:u w:val="single"/>
        </w:rPr>
        <w:t>96728.22元</w:t>
      </w:r>
      <w:r>
        <w:rPr>
          <w:rFonts w:hint="eastAsia" w:ascii="宋体" w:hAnsi="宋体" w:cs="宋体"/>
          <w:szCs w:val="22"/>
          <w:u w:val="single"/>
        </w:rPr>
        <w:t>/套</w:t>
      </w:r>
      <w:r>
        <w:rPr>
          <w:rFonts w:hint="eastAsia" w:ascii="宋体" w:hAnsi="宋体" w:cs="宋体"/>
          <w:szCs w:val="22"/>
        </w:rPr>
        <w:t>），所有报价不得高出</w:t>
      </w:r>
      <w:r>
        <w:rPr>
          <w:rFonts w:hint="eastAsia" w:ascii="宋体" w:hAnsi="宋体" w:cs="宋体"/>
          <w:szCs w:val="22"/>
          <w:lang w:eastAsia="zh-CN"/>
        </w:rPr>
        <w:t>上限值及各套单价</w:t>
      </w:r>
      <w:r>
        <w:rPr>
          <w:rFonts w:hint="eastAsia" w:ascii="宋体" w:hAnsi="宋体" w:cs="宋体"/>
          <w:szCs w:val="22"/>
        </w:rPr>
        <w:t>，否则视为无效投标。</w:t>
      </w:r>
    </w:p>
    <w:p>
      <w:pPr>
        <w:spacing w:line="360" w:lineRule="auto"/>
        <w:ind w:firstLine="420" w:firstLineChars="200"/>
        <w:rPr>
          <w:rFonts w:ascii="宋体" w:hAnsi="宋体" w:cs="宋体"/>
          <w:szCs w:val="21"/>
          <w:shd w:val="clear" w:color="auto" w:fill="FFFFFF"/>
        </w:rPr>
      </w:pPr>
      <w:r>
        <w:rPr>
          <w:rFonts w:hint="eastAsia" w:ascii="宋体" w:hAnsi="宋体" w:cs="宋体"/>
          <w:szCs w:val="22"/>
        </w:rPr>
        <w:t>2.5</w:t>
      </w:r>
      <w:r>
        <w:rPr>
          <w:rFonts w:hint="eastAsia" w:ascii="宋体" w:hAnsi="宋体" w:cs="宋体"/>
          <w:szCs w:val="21"/>
          <w:shd w:val="clear" w:color="auto" w:fill="FFFFFF"/>
        </w:rPr>
        <w:t>项目地点：张家界市桑植县、慈利县。</w:t>
      </w:r>
    </w:p>
    <w:p>
      <w:pPr>
        <w:spacing w:line="360" w:lineRule="auto"/>
        <w:ind w:firstLine="420" w:firstLineChars="200"/>
      </w:pPr>
      <w:r>
        <w:rPr>
          <w:rFonts w:hint="eastAsia" w:ascii="宋体" w:hAnsi="宋体" w:cs="宋体"/>
          <w:szCs w:val="21"/>
          <w:shd w:val="clear" w:color="auto" w:fill="FFFFFF"/>
        </w:rPr>
        <w:t>2.6评标办法：综合评分法。</w:t>
      </w:r>
    </w:p>
    <w:p>
      <w:pPr>
        <w:spacing w:line="360" w:lineRule="auto"/>
        <w:ind w:firstLine="420" w:firstLineChars="200"/>
        <w:rPr>
          <w:rFonts w:ascii="宋体" w:hAnsi="宋体" w:cs="宋体"/>
          <w:szCs w:val="21"/>
          <w:shd w:val="clear" w:color="auto" w:fill="FFFFFF"/>
        </w:rPr>
      </w:pPr>
      <w:r>
        <w:rPr>
          <w:rFonts w:hint="eastAsia" w:ascii="宋体" w:hAnsi="宋体" w:cs="宋体"/>
          <w:szCs w:val="21"/>
          <w:shd w:val="clear" w:color="auto" w:fill="FFFFFF"/>
        </w:rPr>
        <w:t>2.7交货时间：合同签订后，按照合同约定时间、地点等要求交货并验收合格。</w:t>
      </w:r>
    </w:p>
    <w:p>
      <w:pPr>
        <w:ind w:firstLine="420" w:firstLineChars="200"/>
      </w:pPr>
    </w:p>
    <w:p>
      <w:pPr>
        <w:spacing w:line="360" w:lineRule="auto"/>
        <w:rPr>
          <w:rFonts w:ascii="宋体" w:hAnsi="宋体" w:cs="宋体"/>
          <w:b/>
          <w:bCs/>
          <w:sz w:val="28"/>
          <w:szCs w:val="28"/>
        </w:rPr>
      </w:pPr>
      <w:r>
        <w:rPr>
          <w:rFonts w:hint="eastAsia" w:ascii="宋体" w:hAnsi="宋体" w:cs="宋体"/>
          <w:b/>
          <w:bCs/>
          <w:sz w:val="28"/>
          <w:szCs w:val="28"/>
        </w:rPr>
        <w:t>3.对投标人资格要求：</w:t>
      </w:r>
    </w:p>
    <w:p>
      <w:pPr>
        <w:spacing w:line="360" w:lineRule="auto"/>
        <w:ind w:firstLine="420" w:firstLineChars="200"/>
        <w:rPr>
          <w:rFonts w:ascii="宋体" w:hAnsi="宋体" w:cs="宋体"/>
          <w:b/>
          <w:bCs/>
          <w:szCs w:val="22"/>
        </w:rPr>
      </w:pPr>
      <w:r>
        <w:rPr>
          <w:rFonts w:hint="eastAsia" w:ascii="宋体" w:hAnsi="宋体" w:cs="宋体"/>
          <w:b/>
          <w:bCs/>
          <w:szCs w:val="22"/>
        </w:rPr>
        <w:t>3.1投标人资格条件：</w:t>
      </w:r>
    </w:p>
    <w:p>
      <w:pPr>
        <w:spacing w:line="360" w:lineRule="auto"/>
        <w:ind w:firstLine="420" w:firstLineChars="200"/>
        <w:rPr>
          <w:rFonts w:ascii="宋体" w:hAnsi="宋体" w:cs="宋体"/>
          <w:szCs w:val="22"/>
        </w:rPr>
      </w:pPr>
      <w:r>
        <w:rPr>
          <w:rFonts w:hint="eastAsia" w:ascii="宋体" w:hAnsi="宋体" w:cs="宋体"/>
          <w:szCs w:val="22"/>
        </w:rPr>
        <w:t>3.1.1本次招标要求投标人须具备独立法人资格并依法取得营业执照。</w:t>
      </w:r>
    </w:p>
    <w:p>
      <w:pPr>
        <w:spacing w:line="360" w:lineRule="auto"/>
        <w:ind w:firstLine="420" w:firstLineChars="200"/>
        <w:rPr>
          <w:rFonts w:ascii="宋体" w:hAnsi="宋体" w:cs="宋体"/>
          <w:szCs w:val="22"/>
        </w:rPr>
      </w:pPr>
      <w:r>
        <w:rPr>
          <w:rFonts w:hint="eastAsia" w:ascii="宋体" w:hAnsi="宋体" w:cs="宋体"/>
          <w:szCs w:val="22"/>
        </w:rPr>
        <w:t>3.1.2法人提交法定代表人身份证明原件或者法定代表人授权委托书原件并附法定代表人身份证明原件，自然人提交身份证原件；</w:t>
      </w:r>
    </w:p>
    <w:p>
      <w:pPr>
        <w:spacing w:line="360" w:lineRule="auto"/>
        <w:ind w:firstLine="420" w:firstLineChars="200"/>
        <w:rPr>
          <w:rFonts w:ascii="宋体" w:hAnsi="宋体" w:cs="宋体"/>
          <w:szCs w:val="22"/>
        </w:rPr>
      </w:pPr>
      <w:r>
        <w:rPr>
          <w:rFonts w:hint="eastAsia" w:ascii="宋体" w:hAnsi="宋体" w:cs="宋体"/>
          <w:szCs w:val="22"/>
        </w:rPr>
        <w:t>3.1.3依法缴纳税收和社会保险费的证明材料,各提供下列材料之一:</w:t>
      </w:r>
    </w:p>
    <w:p>
      <w:pPr>
        <w:spacing w:line="360" w:lineRule="auto"/>
        <w:ind w:firstLine="420" w:firstLineChars="200"/>
        <w:rPr>
          <w:rFonts w:ascii="宋体" w:hAnsi="宋体" w:cs="宋体"/>
          <w:szCs w:val="22"/>
        </w:rPr>
      </w:pPr>
      <w:r>
        <w:rPr>
          <w:rFonts w:hint="eastAsia" w:ascii="宋体" w:hAnsi="宋体" w:cs="宋体"/>
          <w:szCs w:val="22"/>
        </w:rPr>
        <w:t>①缴纳税收证明材料:《税务登记证》复印件，</w:t>
      </w:r>
      <w:r>
        <w:rPr>
          <w:rFonts w:hint="eastAsia" w:ascii="宋体" w:hAnsi="宋体"/>
          <w:szCs w:val="21"/>
        </w:rPr>
        <w:t>或者提供近三个月</w:t>
      </w:r>
      <w:r>
        <w:rPr>
          <w:rFonts w:hint="eastAsia" w:ascii="宋体" w:hAnsi="宋体" w:cs="宋体"/>
          <w:szCs w:val="22"/>
        </w:rPr>
        <w:t>依法缴纳税收的证明（纳税凭证复印件），或者委托他人缴纳的委托代办协议和</w:t>
      </w:r>
      <w:r>
        <w:rPr>
          <w:rFonts w:hint="eastAsia" w:ascii="宋体" w:hAnsi="宋体"/>
          <w:szCs w:val="21"/>
        </w:rPr>
        <w:t>或者提供近三个月</w:t>
      </w:r>
      <w:r>
        <w:rPr>
          <w:rFonts w:hint="eastAsia" w:ascii="宋体" w:hAnsi="宋体" w:cs="宋体"/>
          <w:szCs w:val="22"/>
        </w:rPr>
        <w:t>的缴纳证明（收据复印件），或者法定征收机关出具的依法免缴税收的证明原件 (提供了三证合一或五证合一的营业执照副本复印件的即为提供了《税务登记证》复印件，无需重复提供) 。</w:t>
      </w:r>
    </w:p>
    <w:p>
      <w:pPr>
        <w:spacing w:line="360" w:lineRule="auto"/>
        <w:ind w:firstLine="420" w:firstLineChars="200"/>
        <w:rPr>
          <w:rFonts w:ascii="宋体" w:hAnsi="宋体" w:cs="宋体"/>
          <w:szCs w:val="22"/>
        </w:rPr>
      </w:pPr>
      <w:r>
        <w:rPr>
          <w:rFonts w:hint="eastAsia" w:ascii="宋体" w:hAnsi="宋体" w:cs="宋体"/>
          <w:szCs w:val="22"/>
        </w:rPr>
        <w:t>②缴纳社会保险证明材料：《社会保险登记证》复印件，</w:t>
      </w:r>
      <w:r>
        <w:rPr>
          <w:rFonts w:hint="eastAsia" w:ascii="宋体" w:hAnsi="宋体"/>
          <w:szCs w:val="21"/>
        </w:rPr>
        <w:t>或者提供近三个月</w:t>
      </w:r>
      <w:r>
        <w:rPr>
          <w:rFonts w:hint="eastAsia" w:ascii="宋体" w:hAnsi="宋体" w:cs="宋体"/>
          <w:szCs w:val="22"/>
        </w:rPr>
        <w:t>依法缴纳社会保险的证明（缴费凭证复印件），或者委托他人缴纳的委托代办协议和</w:t>
      </w:r>
      <w:r>
        <w:rPr>
          <w:rFonts w:hint="eastAsia" w:ascii="宋体" w:hAnsi="宋体"/>
          <w:szCs w:val="21"/>
        </w:rPr>
        <w:t>或者提供近三个月</w:t>
      </w:r>
      <w:r>
        <w:rPr>
          <w:rFonts w:hint="eastAsia" w:ascii="宋体" w:hAnsi="宋体" w:cs="宋体"/>
          <w:szCs w:val="22"/>
        </w:rPr>
        <w:t>的缴纳证明（收据复印件），或者法定征收机关出具的依法免缴保险费的证明原件 (提供了三证合一或五证合一的营业执照副本复印件的即为提供了《税务登记证》、《社会保险登记证》复印件，无需重复提供) 。</w:t>
      </w:r>
    </w:p>
    <w:p>
      <w:pPr>
        <w:spacing w:line="360" w:lineRule="auto"/>
        <w:ind w:firstLine="420" w:firstLineChars="200"/>
        <w:rPr>
          <w:rFonts w:ascii="宋体" w:hAnsi="宋体" w:cs="宋体"/>
          <w:szCs w:val="22"/>
        </w:rPr>
      </w:pPr>
      <w:r>
        <w:rPr>
          <w:rFonts w:hint="eastAsia" w:ascii="宋体" w:hAnsi="宋体" w:cs="宋体"/>
          <w:szCs w:val="22"/>
        </w:rPr>
        <w:t>3.1.4投标人财务状况良好，须提供2021或2022年度财务审计报告，审计报告中无否定意见或无法表示意见；新成立的公司（成立时间不足一年的），需提供银行资信证明文件；</w:t>
      </w:r>
    </w:p>
    <w:p>
      <w:pPr>
        <w:spacing w:line="360" w:lineRule="auto"/>
        <w:ind w:firstLine="420" w:firstLineChars="200"/>
      </w:pPr>
      <w:r>
        <w:rPr>
          <w:rFonts w:hint="eastAsia" w:ascii="宋体" w:hAnsi="宋体" w:cs="宋体"/>
          <w:szCs w:val="22"/>
        </w:rPr>
        <w:t>3.1.5参加采购活动前三年内在经营活动中没有重大违法记录的书面声明。</w:t>
      </w:r>
    </w:p>
    <w:p>
      <w:pPr>
        <w:spacing w:line="360" w:lineRule="auto"/>
        <w:ind w:firstLine="420" w:firstLineChars="200"/>
        <w:rPr>
          <w:rFonts w:ascii="宋体" w:hAnsi="宋体" w:cs="宋体"/>
          <w:szCs w:val="22"/>
        </w:rPr>
      </w:pPr>
      <w:r>
        <w:rPr>
          <w:rFonts w:hint="eastAsia" w:ascii="宋体" w:hAnsi="宋体" w:cs="宋体"/>
          <w:szCs w:val="22"/>
        </w:rPr>
        <w:t>3.1.6信誉要求</w:t>
      </w:r>
    </w:p>
    <w:p>
      <w:pPr>
        <w:spacing w:line="360" w:lineRule="auto"/>
        <w:ind w:firstLine="420" w:firstLineChars="200"/>
        <w:rPr>
          <w:rFonts w:ascii="宋体" w:hAnsi="宋体" w:cs="仿宋"/>
          <w:szCs w:val="22"/>
        </w:rPr>
      </w:pPr>
      <w:r>
        <w:rPr>
          <w:rFonts w:hint="eastAsia" w:ascii="宋体" w:hAnsi="宋体" w:cs="仿宋"/>
          <w:szCs w:val="22"/>
        </w:rPr>
        <w:t>（1）投标人在“国家企业信用信息公示系统（www.gsxt.gov.cn)”未被列入经营异常名录、严重违法失信企业名单；</w:t>
      </w:r>
    </w:p>
    <w:p>
      <w:pPr>
        <w:spacing w:line="360" w:lineRule="auto"/>
        <w:ind w:firstLine="420" w:firstLineChars="200"/>
        <w:rPr>
          <w:rFonts w:ascii="宋体" w:hAnsi="宋体" w:cs="仿宋"/>
          <w:szCs w:val="22"/>
        </w:rPr>
      </w:pPr>
      <w:r>
        <w:rPr>
          <w:rFonts w:hint="eastAsia" w:ascii="宋体" w:hAnsi="宋体" w:cs="仿宋"/>
          <w:szCs w:val="22"/>
        </w:rPr>
        <w:t>（2）投标人在“信用中国”网站（http://www.creditchina.gov.cn/）查询无失信被执行人、重大税收违法案件当事人、政府采购不良行为记录情形；</w:t>
      </w:r>
    </w:p>
    <w:p>
      <w:pPr>
        <w:spacing w:line="360" w:lineRule="auto"/>
        <w:ind w:firstLine="420" w:firstLineChars="200"/>
        <w:rPr>
          <w:rFonts w:ascii="宋体" w:hAnsi="宋体" w:cs="仿宋"/>
          <w:szCs w:val="22"/>
        </w:rPr>
      </w:pPr>
      <w:r>
        <w:rPr>
          <w:rFonts w:hint="eastAsia" w:ascii="宋体" w:hAnsi="宋体" w:cs="仿宋"/>
          <w:szCs w:val="22"/>
        </w:rPr>
        <w:t>（3）投标人在“中国执行信息公开网（http://zxgk.court.gov.cn/）”查询对象未被列入失信被执行人查询结果；</w:t>
      </w:r>
    </w:p>
    <w:p>
      <w:pPr>
        <w:spacing w:line="360" w:lineRule="auto"/>
        <w:ind w:firstLine="420" w:firstLineChars="200"/>
        <w:rPr>
          <w:rFonts w:ascii="宋体" w:hAnsi="宋体" w:cs="仿宋"/>
          <w:szCs w:val="22"/>
        </w:rPr>
      </w:pPr>
      <w:r>
        <w:rPr>
          <w:rFonts w:hint="eastAsia" w:ascii="宋体" w:hAnsi="宋体" w:cs="仿宋"/>
          <w:szCs w:val="22"/>
        </w:rPr>
        <w:t>（4）投标人提供“中国政府采购网（http://www.ccgp.gov.cn/）”查询无“政府采购严重违法失信行为信息记录”；</w:t>
      </w:r>
    </w:p>
    <w:p>
      <w:pPr>
        <w:spacing w:line="360" w:lineRule="auto"/>
        <w:ind w:firstLine="420" w:firstLineChars="200"/>
        <w:rPr>
          <w:rFonts w:hint="eastAsia" w:ascii="宋体" w:hAnsi="宋体" w:cs="仿宋"/>
          <w:szCs w:val="22"/>
          <w:lang w:val="en-US" w:eastAsia="zh-CN"/>
        </w:rPr>
      </w:pPr>
      <w:r>
        <w:rPr>
          <w:rFonts w:hint="eastAsia" w:ascii="宋体" w:hAnsi="宋体" w:cs="仿宋"/>
          <w:szCs w:val="22"/>
          <w:lang w:val="en-US" w:eastAsia="zh-CN"/>
        </w:rPr>
        <w:t>（5）投标人（含法定代表人）提供在“中国裁判文书网”(http://wenshu.court.gov.cn/)查询不得出现下列情形，分别采取以下措施：①行贿数额不满100万元的，列入黑名单1年，1年内禁止参加招标人新采购项目；②行贿数额在100万元（含）以上不满500万元的，列入黑名单2年，2年内禁止参加采购人新采购项目；③行贿数额在500万元以上的，列入黑名单3年，3年内禁止参加招标人新采购项目。招标人也可以根据相关主体刑事判决书、刑事裁定书、党政纪处分决定书认定存在行贿行为并采取上述措施。</w:t>
      </w:r>
    </w:p>
    <w:p>
      <w:pPr>
        <w:spacing w:line="360" w:lineRule="auto"/>
        <w:ind w:firstLine="420" w:firstLineChars="200"/>
        <w:rPr>
          <w:rFonts w:hint="eastAsia" w:ascii="宋体" w:hAnsi="宋体" w:cs="仿宋"/>
          <w:szCs w:val="22"/>
        </w:rPr>
      </w:pPr>
      <w:r>
        <w:rPr>
          <w:rFonts w:hint="eastAsia" w:ascii="宋体" w:hAnsi="宋体" w:cs="仿宋"/>
          <w:szCs w:val="22"/>
          <w:lang w:val="en-US" w:eastAsia="zh-CN"/>
        </w:rPr>
        <w:t>查询时间、期限从投标截止日期起计算，查询结果网页或完整截图须体现日期及查询对象名称、上述相关内容，打印后盖投标人公章。不符合投标人资格要求的不得参加本项目投标。如已移出、退出上述名录或修复信用的，视为合格，但须提供相应证明资料。</w:t>
      </w:r>
    </w:p>
    <w:p>
      <w:pPr>
        <w:spacing w:line="360" w:lineRule="auto"/>
        <w:ind w:firstLine="420" w:firstLineChars="200"/>
        <w:rPr>
          <w:rFonts w:ascii="宋体" w:hAnsi="宋体" w:cs="宋体"/>
          <w:szCs w:val="22"/>
        </w:rPr>
      </w:pPr>
      <w:r>
        <w:rPr>
          <w:rFonts w:hint="eastAsia" w:ascii="宋体" w:hAnsi="宋体" w:cs="仿宋"/>
          <w:szCs w:val="22"/>
        </w:rPr>
        <w:t>（6）存在控股、管理关系的不同单位，或者法定代表人/负责人、高管、监事等为同一名自然人，股东为相同自然人、法人、非法人组织的，影响投标合法性、公正性情形的，不得参加同一标段投标或者未划分标段的同一招标项目投标。上述对象如果在本次招标投标活动中、中标后签订合同时或在合同执行过程中，被法院、监察机关等机构查实在获取本项目中标资格过程中存在行贿行为的，招标人有权拒绝其投标、取消其中标资格、解除已签订的合同。</w:t>
      </w:r>
    </w:p>
    <w:p>
      <w:pPr>
        <w:spacing w:line="360" w:lineRule="auto"/>
        <w:ind w:firstLine="420" w:firstLineChars="200"/>
        <w:rPr>
          <w:rFonts w:ascii="宋体" w:hAnsi="宋体" w:cs="宋体"/>
          <w:szCs w:val="22"/>
        </w:rPr>
      </w:pPr>
      <w:r>
        <w:rPr>
          <w:rFonts w:hint="eastAsia" w:ascii="宋体" w:hAnsi="宋体" w:cs="宋体"/>
          <w:szCs w:val="22"/>
        </w:rPr>
        <w:t>3.1.7本项目不接受联合体投标。</w:t>
      </w:r>
    </w:p>
    <w:p>
      <w:pPr>
        <w:pStyle w:val="30"/>
        <w:ind w:firstLine="210" w:firstLineChars="0"/>
        <w:rPr>
          <w:rFonts w:ascii="宋体" w:hAnsi="宋体" w:cs="宋体"/>
        </w:rPr>
      </w:pPr>
      <w:r>
        <w:rPr>
          <w:rFonts w:hint="eastAsia" w:ascii="宋体" w:hAnsi="宋体" w:cs="宋体"/>
        </w:rPr>
        <w:t xml:space="preserve">  如投标人虽提供上述资格文件，但开标后在资格审查时发现存在以上情形的，视为不合格投标人。</w:t>
      </w:r>
    </w:p>
    <w:p>
      <w:pPr>
        <w:spacing w:line="360" w:lineRule="auto"/>
        <w:rPr>
          <w:rFonts w:ascii="宋体" w:hAnsi="宋体" w:cs="宋体"/>
          <w:b/>
          <w:bCs/>
          <w:sz w:val="28"/>
          <w:szCs w:val="28"/>
        </w:rPr>
      </w:pPr>
      <w:r>
        <w:rPr>
          <w:rFonts w:hint="eastAsia" w:ascii="宋体" w:hAnsi="宋体" w:cs="宋体"/>
          <w:b/>
          <w:bCs/>
          <w:sz w:val="28"/>
          <w:szCs w:val="28"/>
        </w:rPr>
        <w:t>4.招标文件的获取及澄清答疑发布：</w:t>
      </w:r>
    </w:p>
    <w:p>
      <w:pPr>
        <w:spacing w:line="360" w:lineRule="auto"/>
        <w:ind w:firstLine="420" w:firstLineChars="200"/>
        <w:rPr>
          <w:rFonts w:ascii="宋体" w:hAnsi="宋体" w:cs="宋体"/>
          <w:szCs w:val="22"/>
        </w:rPr>
      </w:pPr>
      <w:r>
        <w:rPr>
          <w:rFonts w:hint="eastAsia" w:ascii="宋体" w:hAnsi="宋体" w:cs="宋体"/>
          <w:szCs w:val="22"/>
        </w:rPr>
        <w:t>4.1有意参加投标者，请于</w:t>
      </w:r>
      <w:r>
        <w:rPr>
          <w:rFonts w:hint="eastAsia" w:ascii="宋体" w:hAnsi="宋体" w:cs="宋体"/>
          <w:szCs w:val="22"/>
          <w:u w:val="single"/>
        </w:rPr>
        <w:t xml:space="preserve">2023年 </w:t>
      </w:r>
      <w:r>
        <w:rPr>
          <w:rFonts w:hint="eastAsia" w:ascii="宋体" w:hAnsi="宋体" w:cs="宋体"/>
          <w:szCs w:val="22"/>
          <w:u w:val="single"/>
          <w:lang w:val="en-US" w:eastAsia="zh-CN"/>
        </w:rPr>
        <w:t>04</w:t>
      </w:r>
      <w:r>
        <w:rPr>
          <w:rFonts w:hint="eastAsia" w:ascii="宋体" w:hAnsi="宋体" w:cs="宋体"/>
          <w:szCs w:val="22"/>
          <w:u w:val="single"/>
        </w:rPr>
        <w:t xml:space="preserve"> 月 </w:t>
      </w:r>
      <w:r>
        <w:rPr>
          <w:rFonts w:hint="eastAsia" w:ascii="宋体" w:hAnsi="宋体" w:cs="宋体"/>
          <w:szCs w:val="22"/>
          <w:u w:val="single"/>
          <w:lang w:val="en-US" w:eastAsia="zh-CN"/>
        </w:rPr>
        <w:t>25</w:t>
      </w:r>
      <w:r>
        <w:rPr>
          <w:rFonts w:hint="eastAsia" w:ascii="宋体" w:hAnsi="宋体" w:cs="宋体"/>
          <w:szCs w:val="22"/>
          <w:u w:val="single"/>
        </w:rPr>
        <w:t>日起至</w:t>
      </w:r>
      <w:r>
        <w:rPr>
          <w:rFonts w:hint="eastAsia" w:ascii="宋体" w:hAnsi="宋体" w:cs="宋体"/>
          <w:szCs w:val="22"/>
          <w:u w:val="single"/>
          <w:lang w:val="en-US" w:eastAsia="zh-CN"/>
        </w:rPr>
        <w:t>2023</w:t>
      </w:r>
      <w:r>
        <w:rPr>
          <w:rFonts w:hint="eastAsia" w:ascii="宋体" w:hAnsi="宋体" w:cs="宋体"/>
          <w:szCs w:val="22"/>
          <w:u w:val="single"/>
        </w:rPr>
        <w:t xml:space="preserve">年 </w:t>
      </w:r>
      <w:r>
        <w:rPr>
          <w:rFonts w:hint="eastAsia" w:ascii="宋体" w:hAnsi="宋体" w:cs="宋体"/>
          <w:szCs w:val="22"/>
          <w:u w:val="single"/>
          <w:lang w:val="en-US" w:eastAsia="zh-CN"/>
        </w:rPr>
        <w:t>05</w:t>
      </w:r>
      <w:r>
        <w:rPr>
          <w:rFonts w:hint="eastAsia" w:ascii="宋体" w:hAnsi="宋体" w:cs="宋体"/>
          <w:szCs w:val="22"/>
          <w:u w:val="single"/>
        </w:rPr>
        <w:t xml:space="preserve"> 月 </w:t>
      </w:r>
      <w:r>
        <w:rPr>
          <w:rFonts w:hint="eastAsia" w:ascii="宋体" w:hAnsi="宋体" w:cs="宋体"/>
          <w:szCs w:val="22"/>
          <w:u w:val="single"/>
          <w:lang w:val="en-US" w:eastAsia="zh-CN"/>
        </w:rPr>
        <w:t>06</w:t>
      </w:r>
      <w:r>
        <w:rPr>
          <w:rFonts w:hint="eastAsia" w:ascii="宋体" w:hAnsi="宋体" w:cs="宋体"/>
          <w:szCs w:val="22"/>
          <w:u w:val="single"/>
        </w:rPr>
        <w:t xml:space="preserve"> 日</w:t>
      </w:r>
      <w:r>
        <w:rPr>
          <w:rFonts w:hint="eastAsia" w:ascii="宋体" w:hAnsi="宋体" w:cs="宋体"/>
          <w:szCs w:val="22"/>
          <w:u w:val="single"/>
          <w:lang w:val="en-US" w:eastAsia="zh-CN"/>
        </w:rPr>
        <w:t>17</w:t>
      </w:r>
      <w:r>
        <w:rPr>
          <w:rFonts w:hint="eastAsia" w:ascii="宋体" w:hAnsi="宋体" w:cs="宋体"/>
          <w:bCs/>
          <w:szCs w:val="21"/>
          <w:u w:val="single"/>
        </w:rPr>
        <w:t>时</w:t>
      </w:r>
      <w:r>
        <w:rPr>
          <w:rFonts w:hint="eastAsia" w:ascii="宋体" w:hAnsi="宋体" w:cs="宋体"/>
          <w:bCs/>
          <w:szCs w:val="21"/>
          <w:u w:val="single"/>
          <w:lang w:val="en-US" w:eastAsia="zh-CN"/>
        </w:rPr>
        <w:t>30</w:t>
      </w:r>
      <w:r>
        <w:rPr>
          <w:rFonts w:hint="eastAsia" w:ascii="宋体" w:hAnsi="宋体" w:cs="宋体"/>
          <w:bCs/>
          <w:szCs w:val="21"/>
          <w:u w:val="single"/>
        </w:rPr>
        <w:t>分止</w:t>
      </w:r>
      <w:r>
        <w:rPr>
          <w:rFonts w:hint="eastAsia" w:ascii="宋体" w:hAnsi="宋体" w:cs="宋体"/>
          <w:szCs w:val="22"/>
        </w:rPr>
        <w:t>，自行在张家界公共资源交易网（</w:t>
      </w:r>
      <w:r>
        <w:fldChar w:fldCharType="begin"/>
      </w:r>
      <w:r>
        <w:instrText xml:space="preserve"> HYPERLINK "http://www.zjjsggzy.gov.cn/" \h </w:instrText>
      </w:r>
      <w:r>
        <w:fldChar w:fldCharType="separate"/>
      </w:r>
      <w:r>
        <w:rPr>
          <w:rFonts w:hint="eastAsia" w:ascii="宋体" w:hAnsi="宋体" w:cs="宋体"/>
          <w:bCs/>
          <w:szCs w:val="21"/>
        </w:rPr>
        <w:t>http://ggzy.zjj.gov.cn</w:t>
      </w:r>
      <w:r>
        <w:rPr>
          <w:rFonts w:hint="eastAsia" w:ascii="宋体" w:hAnsi="宋体" w:cs="宋体"/>
          <w:bCs/>
          <w:szCs w:val="21"/>
        </w:rPr>
        <w:fldChar w:fldCharType="end"/>
      </w:r>
      <w:r>
        <w:rPr>
          <w:rFonts w:hint="eastAsia" w:ascii="宋体" w:hAnsi="宋体" w:cs="宋体"/>
          <w:szCs w:val="22"/>
        </w:rPr>
        <w:t>）“工程建设→其他项目→招标公告”栏进行网上下载/获取招标文件。如通过网络下载，其招标文件具有同等法律效力。</w:t>
      </w:r>
    </w:p>
    <w:p>
      <w:pPr>
        <w:spacing w:line="360" w:lineRule="auto"/>
        <w:ind w:firstLine="420" w:firstLineChars="200"/>
        <w:rPr>
          <w:rFonts w:hint="eastAsia" w:ascii="宋体" w:hAnsi="宋体" w:cs="宋体"/>
          <w:szCs w:val="22"/>
        </w:rPr>
      </w:pPr>
      <w:r>
        <w:rPr>
          <w:rFonts w:hint="eastAsia" w:ascii="宋体" w:hAnsi="宋体" w:cs="宋体"/>
          <w:szCs w:val="22"/>
        </w:rPr>
        <w:t>4.2招标文件每套售价600元，售后不退。投标人在递交投标文件时向招标代理机构缴纳。</w:t>
      </w:r>
    </w:p>
    <w:p>
      <w:pPr>
        <w:spacing w:line="360" w:lineRule="auto"/>
        <w:ind w:firstLine="420" w:firstLineChars="200"/>
        <w:rPr>
          <w:rFonts w:hint="eastAsia" w:ascii="宋体" w:hAnsi="宋体" w:cs="宋体"/>
          <w:szCs w:val="22"/>
          <w:lang w:val="en-US" w:eastAsia="zh-CN"/>
        </w:rPr>
      </w:pPr>
      <w:r>
        <w:rPr>
          <w:rFonts w:hint="eastAsia" w:ascii="宋体" w:hAnsi="宋体" w:cs="宋体"/>
          <w:szCs w:val="22"/>
          <w:lang w:val="en-US" w:eastAsia="zh-CN"/>
        </w:rPr>
        <w:t>4.3澄清答疑采用电子邮件方式提出，并以不标明问题来源方式将疑问发送到45201390@qq.com，招标人对招标文件的澄清答疑均采用在</w:t>
      </w:r>
      <w:r>
        <w:rPr>
          <w:rFonts w:hint="eastAsia" w:ascii="宋体" w:hAnsi="宋体" w:cs="宋体"/>
          <w:szCs w:val="22"/>
          <w:lang w:val="en-US" w:eastAsia="zh-CN"/>
        </w:rPr>
        <w:fldChar w:fldCharType="begin"/>
      </w:r>
      <w:r>
        <w:rPr>
          <w:rFonts w:hint="eastAsia" w:ascii="宋体" w:hAnsi="宋体" w:cs="宋体"/>
          <w:szCs w:val="22"/>
          <w:lang w:val="en-US" w:eastAsia="zh-CN"/>
        </w:rPr>
        <w:instrText xml:space="preserve"> HYPERLINK "http://www.zjjsggzy.gov.cn/" \h </w:instrText>
      </w:r>
      <w:r>
        <w:rPr>
          <w:rFonts w:hint="eastAsia" w:ascii="宋体" w:hAnsi="宋体" w:cs="宋体"/>
          <w:szCs w:val="22"/>
          <w:lang w:val="en-US" w:eastAsia="zh-CN"/>
        </w:rPr>
        <w:fldChar w:fldCharType="separate"/>
      </w:r>
      <w:r>
        <w:rPr>
          <w:rFonts w:hint="eastAsia" w:ascii="宋体" w:hAnsi="宋体" w:cs="宋体"/>
          <w:szCs w:val="22"/>
          <w:lang w:val="en-US" w:eastAsia="zh-CN"/>
        </w:rPr>
        <w:t>http://ggzy.zjj.gov.cn</w:t>
      </w:r>
      <w:r>
        <w:rPr>
          <w:rFonts w:hint="eastAsia" w:ascii="宋体" w:hAnsi="宋体" w:cs="宋体"/>
          <w:szCs w:val="22"/>
          <w:lang w:val="en-US" w:eastAsia="zh-CN"/>
        </w:rPr>
        <w:fldChar w:fldCharType="end"/>
      </w:r>
      <w:r>
        <w:rPr>
          <w:rFonts w:hint="eastAsia" w:ascii="宋体" w:hAnsi="宋体" w:cs="宋体"/>
          <w:szCs w:val="22"/>
          <w:lang w:val="en-US" w:eastAsia="zh-CN"/>
        </w:rPr>
        <w:t>张家界市公共资源交易网“工程建设→其他项目→答疑/补充”栏上发布，投标人自行查阅。投标人应及时关注网上相关招标信息，如有遗漏（包括但不限于文件未下载或下载不完整）招标人概不负责，所造成的投标失败或损失由投标人自行负责。</w:t>
      </w:r>
    </w:p>
    <w:p>
      <w:pPr>
        <w:spacing w:line="360" w:lineRule="auto"/>
        <w:rPr>
          <w:rFonts w:ascii="宋体" w:hAnsi="宋体" w:cs="宋体"/>
          <w:b/>
          <w:bCs/>
          <w:sz w:val="28"/>
          <w:szCs w:val="28"/>
        </w:rPr>
      </w:pPr>
      <w:r>
        <w:rPr>
          <w:rFonts w:hint="eastAsia" w:ascii="宋体" w:hAnsi="宋体" w:cs="宋体"/>
          <w:b/>
          <w:bCs/>
          <w:sz w:val="28"/>
          <w:szCs w:val="28"/>
        </w:rPr>
        <w:t>5.投标截止时间、开标时间及地点：</w:t>
      </w:r>
    </w:p>
    <w:p>
      <w:pPr>
        <w:spacing w:line="360" w:lineRule="auto"/>
        <w:ind w:firstLine="420" w:firstLineChars="200"/>
        <w:rPr>
          <w:rFonts w:ascii="宋体" w:hAnsi="宋体" w:cs="宋体"/>
          <w:szCs w:val="22"/>
        </w:rPr>
      </w:pPr>
      <w:r>
        <w:rPr>
          <w:rFonts w:hint="eastAsia" w:ascii="宋体" w:hAnsi="宋体" w:cs="宋体"/>
          <w:szCs w:val="22"/>
        </w:rPr>
        <w:t>兹定于</w:t>
      </w:r>
      <w:r>
        <w:rPr>
          <w:rFonts w:hint="eastAsia" w:ascii="宋体" w:hAnsi="宋体" w:cs="宋体"/>
          <w:szCs w:val="22"/>
          <w:u w:val="single"/>
          <w:lang w:val="en-US" w:eastAsia="zh-CN"/>
        </w:rPr>
        <w:t>2023</w:t>
      </w:r>
      <w:r>
        <w:rPr>
          <w:rFonts w:hint="eastAsia" w:ascii="宋体" w:hAnsi="宋体" w:cs="宋体"/>
          <w:szCs w:val="22"/>
          <w:u w:val="single"/>
        </w:rPr>
        <w:t xml:space="preserve">年 </w:t>
      </w:r>
      <w:r>
        <w:rPr>
          <w:rFonts w:hint="eastAsia" w:ascii="宋体" w:hAnsi="宋体" w:cs="宋体"/>
          <w:szCs w:val="22"/>
          <w:u w:val="single"/>
          <w:lang w:val="en-US" w:eastAsia="zh-CN"/>
        </w:rPr>
        <w:t>05</w:t>
      </w:r>
      <w:r>
        <w:rPr>
          <w:rFonts w:hint="eastAsia" w:ascii="宋体" w:hAnsi="宋体" w:cs="宋体"/>
          <w:szCs w:val="22"/>
          <w:u w:val="single"/>
        </w:rPr>
        <w:t xml:space="preserve"> 月 </w:t>
      </w:r>
      <w:r>
        <w:rPr>
          <w:rFonts w:hint="eastAsia" w:ascii="宋体" w:hAnsi="宋体" w:cs="宋体"/>
          <w:szCs w:val="22"/>
          <w:u w:val="single"/>
          <w:lang w:val="en-US" w:eastAsia="zh-CN"/>
        </w:rPr>
        <w:t>16</w:t>
      </w:r>
      <w:r>
        <w:rPr>
          <w:rFonts w:hint="eastAsia" w:ascii="宋体" w:hAnsi="宋体" w:cs="宋体"/>
          <w:szCs w:val="22"/>
          <w:u w:val="single"/>
        </w:rPr>
        <w:t xml:space="preserve"> 日 </w:t>
      </w:r>
      <w:r>
        <w:rPr>
          <w:rFonts w:hint="eastAsia" w:ascii="宋体" w:hAnsi="宋体" w:cs="宋体"/>
          <w:szCs w:val="22"/>
          <w:u w:val="single"/>
          <w:lang w:val="en-US" w:eastAsia="zh-CN"/>
        </w:rPr>
        <w:t>09</w:t>
      </w:r>
      <w:r>
        <w:rPr>
          <w:rFonts w:hint="eastAsia" w:ascii="宋体" w:hAnsi="宋体" w:cs="宋体"/>
          <w:szCs w:val="22"/>
          <w:u w:val="single"/>
        </w:rPr>
        <w:t xml:space="preserve"> 时 </w:t>
      </w:r>
      <w:r>
        <w:rPr>
          <w:rFonts w:hint="eastAsia" w:ascii="宋体" w:hAnsi="宋体" w:cs="宋体"/>
          <w:szCs w:val="22"/>
          <w:u w:val="single"/>
          <w:lang w:val="en-US" w:eastAsia="zh-CN"/>
        </w:rPr>
        <w:t>00</w:t>
      </w:r>
      <w:r>
        <w:rPr>
          <w:rFonts w:hint="eastAsia" w:ascii="宋体" w:hAnsi="宋体" w:cs="宋体"/>
          <w:szCs w:val="22"/>
          <w:u w:val="single"/>
        </w:rPr>
        <w:t xml:space="preserve"> 分（北京时间）</w:t>
      </w:r>
      <w:r>
        <w:rPr>
          <w:rFonts w:hint="eastAsia" w:ascii="宋体" w:hAnsi="宋体" w:cs="宋体"/>
          <w:szCs w:val="22"/>
        </w:rPr>
        <w:t xml:space="preserve">在 </w:t>
      </w:r>
      <w:r>
        <w:rPr>
          <w:rFonts w:hint="eastAsia" w:ascii="宋体" w:hAnsi="宋体" w:cs="宋体"/>
          <w:szCs w:val="22"/>
          <w:u w:val="single"/>
        </w:rPr>
        <w:t>张家界市公共资源交易中心（ 地址：张家界市子舞路220号，澧滨小学对面 ）</w:t>
      </w:r>
      <w:r>
        <w:rPr>
          <w:rFonts w:hint="eastAsia" w:ascii="宋体" w:hAnsi="宋体" w:cs="宋体"/>
          <w:szCs w:val="22"/>
        </w:rPr>
        <w:t>公开开标，逾期送达的或者未送达指定地点的投标文件将拒绝接收。届时请投标人的法定代表人或其委托代理人出席开标仪式。</w:t>
      </w:r>
    </w:p>
    <w:p>
      <w:pPr>
        <w:numPr>
          <w:ilvl w:val="0"/>
          <w:numId w:val="3"/>
        </w:numPr>
        <w:spacing w:line="360" w:lineRule="auto"/>
        <w:rPr>
          <w:rFonts w:ascii="宋体" w:hAnsi="宋体" w:cs="宋体"/>
          <w:b/>
          <w:bCs/>
          <w:sz w:val="28"/>
          <w:szCs w:val="28"/>
        </w:rPr>
      </w:pPr>
      <w:r>
        <w:rPr>
          <w:rFonts w:hint="eastAsia" w:ascii="宋体" w:hAnsi="宋体" w:cs="宋体"/>
          <w:b/>
          <w:bCs/>
          <w:sz w:val="28"/>
          <w:szCs w:val="28"/>
        </w:rPr>
        <w:t>投标保证金：</w:t>
      </w:r>
    </w:p>
    <w:p>
      <w:pPr>
        <w:spacing w:line="360" w:lineRule="auto"/>
        <w:rPr>
          <w:rFonts w:ascii="宋体" w:hAnsi="宋体" w:cs="宋体"/>
          <w:szCs w:val="21"/>
        </w:rPr>
      </w:pPr>
      <w:r>
        <w:rPr>
          <w:rFonts w:hint="eastAsia" w:ascii="宋体" w:hAnsi="宋体" w:cs="宋体"/>
          <w:szCs w:val="21"/>
        </w:rPr>
        <w:t>6.1投标保证金的金额：叁拾万元整   （￥3</w:t>
      </w:r>
      <w:r>
        <w:rPr>
          <w:rFonts w:ascii="宋体" w:hAnsi="宋体" w:cs="宋体"/>
          <w:szCs w:val="21"/>
        </w:rPr>
        <w:t>0</w:t>
      </w:r>
      <w:r>
        <w:rPr>
          <w:rFonts w:hint="eastAsia" w:ascii="宋体" w:hAnsi="宋体" w:cs="宋体"/>
          <w:szCs w:val="21"/>
        </w:rPr>
        <w:t>0000.00元）</w:t>
      </w:r>
    </w:p>
    <w:p>
      <w:pPr>
        <w:spacing w:line="360" w:lineRule="auto"/>
        <w:rPr>
          <w:rFonts w:ascii="宋体" w:hAnsi="宋体" w:cs="宋体"/>
          <w:szCs w:val="21"/>
        </w:rPr>
      </w:pPr>
      <w:r>
        <w:rPr>
          <w:rFonts w:hint="eastAsia" w:ascii="宋体" w:hAnsi="宋体" w:cs="宋体"/>
          <w:szCs w:val="21"/>
        </w:rPr>
        <w:t>6.2交纳时间：投标截止时间前，以银行到账回单为准。</w:t>
      </w:r>
    </w:p>
    <w:p>
      <w:pPr>
        <w:spacing w:line="360" w:lineRule="auto"/>
        <w:rPr>
          <w:rFonts w:ascii="宋体" w:hAnsi="宋体" w:cs="宋体"/>
          <w:szCs w:val="21"/>
        </w:rPr>
      </w:pPr>
      <w:r>
        <w:rPr>
          <w:rFonts w:hint="eastAsia" w:ascii="宋体" w:hAnsi="宋体" w:cs="宋体"/>
          <w:szCs w:val="21"/>
        </w:rPr>
        <w:t>6.3交纳方式：投标保证金必须是从投标人单位的基本账户以银行转账、电汇、银行汇票或网银转账的方式一次性足额转入投标保证金的托管账户管理。招标人不接受以现金方式提交的投标保证金，以现金方式提交的投标保证金无效。</w:t>
      </w:r>
    </w:p>
    <w:p>
      <w:pPr>
        <w:spacing w:line="360" w:lineRule="auto"/>
        <w:rPr>
          <w:rFonts w:ascii="宋体" w:hAnsi="宋体" w:cs="宋体"/>
          <w:szCs w:val="21"/>
        </w:rPr>
      </w:pPr>
      <w:r>
        <w:rPr>
          <w:rFonts w:hint="eastAsia" w:ascii="宋体" w:hAnsi="宋体" w:cs="宋体"/>
          <w:szCs w:val="21"/>
        </w:rPr>
        <w:t>开户名称：张家界市公共资源交易中心</w:t>
      </w:r>
    </w:p>
    <w:p>
      <w:pPr>
        <w:spacing w:line="360" w:lineRule="auto"/>
        <w:rPr>
          <w:rFonts w:ascii="宋体" w:hAnsi="宋体" w:cs="宋体"/>
          <w:szCs w:val="21"/>
        </w:rPr>
      </w:pPr>
      <w:r>
        <w:rPr>
          <w:rFonts w:hint="eastAsia" w:ascii="宋体" w:hAnsi="宋体" w:cs="宋体"/>
          <w:szCs w:val="21"/>
        </w:rPr>
        <w:t>开户银行：</w:t>
      </w:r>
    </w:p>
    <w:p>
      <w:pPr>
        <w:spacing w:line="360" w:lineRule="auto"/>
        <w:rPr>
          <w:rFonts w:ascii="宋体" w:hAnsi="宋体" w:cs="宋体"/>
          <w:szCs w:val="21"/>
        </w:rPr>
      </w:pPr>
      <w:r>
        <w:rPr>
          <w:rFonts w:hint="eastAsia" w:ascii="宋体" w:hAnsi="宋体" w:cs="宋体"/>
          <w:szCs w:val="21"/>
        </w:rPr>
        <w:t>中国工商银行股份有限公司张家界南庄坪支行</w:t>
      </w:r>
    </w:p>
    <w:p>
      <w:pPr>
        <w:spacing w:line="360" w:lineRule="auto"/>
        <w:rPr>
          <w:rFonts w:ascii="宋体" w:hAnsi="宋体" w:cs="宋体"/>
          <w:szCs w:val="21"/>
        </w:rPr>
      </w:pPr>
      <w:r>
        <w:rPr>
          <w:rFonts w:hint="eastAsia" w:ascii="宋体" w:hAnsi="宋体" w:cs="宋体"/>
          <w:szCs w:val="21"/>
        </w:rPr>
        <w:t>中国农业银行股份有限公司张家界永定支行</w:t>
      </w:r>
    </w:p>
    <w:p>
      <w:pPr>
        <w:spacing w:line="360" w:lineRule="auto"/>
        <w:rPr>
          <w:rFonts w:ascii="宋体" w:hAnsi="宋体" w:cs="宋体"/>
          <w:szCs w:val="21"/>
        </w:rPr>
      </w:pPr>
      <w:r>
        <w:rPr>
          <w:rFonts w:hint="eastAsia" w:ascii="宋体" w:hAnsi="宋体" w:cs="宋体"/>
          <w:szCs w:val="21"/>
        </w:rPr>
        <w:t>中国建设银行股份有限公司张家界解放路支行</w:t>
      </w:r>
    </w:p>
    <w:p>
      <w:pPr>
        <w:spacing w:line="360" w:lineRule="auto"/>
        <w:rPr>
          <w:rFonts w:ascii="宋体" w:hAnsi="宋体" w:cs="宋体"/>
          <w:szCs w:val="21"/>
        </w:rPr>
      </w:pPr>
      <w:r>
        <w:rPr>
          <w:rFonts w:hint="eastAsia" w:ascii="宋体" w:hAnsi="宋体" w:cs="宋体"/>
          <w:szCs w:val="21"/>
        </w:rPr>
        <w:t>华融湘江银行张家界分行</w:t>
      </w:r>
    </w:p>
    <w:p>
      <w:pPr>
        <w:spacing w:line="360" w:lineRule="auto"/>
        <w:rPr>
          <w:rFonts w:ascii="宋体" w:hAnsi="宋体" w:cs="宋体"/>
          <w:szCs w:val="21"/>
        </w:rPr>
      </w:pPr>
      <w:r>
        <w:rPr>
          <w:rFonts w:hint="eastAsia" w:ascii="宋体" w:hAnsi="宋体" w:cs="宋体"/>
          <w:szCs w:val="21"/>
        </w:rPr>
        <w:t>交通银行股份有限公司张家界分行</w:t>
      </w:r>
    </w:p>
    <w:p>
      <w:pPr>
        <w:spacing w:line="360" w:lineRule="auto"/>
        <w:rPr>
          <w:rFonts w:ascii="宋体" w:hAnsi="宋体" w:cs="宋体"/>
          <w:szCs w:val="21"/>
        </w:rPr>
      </w:pPr>
      <w:r>
        <w:rPr>
          <w:rFonts w:hint="eastAsia" w:ascii="宋体" w:hAnsi="宋体" w:cs="宋体"/>
          <w:szCs w:val="21"/>
        </w:rPr>
        <w:t>长沙银行股份有限公司张家界分行</w:t>
      </w:r>
    </w:p>
    <w:p>
      <w:pPr>
        <w:spacing w:line="360" w:lineRule="auto"/>
        <w:rPr>
          <w:rFonts w:ascii="宋体" w:hAnsi="宋体" w:cs="宋体"/>
          <w:szCs w:val="21"/>
        </w:rPr>
      </w:pPr>
      <w:r>
        <w:rPr>
          <w:rFonts w:hint="eastAsia" w:ascii="宋体" w:hAnsi="宋体" w:cs="宋体"/>
          <w:szCs w:val="21"/>
        </w:rPr>
        <w:t>中国银行张家界分行</w:t>
      </w:r>
    </w:p>
    <w:p>
      <w:pPr>
        <w:spacing w:line="360" w:lineRule="auto"/>
        <w:rPr>
          <w:rFonts w:ascii="宋体" w:hAnsi="宋体" w:cs="宋体"/>
          <w:szCs w:val="21"/>
        </w:rPr>
      </w:pPr>
      <w:r>
        <w:rPr>
          <w:rFonts w:hint="eastAsia" w:ascii="宋体" w:hAnsi="宋体" w:cs="宋体"/>
          <w:szCs w:val="21"/>
        </w:rPr>
        <w:t>中国邮政储蓄银行股份有限公司张家界分行</w:t>
      </w:r>
    </w:p>
    <w:p>
      <w:pPr>
        <w:spacing w:line="360" w:lineRule="auto"/>
        <w:rPr>
          <w:rFonts w:ascii="宋体" w:hAnsi="宋体" w:cs="宋体"/>
          <w:szCs w:val="21"/>
        </w:rPr>
      </w:pPr>
      <w:r>
        <w:rPr>
          <w:rFonts w:hint="eastAsia" w:ascii="宋体" w:hAnsi="宋体" w:cs="宋体"/>
          <w:szCs w:val="21"/>
        </w:rPr>
        <w:t>银行账户：投标人随机获取对应本项目（标段）投标保证金子账号</w:t>
      </w:r>
    </w:p>
    <w:p>
      <w:pPr>
        <w:spacing w:line="360" w:lineRule="auto"/>
        <w:rPr>
          <w:rFonts w:ascii="宋体" w:hAnsi="宋体" w:cs="宋体"/>
          <w:szCs w:val="21"/>
        </w:rPr>
      </w:pPr>
      <w:r>
        <w:rPr>
          <w:rFonts w:hint="eastAsia" w:ascii="宋体" w:hAnsi="宋体" w:cs="宋体"/>
          <w:szCs w:val="21"/>
        </w:rPr>
        <w:t>6.4投标保证金子账户的获取：</w:t>
      </w:r>
    </w:p>
    <w:p>
      <w:pPr>
        <w:spacing w:line="360" w:lineRule="auto"/>
        <w:rPr>
          <w:rFonts w:ascii="宋体" w:hAnsi="宋体" w:cs="宋体"/>
          <w:szCs w:val="21"/>
        </w:rPr>
      </w:pPr>
      <w:r>
        <w:rPr>
          <w:rFonts w:hint="eastAsia" w:ascii="宋体" w:hAnsi="宋体" w:cs="宋体"/>
          <w:szCs w:val="21"/>
        </w:rPr>
        <w:t>6.4.1投标人登陆张家界市公共资源交易网,</w:t>
      </w:r>
      <w:r>
        <w:fldChar w:fldCharType="begin"/>
      </w:r>
      <w:r>
        <w:instrText xml:space="preserve"> HYPERLINK "http://www.zjjsggzy.gov.cncom/" </w:instrText>
      </w:r>
      <w:r>
        <w:fldChar w:fldCharType="separate"/>
      </w:r>
      <w:r>
        <w:rPr>
          <w:rFonts w:hint="eastAsia" w:ascii="宋体" w:hAnsi="宋体" w:cs="宋体"/>
          <w:szCs w:val="21"/>
        </w:rPr>
        <w:t>进入本项目招标公告，在网页右上方点击“获取投标保证金子账户”按钮，获取本项目（标段）的《投标诚信保证金子账号信息单》（可下载或打印），该信息单注明的账户为投标人交纳本项目（标段）投标保证金的唯一账号，请注意保密。</w:t>
      </w:r>
      <w:r>
        <w:rPr>
          <w:rFonts w:hint="eastAsia" w:ascii="宋体" w:hAnsi="宋体" w:cs="宋体"/>
          <w:szCs w:val="21"/>
        </w:rPr>
        <w:fldChar w:fldCharType="end"/>
      </w:r>
    </w:p>
    <w:p>
      <w:pPr>
        <w:spacing w:line="360" w:lineRule="auto"/>
        <w:rPr>
          <w:rFonts w:ascii="宋体" w:hAnsi="宋体" w:cs="宋体"/>
          <w:szCs w:val="21"/>
        </w:rPr>
      </w:pPr>
      <w:r>
        <w:rPr>
          <w:rFonts w:hint="eastAsia" w:ascii="宋体" w:hAnsi="宋体" w:cs="宋体"/>
          <w:szCs w:val="21"/>
        </w:rPr>
        <w:t>6.4.2投标人在提交投标保证金时，应按照随机获取的《投标诚信保证金子账号信息单》中账号信息准确填写银行账单，投标人可通过本项目招标公告页面右上方“保证金缴纳查询”或张家界市公共资源交易网查询专区“投标保证金”栏目，查询本单位投标保证金到账和退还情况。</w:t>
      </w:r>
    </w:p>
    <w:p>
      <w:pPr>
        <w:spacing w:line="360" w:lineRule="auto"/>
        <w:rPr>
          <w:rFonts w:ascii="宋体" w:hAnsi="宋体" w:cs="宋体"/>
          <w:szCs w:val="21"/>
        </w:rPr>
      </w:pPr>
      <w:r>
        <w:rPr>
          <w:rFonts w:hint="eastAsia" w:ascii="宋体" w:hAnsi="宋体" w:cs="宋体"/>
          <w:szCs w:val="21"/>
        </w:rPr>
        <w:t>6.4.3项目本次招标出现招标流标或废标情况的，投标保证金将即时原路退还至交纳账户。重新组织招标采购时，投标人应当重新获取投标保证金账号，并按新账号交纳投标保证金。</w:t>
      </w:r>
    </w:p>
    <w:p>
      <w:pPr>
        <w:spacing w:line="360" w:lineRule="auto"/>
        <w:rPr>
          <w:rFonts w:ascii="宋体" w:hAnsi="宋体" w:cs="宋体"/>
          <w:szCs w:val="21"/>
        </w:rPr>
      </w:pPr>
      <w:r>
        <w:rPr>
          <w:rFonts w:hint="eastAsia" w:ascii="宋体" w:hAnsi="宋体" w:cs="宋体"/>
          <w:szCs w:val="21"/>
        </w:rPr>
        <w:t>6.4.4因投标人自身原因，未按要求从其基本账户按时足额缴纳投标保证金的，其投标将被拒绝，招标人依法当众认定并宣布其投标无效。</w:t>
      </w:r>
    </w:p>
    <w:p>
      <w:pPr>
        <w:spacing w:line="360" w:lineRule="auto"/>
        <w:rPr>
          <w:rFonts w:ascii="宋体" w:hAnsi="宋体" w:cs="宋体"/>
          <w:szCs w:val="21"/>
        </w:rPr>
      </w:pPr>
      <w:r>
        <w:rPr>
          <w:rFonts w:hint="eastAsia" w:ascii="宋体" w:hAnsi="宋体" w:cs="宋体"/>
          <w:szCs w:val="21"/>
        </w:rPr>
        <w:t>6.4.5各投标人在投标保证金实行电子化管理操作过程中遇到相关问题可拨打市公共资源交易中心咨询，电话号码：0744-8833286、8833291。</w:t>
      </w:r>
    </w:p>
    <w:p>
      <w:pPr>
        <w:spacing w:line="360" w:lineRule="auto"/>
        <w:rPr>
          <w:rFonts w:ascii="宋体" w:hAnsi="宋体" w:cs="宋体"/>
          <w:b/>
          <w:bCs/>
          <w:sz w:val="28"/>
          <w:szCs w:val="28"/>
        </w:rPr>
      </w:pPr>
      <w:r>
        <w:rPr>
          <w:rFonts w:hint="eastAsia" w:ascii="宋体" w:hAnsi="宋体" w:cs="宋体"/>
          <w:b/>
          <w:bCs/>
          <w:sz w:val="28"/>
          <w:szCs w:val="28"/>
        </w:rPr>
        <w:t>7.发布公告的媒介：</w:t>
      </w:r>
    </w:p>
    <w:p>
      <w:pPr>
        <w:spacing w:line="360" w:lineRule="auto"/>
        <w:ind w:firstLine="420" w:firstLineChars="200"/>
        <w:rPr>
          <w:rFonts w:ascii="宋体" w:hAnsi="宋体" w:cs="宋体"/>
          <w:b/>
          <w:bCs/>
          <w:szCs w:val="22"/>
        </w:rPr>
      </w:pPr>
      <w:r>
        <w:rPr>
          <w:rFonts w:hint="eastAsia" w:ascii="宋体" w:hAnsi="宋体" w:cs="宋体"/>
          <w:szCs w:val="22"/>
        </w:rPr>
        <w:t>本招标公告同时在</w:t>
      </w:r>
      <w:r>
        <w:rPr>
          <w:rFonts w:hint="eastAsia" w:ascii="宋体" w:hAnsi="宋体" w:cs="宋体"/>
          <w:szCs w:val="22"/>
          <w:u w:val="single"/>
        </w:rPr>
        <w:t>张家界市公共资源交易网、中国</w:t>
      </w:r>
      <w:r>
        <w:rPr>
          <w:rFonts w:hint="eastAsia" w:ascii="宋体" w:hAnsi="宋体" w:cs="宋体"/>
          <w:szCs w:val="22"/>
          <w:u w:val="single"/>
          <w:lang w:eastAsia="zh-CN"/>
        </w:rPr>
        <w:t>采购与招标网</w:t>
      </w:r>
      <w:r>
        <w:rPr>
          <w:rFonts w:hint="eastAsia" w:ascii="宋体" w:hAnsi="宋体" w:cs="宋体"/>
          <w:szCs w:val="22"/>
          <w:u w:val="single"/>
        </w:rPr>
        <w:t>、全国招标采购公共服务平台</w:t>
      </w:r>
      <w:r>
        <w:rPr>
          <w:rFonts w:hint="eastAsia" w:ascii="宋体" w:hAnsi="宋体" w:cs="宋体"/>
          <w:szCs w:val="22"/>
        </w:rPr>
        <w:t>发布。</w:t>
      </w:r>
    </w:p>
    <w:p>
      <w:pPr>
        <w:spacing w:line="360" w:lineRule="auto"/>
        <w:rPr>
          <w:rFonts w:ascii="宋体" w:hAnsi="宋体" w:cs="宋体"/>
          <w:b/>
          <w:bCs/>
          <w:sz w:val="28"/>
          <w:szCs w:val="28"/>
        </w:rPr>
      </w:pPr>
      <w:r>
        <w:rPr>
          <w:rFonts w:hint="eastAsia" w:ascii="宋体" w:hAnsi="宋体" w:cs="宋体"/>
          <w:b/>
          <w:bCs/>
          <w:sz w:val="28"/>
          <w:szCs w:val="28"/>
        </w:rPr>
        <w:t>8.项目联系人姓名和电话：</w:t>
      </w:r>
    </w:p>
    <w:p>
      <w:pPr>
        <w:pStyle w:val="17"/>
        <w:adjustRightInd w:val="0"/>
        <w:snapToGrid w:val="0"/>
        <w:spacing w:before="156" w:beforeLines="50" w:line="360" w:lineRule="exact"/>
        <w:ind w:firstLine="210" w:firstLineChars="100"/>
        <w:rPr>
          <w:rFonts w:hAnsi="宋体"/>
        </w:rPr>
      </w:pPr>
      <w:r>
        <w:rPr>
          <w:rFonts w:hint="eastAsia" w:hAnsi="宋体"/>
        </w:rPr>
        <w:t>招标人名称：湖南省烟草公司张家界市公司</w:t>
      </w:r>
    </w:p>
    <w:p>
      <w:pPr>
        <w:pStyle w:val="17"/>
        <w:adjustRightInd w:val="0"/>
        <w:snapToGrid w:val="0"/>
        <w:spacing w:before="156" w:beforeLines="50" w:line="360" w:lineRule="exact"/>
        <w:ind w:firstLine="210" w:firstLineChars="100"/>
        <w:rPr>
          <w:rFonts w:hAnsi="宋体"/>
        </w:rPr>
      </w:pPr>
      <w:r>
        <w:rPr>
          <w:rFonts w:hint="eastAsia" w:hAnsi="宋体"/>
        </w:rPr>
        <w:t>地址：张家界市永定区</w:t>
      </w:r>
      <w:r>
        <w:rPr>
          <w:rFonts w:hint="eastAsia" w:hAnsi="宋体"/>
          <w:lang w:eastAsia="zh-CN"/>
        </w:rPr>
        <w:t>大庸桥</w:t>
      </w:r>
      <w:r>
        <w:rPr>
          <w:rFonts w:hint="eastAsia" w:hAnsi="宋体"/>
        </w:rPr>
        <w:t>街道且住岗</w:t>
      </w:r>
      <w:r>
        <w:rPr>
          <w:rFonts w:hint="eastAsia" w:hAnsi="宋体"/>
          <w:lang w:eastAsia="zh-CN"/>
        </w:rPr>
        <w:t>社区</w:t>
      </w:r>
      <w:r>
        <w:rPr>
          <w:rFonts w:hint="eastAsia" w:hAnsi="宋体"/>
        </w:rPr>
        <w:t xml:space="preserve">烟草新城 </w:t>
      </w:r>
    </w:p>
    <w:p>
      <w:pPr>
        <w:pStyle w:val="17"/>
        <w:adjustRightInd w:val="0"/>
        <w:snapToGrid w:val="0"/>
        <w:spacing w:before="156" w:beforeLines="50" w:line="360" w:lineRule="exact"/>
        <w:ind w:firstLine="210" w:firstLineChars="100"/>
        <w:rPr>
          <w:rFonts w:hAnsi="宋体"/>
        </w:rPr>
      </w:pPr>
      <w:r>
        <w:rPr>
          <w:rFonts w:hint="eastAsia" w:hAnsi="宋体"/>
        </w:rPr>
        <w:t>联系人：</w:t>
      </w:r>
      <w:r>
        <w:rPr>
          <w:rFonts w:hint="eastAsia" w:asciiTheme="minorEastAsia" w:hAnsiTheme="minorEastAsia" w:cstheme="minorEastAsia"/>
          <w:color w:val="000000"/>
          <w:sz w:val="21"/>
          <w:szCs w:val="21"/>
          <w:lang w:val="en-US" w:eastAsia="zh-CN"/>
        </w:rPr>
        <w:t xml:space="preserve">汪女士  </w:t>
      </w:r>
    </w:p>
    <w:p>
      <w:pPr>
        <w:pStyle w:val="17"/>
        <w:adjustRightInd w:val="0"/>
        <w:snapToGrid w:val="0"/>
        <w:spacing w:before="156" w:beforeLines="50" w:line="360" w:lineRule="exact"/>
        <w:ind w:firstLine="210" w:firstLineChars="100"/>
        <w:rPr>
          <w:rFonts w:hint="eastAsia" w:asciiTheme="minorEastAsia" w:hAnsiTheme="minorEastAsia" w:cstheme="minorEastAsia"/>
          <w:color w:val="000000"/>
          <w:sz w:val="21"/>
          <w:szCs w:val="21"/>
          <w:lang w:val="en-US" w:eastAsia="zh-CN"/>
        </w:rPr>
      </w:pPr>
      <w:r>
        <w:rPr>
          <w:rFonts w:hint="eastAsia" w:hAnsi="宋体"/>
        </w:rPr>
        <w:t>联系电话：</w:t>
      </w:r>
      <w:r>
        <w:rPr>
          <w:rFonts w:hint="eastAsia" w:asciiTheme="minorEastAsia" w:hAnsiTheme="minorEastAsia" w:cstheme="minorEastAsia"/>
          <w:color w:val="000000"/>
          <w:sz w:val="21"/>
          <w:szCs w:val="21"/>
          <w:lang w:val="en-US" w:eastAsia="zh-CN"/>
        </w:rPr>
        <w:t>15074417877</w:t>
      </w:r>
    </w:p>
    <w:p>
      <w:pPr>
        <w:pStyle w:val="17"/>
        <w:adjustRightInd w:val="0"/>
        <w:snapToGrid w:val="0"/>
        <w:spacing w:before="156" w:beforeLines="50" w:line="360" w:lineRule="exact"/>
        <w:ind w:firstLine="210" w:firstLineChars="100"/>
        <w:rPr>
          <w:rFonts w:hAnsi="宋体"/>
        </w:rPr>
      </w:pPr>
      <w:r>
        <w:rPr>
          <w:rFonts w:hint="eastAsia" w:hAnsi="宋体"/>
        </w:rPr>
        <w:t xml:space="preserve"> </w:t>
      </w:r>
    </w:p>
    <w:p>
      <w:pPr>
        <w:pStyle w:val="17"/>
        <w:adjustRightInd w:val="0"/>
        <w:snapToGrid w:val="0"/>
        <w:spacing w:before="156" w:beforeLines="50" w:line="360" w:lineRule="exact"/>
        <w:ind w:firstLine="210" w:firstLineChars="100"/>
        <w:rPr>
          <w:rFonts w:hAnsi="宋体"/>
        </w:rPr>
      </w:pPr>
      <w:r>
        <w:rPr>
          <w:rFonts w:hint="eastAsia" w:hAnsi="宋体"/>
        </w:rPr>
        <w:t>招标代理机构: 天策致远工程咨询管理有限公司</w:t>
      </w:r>
    </w:p>
    <w:p>
      <w:pPr>
        <w:pStyle w:val="17"/>
        <w:adjustRightInd w:val="0"/>
        <w:snapToGrid w:val="0"/>
        <w:spacing w:before="156" w:beforeLines="50" w:line="360" w:lineRule="exact"/>
        <w:ind w:firstLine="210" w:firstLineChars="100"/>
        <w:rPr>
          <w:rFonts w:hAnsi="宋体"/>
        </w:rPr>
      </w:pPr>
      <w:r>
        <w:rPr>
          <w:rFonts w:hint="eastAsia" w:hAnsi="宋体"/>
        </w:rPr>
        <w:t>地    址：张家界市永定区大桥路金业大厦308室</w:t>
      </w:r>
    </w:p>
    <w:p>
      <w:pPr>
        <w:pStyle w:val="17"/>
        <w:adjustRightInd w:val="0"/>
        <w:snapToGrid w:val="0"/>
        <w:spacing w:before="156" w:beforeLines="50" w:line="360" w:lineRule="exact"/>
        <w:ind w:firstLine="210" w:firstLineChars="100"/>
        <w:rPr>
          <w:rFonts w:hAnsi="宋体"/>
        </w:rPr>
      </w:pPr>
      <w:r>
        <w:rPr>
          <w:rFonts w:hint="eastAsia" w:hAnsi="宋体"/>
        </w:rPr>
        <w:t>联 系 人：谷先生</w:t>
      </w:r>
    </w:p>
    <w:p>
      <w:pPr>
        <w:pStyle w:val="17"/>
        <w:adjustRightInd w:val="0"/>
        <w:snapToGrid w:val="0"/>
        <w:spacing w:before="156" w:beforeLines="50" w:line="360" w:lineRule="exact"/>
        <w:ind w:firstLine="210" w:firstLineChars="100"/>
        <w:rPr>
          <w:rFonts w:hAnsi="宋体"/>
        </w:rPr>
      </w:pPr>
      <w:r>
        <w:rPr>
          <w:rFonts w:hint="eastAsia" w:hAnsi="宋体"/>
        </w:rPr>
        <w:t>电    话:0744-8260002</w:t>
      </w:r>
    </w:p>
    <w:p>
      <w:pPr>
        <w:pStyle w:val="17"/>
        <w:adjustRightInd w:val="0"/>
        <w:snapToGrid w:val="0"/>
        <w:spacing w:before="156" w:beforeLines="50" w:line="360" w:lineRule="exact"/>
        <w:ind w:firstLine="210" w:firstLineChars="100"/>
        <w:rPr>
          <w:rFonts w:hAnsi="宋体" w:cs="宋体"/>
          <w:b/>
          <w:bCs/>
          <w:sz w:val="32"/>
        </w:rPr>
      </w:pPr>
      <w:r>
        <w:rPr>
          <w:rFonts w:hint="eastAsia" w:hAnsi="宋体"/>
        </w:rPr>
        <w:t>邮箱：45201390@qq.com</w:t>
      </w:r>
    </w:p>
    <w:p>
      <w:pPr>
        <w:pStyle w:val="17"/>
        <w:adjustRightInd w:val="0"/>
        <w:snapToGrid w:val="0"/>
        <w:spacing w:before="156" w:beforeLines="50" w:line="360" w:lineRule="exact"/>
        <w:ind w:firstLine="210" w:firstLineChars="100"/>
        <w:rPr>
          <w:rFonts w:hAnsi="宋体"/>
        </w:rPr>
      </w:pPr>
    </w:p>
    <w:p>
      <w:pPr>
        <w:adjustRightInd w:val="0"/>
        <w:snapToGrid w:val="0"/>
        <w:spacing w:before="156" w:beforeLines="50" w:line="360" w:lineRule="auto"/>
        <w:jc w:val="center"/>
        <w:rPr>
          <w:rFonts w:ascii="宋体" w:hAnsi="宋体" w:cs="宋体"/>
          <w:b/>
          <w:bCs/>
          <w:sz w:val="32"/>
        </w:rPr>
      </w:pPr>
      <w:bookmarkStart w:id="6" w:name="_Toc26177_WPSOffice_Level1"/>
    </w:p>
    <w:p>
      <w:pPr>
        <w:adjustRightInd w:val="0"/>
        <w:snapToGrid w:val="0"/>
        <w:spacing w:before="156" w:beforeLines="50" w:line="360" w:lineRule="auto"/>
        <w:jc w:val="center"/>
        <w:rPr>
          <w:rFonts w:ascii="宋体" w:hAnsi="宋体" w:cs="宋体"/>
          <w:b/>
          <w:bCs/>
          <w:sz w:val="32"/>
        </w:rPr>
      </w:pPr>
    </w:p>
    <w:p>
      <w:pPr>
        <w:adjustRightInd w:val="0"/>
        <w:snapToGrid w:val="0"/>
        <w:spacing w:before="156" w:beforeLines="50" w:line="360" w:lineRule="auto"/>
        <w:jc w:val="center"/>
        <w:rPr>
          <w:rFonts w:ascii="宋体" w:hAnsi="宋体" w:cs="宋体"/>
          <w:b/>
          <w:bCs/>
          <w:sz w:val="32"/>
        </w:rPr>
      </w:pPr>
    </w:p>
    <w:p>
      <w:pPr>
        <w:pStyle w:val="2"/>
        <w:ind w:firstLine="643"/>
        <w:rPr>
          <w:rFonts w:ascii="宋体" w:hAnsi="宋体" w:cs="宋体"/>
          <w:b/>
          <w:bCs/>
          <w:sz w:val="32"/>
        </w:rPr>
      </w:pPr>
    </w:p>
    <w:p>
      <w:pPr>
        <w:pStyle w:val="2"/>
        <w:ind w:firstLine="643"/>
        <w:rPr>
          <w:rFonts w:ascii="宋体" w:hAnsi="宋体" w:cs="宋体"/>
          <w:b/>
          <w:bCs/>
          <w:sz w:val="32"/>
        </w:rPr>
      </w:pPr>
    </w:p>
    <w:p>
      <w:pPr>
        <w:adjustRightInd w:val="0"/>
        <w:snapToGrid w:val="0"/>
        <w:spacing w:before="156" w:beforeLines="50" w:line="360" w:lineRule="auto"/>
        <w:jc w:val="center"/>
        <w:rPr>
          <w:rFonts w:ascii="宋体" w:hAnsi="宋体" w:cs="宋体"/>
          <w:b/>
          <w:bCs/>
          <w:sz w:val="32"/>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adjustRightInd w:val="0"/>
        <w:snapToGrid w:val="0"/>
        <w:spacing w:before="156" w:beforeLines="50" w:line="360" w:lineRule="auto"/>
        <w:jc w:val="center"/>
        <w:rPr>
          <w:rFonts w:ascii="宋体" w:hAnsi="宋体" w:cs="宋体"/>
          <w:b/>
          <w:bCs/>
          <w:sz w:val="32"/>
        </w:rPr>
      </w:pPr>
      <w:r>
        <w:rPr>
          <w:rFonts w:hint="eastAsia" w:ascii="宋体" w:hAnsi="宋体" w:cs="宋体"/>
          <w:b/>
          <w:bCs/>
          <w:sz w:val="32"/>
        </w:rPr>
        <w:t>第二章 投标人须知</w:t>
      </w:r>
      <w:bookmarkEnd w:id="6"/>
    </w:p>
    <w:p>
      <w:pPr>
        <w:adjustRightInd w:val="0"/>
        <w:snapToGrid w:val="0"/>
        <w:spacing w:before="156" w:beforeLines="50" w:line="360" w:lineRule="auto"/>
        <w:jc w:val="center"/>
        <w:rPr>
          <w:rFonts w:ascii="宋体" w:hAnsi="宋体" w:cs="宋体"/>
          <w:b/>
          <w:bCs/>
          <w:spacing w:val="100"/>
          <w:sz w:val="28"/>
          <w:szCs w:val="28"/>
        </w:rPr>
      </w:pPr>
      <w:r>
        <w:rPr>
          <w:rFonts w:hint="eastAsia" w:ascii="宋体" w:hAnsi="宋体" w:cs="宋体"/>
          <w:b/>
          <w:bCs/>
          <w:sz w:val="28"/>
          <w:szCs w:val="28"/>
        </w:rPr>
        <w:t>投标人须知前附表</w:t>
      </w:r>
    </w:p>
    <w:p>
      <w:pPr>
        <w:adjustRightInd w:val="0"/>
        <w:snapToGrid w:val="0"/>
        <w:spacing w:before="156" w:beforeLines="50" w:line="360" w:lineRule="auto"/>
        <w:ind w:right="31" w:rightChars="15" w:firstLine="420" w:firstLineChars="200"/>
        <w:rPr>
          <w:rFonts w:ascii="宋体" w:hAnsi="宋体" w:cs="宋体"/>
          <w:szCs w:val="21"/>
        </w:rPr>
      </w:pPr>
      <w:r>
        <w:rPr>
          <w:rFonts w:hint="eastAsia" w:ascii="宋体" w:hAnsi="宋体" w:cs="宋体"/>
          <w:b/>
          <w:szCs w:val="21"/>
        </w:rPr>
        <w:t>注： 条款内容存在选择项的，请在方框□内划√选择，一个“条款号”内限选一项。</w:t>
      </w:r>
    </w:p>
    <w:tbl>
      <w:tblPr>
        <w:tblStyle w:val="32"/>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21"/>
        <w:gridCol w:w="1599"/>
        <w:gridCol w:w="644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trPr>
        <w:tc>
          <w:tcPr>
            <w:tcW w:w="1421"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条款号</w:t>
            </w:r>
          </w:p>
        </w:tc>
        <w:tc>
          <w:tcPr>
            <w:tcW w:w="1599"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条款名称</w:t>
            </w:r>
          </w:p>
        </w:tc>
        <w:tc>
          <w:tcPr>
            <w:tcW w:w="644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编列内容规定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szCs w:val="21"/>
              </w:rPr>
              <w:t>一、说明</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 xml:space="preserve"> 第1.1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项目名称</w:t>
            </w:r>
          </w:p>
        </w:tc>
        <w:tc>
          <w:tcPr>
            <w:tcW w:w="6445" w:type="dxa"/>
            <w:vAlign w:val="center"/>
          </w:tcPr>
          <w:p>
            <w:pPr>
              <w:pStyle w:val="17"/>
              <w:spacing w:line="360" w:lineRule="auto"/>
              <w:jc w:val="left"/>
              <w:rPr>
                <w:rFonts w:hint="eastAsia" w:hAnsi="宋体" w:eastAsia="宋体" w:cs="宋体"/>
                <w:lang w:eastAsia="zh-CN"/>
              </w:rPr>
            </w:pPr>
            <w:r>
              <w:rPr>
                <w:rFonts w:hint="eastAsia" w:hAnsi="宋体" w:cs="宋体"/>
                <w:lang w:eastAsia="zh-CN"/>
              </w:rPr>
              <w:t>张家界市烟草专卖局（公司）关于2023年雪茄烟晾晒房及配套设施采购项目（第二次）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758"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招标人</w:t>
            </w:r>
          </w:p>
        </w:tc>
        <w:tc>
          <w:tcPr>
            <w:tcW w:w="6445" w:type="dxa"/>
            <w:vAlign w:val="center"/>
          </w:tcPr>
          <w:p>
            <w:pPr>
              <w:spacing w:line="360" w:lineRule="auto"/>
              <w:rPr>
                <w:rFonts w:ascii="宋体" w:hAnsi="宋体" w:cs="宋体"/>
                <w:szCs w:val="22"/>
              </w:rPr>
            </w:pPr>
            <w:r>
              <w:rPr>
                <w:rFonts w:hint="eastAsia" w:ascii="宋体" w:hAnsi="宋体" w:cs="宋体"/>
                <w:szCs w:val="22"/>
              </w:rPr>
              <w:t>名称：湖南省烟草公司张家界市公司</w:t>
            </w:r>
          </w:p>
          <w:p>
            <w:pPr>
              <w:spacing w:line="360" w:lineRule="auto"/>
              <w:rPr>
                <w:rFonts w:ascii="宋体" w:hAnsi="宋体" w:cs="宋体"/>
                <w:szCs w:val="22"/>
              </w:rPr>
            </w:pPr>
            <w:r>
              <w:rPr>
                <w:rFonts w:hint="eastAsia" w:ascii="宋体" w:hAnsi="宋体" w:cs="宋体"/>
                <w:szCs w:val="22"/>
              </w:rPr>
              <w:t>地  址：</w:t>
            </w:r>
            <w:r>
              <w:rPr>
                <w:rFonts w:hint="eastAsia" w:hAnsi="宋体"/>
              </w:rPr>
              <w:t>张家界市永定区</w:t>
            </w:r>
            <w:r>
              <w:rPr>
                <w:rFonts w:hint="eastAsia" w:hAnsi="宋体"/>
                <w:lang w:eastAsia="zh-CN"/>
              </w:rPr>
              <w:t>大庸桥</w:t>
            </w:r>
            <w:r>
              <w:rPr>
                <w:rFonts w:hint="eastAsia" w:hAnsi="宋体"/>
              </w:rPr>
              <w:t>街道且住岗</w:t>
            </w:r>
            <w:r>
              <w:rPr>
                <w:rFonts w:hint="eastAsia" w:hAnsi="宋体"/>
                <w:lang w:eastAsia="zh-CN"/>
              </w:rPr>
              <w:t>社区</w:t>
            </w:r>
            <w:r>
              <w:rPr>
                <w:rFonts w:hint="eastAsia" w:hAnsi="宋体"/>
              </w:rPr>
              <w:t>烟草新城</w:t>
            </w:r>
          </w:p>
          <w:p>
            <w:pPr>
              <w:spacing w:line="360" w:lineRule="auto"/>
              <w:rPr>
                <w:rFonts w:ascii="宋体" w:hAnsi="宋体" w:cs="宋体"/>
                <w:szCs w:val="22"/>
              </w:rPr>
            </w:pPr>
            <w:r>
              <w:rPr>
                <w:rFonts w:hint="eastAsia" w:ascii="宋体" w:hAnsi="宋体" w:cs="宋体"/>
                <w:szCs w:val="22"/>
              </w:rPr>
              <w:t>联系人：</w:t>
            </w:r>
            <w:r>
              <w:rPr>
                <w:rFonts w:hint="eastAsia" w:ascii="宋体" w:hAnsi="宋体" w:cs="宋体"/>
                <w:szCs w:val="22"/>
                <w:lang w:eastAsia="zh-CN"/>
              </w:rPr>
              <w:t>汪女士</w:t>
            </w:r>
            <w:r>
              <w:rPr>
                <w:rFonts w:hint="eastAsia" w:ascii="宋体" w:hAnsi="宋体" w:cs="宋体"/>
                <w:szCs w:val="22"/>
              </w:rPr>
              <w:t xml:space="preserve"> </w:t>
            </w:r>
          </w:p>
          <w:p>
            <w:pPr>
              <w:spacing w:line="360" w:lineRule="auto"/>
              <w:rPr>
                <w:rFonts w:ascii="宋体" w:hAnsi="宋体" w:cs="宋体"/>
                <w:szCs w:val="21"/>
              </w:rPr>
            </w:pPr>
            <w:r>
              <w:rPr>
                <w:rFonts w:hint="eastAsia" w:ascii="宋体" w:hAnsi="宋体" w:cs="宋体"/>
                <w:szCs w:val="22"/>
              </w:rPr>
              <w:t>电  话：</w:t>
            </w:r>
            <w:r>
              <w:rPr>
                <w:rFonts w:hint="eastAsia" w:asciiTheme="minorEastAsia" w:hAnsiTheme="minorEastAsia" w:cstheme="minorEastAsia"/>
                <w:color w:val="000000"/>
                <w:sz w:val="21"/>
                <w:szCs w:val="21"/>
                <w:lang w:val="en-US" w:eastAsia="zh-CN"/>
              </w:rPr>
              <w:t>15074417877</w:t>
            </w:r>
            <w:r>
              <w:rPr>
                <w:rFonts w:hint="eastAsia" w:ascii="宋体" w:hAnsi="宋体" w:cs="宋体"/>
                <w:szCs w:val="22"/>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415"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第2.2</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招标代理机构</w:t>
            </w:r>
          </w:p>
        </w:tc>
        <w:tc>
          <w:tcPr>
            <w:tcW w:w="6445" w:type="dxa"/>
            <w:vAlign w:val="center"/>
          </w:tcPr>
          <w:p>
            <w:pPr>
              <w:spacing w:line="360" w:lineRule="auto"/>
            </w:pPr>
            <w:r>
              <w:rPr>
                <w:rFonts w:hint="eastAsia"/>
              </w:rPr>
              <w:t>招标代理机构: 天策致远工程咨询管理有限公司</w:t>
            </w:r>
          </w:p>
          <w:p>
            <w:pPr>
              <w:spacing w:line="360" w:lineRule="auto"/>
            </w:pPr>
            <w:r>
              <w:rPr>
                <w:rFonts w:hint="eastAsia"/>
              </w:rPr>
              <w:t>地    址：张家界市永定区大桥路金业大厦308室</w:t>
            </w:r>
          </w:p>
          <w:p>
            <w:pPr>
              <w:spacing w:line="360" w:lineRule="auto"/>
            </w:pPr>
            <w:r>
              <w:rPr>
                <w:rFonts w:hint="eastAsia"/>
              </w:rPr>
              <w:t>联 系 人：谷先生</w:t>
            </w:r>
          </w:p>
          <w:p>
            <w:pPr>
              <w:spacing w:line="360" w:lineRule="auto"/>
            </w:pPr>
            <w:r>
              <w:rPr>
                <w:rFonts w:hint="eastAsia"/>
              </w:rPr>
              <w:t>电    话:0744-8260002</w:t>
            </w:r>
          </w:p>
          <w:p>
            <w:pPr>
              <w:spacing w:line="360" w:lineRule="auto"/>
            </w:pPr>
            <w:r>
              <w:rPr>
                <w:rFonts w:hint="eastAsia"/>
              </w:rPr>
              <w:t>邮箱：45201390@qq.com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bCs/>
                <w:szCs w:val="21"/>
              </w:rPr>
              <w:t>投标人</w:t>
            </w:r>
            <w:r>
              <w:rPr>
                <w:rFonts w:hint="eastAsia" w:ascii="宋体" w:hAnsi="宋体" w:cs="宋体"/>
                <w:szCs w:val="21"/>
              </w:rPr>
              <w:t>资格</w:t>
            </w:r>
          </w:p>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条件</w:t>
            </w:r>
          </w:p>
        </w:tc>
        <w:tc>
          <w:tcPr>
            <w:tcW w:w="6445" w:type="dxa"/>
            <w:vAlign w:val="center"/>
          </w:tcPr>
          <w:p>
            <w:pPr>
              <w:spacing w:line="320" w:lineRule="exact"/>
            </w:pPr>
            <w:r>
              <w:rPr>
                <w:rFonts w:hint="eastAsia"/>
              </w:rPr>
              <w:t>1、本次招标要求投标人须具备独立法人资格并依法取得营业执照。</w:t>
            </w:r>
          </w:p>
          <w:p>
            <w:pPr>
              <w:spacing w:line="320" w:lineRule="exact"/>
            </w:pPr>
            <w:r>
              <w:rPr>
                <w:rFonts w:hint="eastAsia"/>
              </w:rPr>
              <w:t>2、法人提交法定代表人身份证明原件或者法定代表人授权委托书原件并附法定代表人身份证明原件，自然人提交身份证原件。</w:t>
            </w:r>
          </w:p>
          <w:p>
            <w:pPr>
              <w:spacing w:line="320" w:lineRule="exact"/>
            </w:pPr>
            <w:r>
              <w:rPr>
                <w:rFonts w:hint="eastAsia"/>
              </w:rPr>
              <w:t>3、依法缴纳税收和社会保险费的证明材料,各提供下列材料之一:</w:t>
            </w:r>
          </w:p>
          <w:p>
            <w:pPr>
              <w:spacing w:line="320" w:lineRule="exact"/>
            </w:pPr>
            <w:r>
              <w:rPr>
                <w:rFonts w:hint="eastAsia"/>
              </w:rPr>
              <w:t>①缴纳税收证明材料:《税务登记证》复印件，或者提供近三个月依法缴纳税收的证明（纳税凭证复印件），或者委托他人缴纳的委托代办协议和或者提供近三个月的缴纳证明（收据复印件），或者法定征收机关出具的依法免缴税收的证明原件 (提供了三证合一或五证合一的营业执照副本复印件的即为提供了《税务登记证》复印件，无需重复提供) 。</w:t>
            </w:r>
          </w:p>
          <w:p>
            <w:pPr>
              <w:spacing w:line="320" w:lineRule="exact"/>
            </w:pPr>
            <w:r>
              <w:rPr>
                <w:rFonts w:hint="eastAsia"/>
              </w:rPr>
              <w:t>②缴纳社会保险证明材料：《社会保险登记证》复印件，或者提供近三个月依法缴纳社会保险的证明（缴费凭证复印件），或者委托他人缴纳的委托代办协议和或者提供近三个月的缴纳证明（收据复印件），或者法定征收机关出具的依法免缴保险费的证明原件 (提供了三证合一或五证合一的营业执照副本复印件的即为提供了《税务登记证》、《社会保险登记证》复印件，无需重复提供) 。</w:t>
            </w:r>
          </w:p>
          <w:p>
            <w:pPr>
              <w:numPr>
                <w:ilvl w:val="0"/>
                <w:numId w:val="4"/>
              </w:numPr>
              <w:spacing w:line="320" w:lineRule="exact"/>
            </w:pPr>
            <w:r>
              <w:rPr>
                <w:rFonts w:hint="eastAsia"/>
              </w:rPr>
              <w:t>投标人财务状况良好，须提供2021或2022年度财务审计报告，审计报告中无否定意见或无法表示意见；新成立的公司（成立时间不足一年的），需提供银行资信证明文件。</w:t>
            </w:r>
          </w:p>
          <w:p>
            <w:pPr>
              <w:spacing w:line="320" w:lineRule="exact"/>
            </w:pPr>
            <w:r>
              <w:rPr>
                <w:rFonts w:hint="eastAsia"/>
              </w:rPr>
              <w:t>5、参加采购活动前三年内在经营活动中没有重大违法记录的书面声明。</w:t>
            </w:r>
          </w:p>
          <w:p>
            <w:pPr>
              <w:spacing w:line="320" w:lineRule="exact"/>
            </w:pPr>
            <w:r>
              <w:rPr>
                <w:rFonts w:hint="eastAsia"/>
              </w:rPr>
              <w:t>6、信誉要求</w:t>
            </w:r>
          </w:p>
          <w:p>
            <w:pPr>
              <w:spacing w:line="320" w:lineRule="exact"/>
              <w:rPr>
                <w:rFonts w:hint="eastAsia"/>
              </w:rPr>
            </w:pPr>
            <w:r>
              <w:rPr>
                <w:rFonts w:hint="eastAsia"/>
              </w:rPr>
              <w:t>见</w:t>
            </w:r>
            <w:r>
              <w:t>招标公告3.1.6信誉要求</w:t>
            </w:r>
            <w:r>
              <w:rPr>
                <w:rFonts w:hint="eastAsia"/>
              </w:rPr>
              <w:t>。</w:t>
            </w:r>
          </w:p>
          <w:p>
            <w:pPr>
              <w:spacing w:line="360" w:lineRule="auto"/>
              <w:rPr>
                <w:rFonts w:ascii="宋体" w:hAnsi="宋体" w:cs="宋体"/>
                <w:szCs w:val="22"/>
              </w:rPr>
            </w:pPr>
            <w:r>
              <w:rPr>
                <w:rFonts w:hint="eastAsia" w:ascii="宋体" w:hAnsi="宋体" w:cs="宋体"/>
                <w:szCs w:val="22"/>
              </w:rPr>
              <w:t>7</w:t>
            </w:r>
            <w:r>
              <w:rPr>
                <w:rFonts w:hint="eastAsia" w:ascii="宋体" w:hAnsi="宋体" w:cs="宋体"/>
                <w:szCs w:val="22"/>
                <w:lang w:eastAsia="zh-CN"/>
              </w:rPr>
              <w:t>、</w:t>
            </w:r>
            <w:r>
              <w:rPr>
                <w:rFonts w:hint="eastAsia" w:ascii="宋体" w:hAnsi="宋体" w:cs="宋体"/>
                <w:szCs w:val="22"/>
              </w:rPr>
              <w:t>本项目不接受联合体投标。</w:t>
            </w:r>
          </w:p>
          <w:p>
            <w:pPr>
              <w:pStyle w:val="2"/>
            </w:pPr>
            <w:r>
              <w:rPr>
                <w:rFonts w:hint="eastAsia" w:ascii="宋体" w:hAnsi="宋体" w:cs="宋体"/>
              </w:rPr>
              <w:t>如投标人虽提供上述资格文件，但开标后在资格审查时发现存在以上情形的，视为不合格投标人。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2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第6.1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联合体投标</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A8"/>
            </w:r>
            <w:r>
              <w:rPr>
                <w:rFonts w:hint="eastAsia" w:ascii="宋体" w:hAnsi="宋体" w:cs="宋体"/>
                <w:szCs w:val="21"/>
              </w:rPr>
              <w:t>接受</w:t>
            </w:r>
          </w:p>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FE"/>
            </w:r>
            <w:r>
              <w:rPr>
                <w:rFonts w:hint="eastAsia" w:ascii="宋体" w:hAnsi="宋体" w:cs="宋体"/>
                <w:szCs w:val="21"/>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9465" w:type="dxa"/>
            <w:gridSpan w:val="3"/>
            <w:vAlign w:val="center"/>
          </w:tcPr>
          <w:p>
            <w:pPr>
              <w:adjustRightInd w:val="0"/>
              <w:snapToGrid w:val="0"/>
              <w:spacing w:before="156" w:beforeLines="50" w:line="360" w:lineRule="auto"/>
              <w:rPr>
                <w:rFonts w:ascii="宋体" w:hAnsi="宋体" w:cs="宋体"/>
                <w:b/>
                <w:szCs w:val="21"/>
              </w:rPr>
            </w:pPr>
            <w:r>
              <w:rPr>
                <w:rFonts w:hint="eastAsia" w:ascii="宋体" w:hAnsi="宋体" w:cs="宋体"/>
                <w:b/>
                <w:szCs w:val="21"/>
              </w:rPr>
              <w:t>二、招标文件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2"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第7.3</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发布公告</w:t>
            </w:r>
          </w:p>
          <w:p>
            <w:pPr>
              <w:adjustRightInd w:val="0"/>
              <w:snapToGrid w:val="0"/>
              <w:spacing w:line="360" w:lineRule="auto"/>
              <w:jc w:val="center"/>
              <w:rPr>
                <w:rFonts w:ascii="宋体" w:hAnsi="宋体" w:cs="宋体"/>
                <w:szCs w:val="21"/>
              </w:rPr>
            </w:pPr>
            <w:r>
              <w:rPr>
                <w:rFonts w:hint="eastAsia" w:ascii="宋体" w:hAnsi="宋体" w:cs="宋体"/>
                <w:szCs w:val="21"/>
              </w:rPr>
              <w:t>的媒介</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kern w:val="0"/>
                <w:szCs w:val="21"/>
              </w:rPr>
              <w:t>张家界市公共资源交易网、中国</w:t>
            </w:r>
            <w:r>
              <w:rPr>
                <w:rFonts w:hint="eastAsia" w:ascii="宋体" w:hAnsi="宋体" w:cs="宋体"/>
                <w:kern w:val="0"/>
                <w:szCs w:val="21"/>
                <w:lang w:eastAsia="zh-CN"/>
              </w:rPr>
              <w:t>采购与招标网</w:t>
            </w:r>
            <w:r>
              <w:rPr>
                <w:rFonts w:hint="eastAsia" w:ascii="宋体" w:hAnsi="宋体" w:cs="宋体"/>
                <w:kern w:val="0"/>
                <w:szCs w:val="21"/>
              </w:rPr>
              <w:t>、全国招标采购公共服务平台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第8.1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招标文件的提供期限</w:t>
            </w:r>
          </w:p>
        </w:tc>
        <w:tc>
          <w:tcPr>
            <w:tcW w:w="6445" w:type="dxa"/>
            <w:vAlign w:val="center"/>
          </w:tcPr>
          <w:p>
            <w:pPr>
              <w:adjustRightInd w:val="0"/>
              <w:snapToGrid w:val="0"/>
              <w:spacing w:before="156" w:beforeLines="50" w:line="360" w:lineRule="auto"/>
              <w:jc w:val="left"/>
              <w:rPr>
                <w:rFonts w:ascii="宋体" w:hAnsi="宋体" w:cs="宋体"/>
                <w:b/>
                <w:szCs w:val="21"/>
              </w:rPr>
            </w:pPr>
            <w:r>
              <w:rPr>
                <w:rFonts w:hint="eastAsia" w:ascii="宋体" w:hAnsi="宋体" w:cs="宋体"/>
                <w:b/>
                <w:szCs w:val="21"/>
                <w:u w:val="single"/>
              </w:rPr>
              <w:t xml:space="preserve"> </w:t>
            </w:r>
            <w:r>
              <w:rPr>
                <w:rFonts w:hint="eastAsia" w:ascii="宋体" w:hAnsi="宋体" w:cs="宋体"/>
                <w:b/>
                <w:szCs w:val="21"/>
                <w:u w:val="single"/>
                <w:lang w:val="en-US" w:eastAsia="zh-CN"/>
              </w:rPr>
              <w:t>2023</w:t>
            </w:r>
            <w:r>
              <w:rPr>
                <w:rFonts w:hint="eastAsia" w:ascii="宋体" w:hAnsi="宋体" w:cs="宋体"/>
                <w:b/>
                <w:szCs w:val="21"/>
                <w:u w:val="single"/>
              </w:rPr>
              <w:t xml:space="preserve"> </w:t>
            </w:r>
            <w:r>
              <w:rPr>
                <w:rFonts w:hint="eastAsia" w:ascii="宋体" w:hAnsi="宋体" w:cs="宋体"/>
                <w:b/>
                <w:szCs w:val="21"/>
              </w:rPr>
              <w:t>年</w:t>
            </w:r>
            <w:r>
              <w:rPr>
                <w:rFonts w:hint="eastAsia" w:ascii="宋体" w:hAnsi="宋体" w:cs="宋体"/>
                <w:b/>
                <w:szCs w:val="21"/>
                <w:u w:val="single"/>
              </w:rPr>
              <w:t xml:space="preserve"> </w:t>
            </w:r>
            <w:r>
              <w:rPr>
                <w:rFonts w:hint="eastAsia" w:ascii="宋体" w:hAnsi="宋体" w:cs="宋体"/>
                <w:b/>
                <w:szCs w:val="21"/>
                <w:u w:val="single"/>
                <w:lang w:val="en-US" w:eastAsia="zh-CN"/>
              </w:rPr>
              <w:t>04</w:t>
            </w:r>
            <w:r>
              <w:rPr>
                <w:rFonts w:hint="eastAsia" w:ascii="宋体" w:hAnsi="宋体" w:cs="宋体"/>
                <w:b/>
                <w:szCs w:val="21"/>
                <w:u w:val="single"/>
              </w:rPr>
              <w:t xml:space="preserve"> </w:t>
            </w:r>
            <w:r>
              <w:rPr>
                <w:rFonts w:hint="eastAsia" w:ascii="宋体" w:hAnsi="宋体" w:cs="宋体"/>
                <w:b/>
                <w:szCs w:val="21"/>
              </w:rPr>
              <w:t>月</w:t>
            </w:r>
            <w:r>
              <w:rPr>
                <w:rFonts w:hint="eastAsia" w:ascii="宋体" w:hAnsi="宋体" w:cs="宋体"/>
                <w:b/>
                <w:szCs w:val="21"/>
                <w:u w:val="single"/>
              </w:rPr>
              <w:t xml:space="preserve"> </w:t>
            </w:r>
            <w:r>
              <w:rPr>
                <w:rFonts w:hint="eastAsia" w:ascii="宋体" w:hAnsi="宋体" w:cs="宋体"/>
                <w:b/>
                <w:szCs w:val="21"/>
                <w:u w:val="single"/>
                <w:lang w:val="en-US" w:eastAsia="zh-CN"/>
              </w:rPr>
              <w:t>25</w:t>
            </w:r>
            <w:r>
              <w:rPr>
                <w:rFonts w:hint="eastAsia" w:ascii="宋体" w:hAnsi="宋体" w:cs="宋体"/>
                <w:b/>
                <w:szCs w:val="21"/>
                <w:u w:val="single"/>
              </w:rPr>
              <w:t xml:space="preserve"> </w:t>
            </w:r>
            <w:r>
              <w:rPr>
                <w:rFonts w:hint="eastAsia" w:ascii="宋体" w:hAnsi="宋体" w:cs="宋体"/>
                <w:b/>
                <w:szCs w:val="21"/>
              </w:rPr>
              <w:t>日至</w:t>
            </w:r>
            <w:r>
              <w:rPr>
                <w:rFonts w:hint="eastAsia" w:ascii="宋体" w:hAnsi="宋体" w:cs="宋体"/>
                <w:b/>
                <w:szCs w:val="21"/>
                <w:u w:val="single"/>
              </w:rPr>
              <w:t xml:space="preserve"> </w:t>
            </w:r>
            <w:r>
              <w:rPr>
                <w:rFonts w:hint="eastAsia" w:ascii="宋体" w:hAnsi="宋体" w:cs="宋体"/>
                <w:b/>
                <w:szCs w:val="21"/>
                <w:u w:val="single"/>
                <w:lang w:val="en-US" w:eastAsia="zh-CN"/>
              </w:rPr>
              <w:t>2023</w:t>
            </w:r>
            <w:r>
              <w:rPr>
                <w:rFonts w:hint="eastAsia" w:ascii="宋体" w:hAnsi="宋体" w:cs="宋体"/>
                <w:b/>
                <w:szCs w:val="21"/>
                <w:u w:val="single"/>
              </w:rPr>
              <w:t xml:space="preserve"> </w:t>
            </w:r>
            <w:r>
              <w:rPr>
                <w:rFonts w:hint="eastAsia" w:ascii="宋体" w:hAnsi="宋体" w:cs="宋体"/>
                <w:b/>
                <w:szCs w:val="21"/>
              </w:rPr>
              <w:t>年</w:t>
            </w:r>
            <w:r>
              <w:rPr>
                <w:rFonts w:hint="eastAsia" w:ascii="宋体" w:hAnsi="宋体" w:cs="宋体"/>
                <w:b/>
                <w:szCs w:val="21"/>
                <w:u w:val="single"/>
              </w:rPr>
              <w:t xml:space="preserve"> </w:t>
            </w:r>
            <w:r>
              <w:rPr>
                <w:rFonts w:hint="eastAsia" w:ascii="宋体" w:hAnsi="宋体" w:cs="宋体"/>
                <w:b/>
                <w:szCs w:val="21"/>
                <w:u w:val="single"/>
                <w:lang w:val="en-US" w:eastAsia="zh-CN"/>
              </w:rPr>
              <w:t>05</w:t>
            </w:r>
            <w:r>
              <w:rPr>
                <w:rFonts w:hint="eastAsia" w:ascii="宋体" w:hAnsi="宋体" w:cs="宋体"/>
                <w:b/>
                <w:szCs w:val="21"/>
                <w:u w:val="single"/>
              </w:rPr>
              <w:t xml:space="preserve"> </w:t>
            </w:r>
            <w:r>
              <w:rPr>
                <w:rFonts w:hint="eastAsia" w:ascii="宋体" w:hAnsi="宋体" w:cs="宋体"/>
                <w:b/>
                <w:szCs w:val="21"/>
              </w:rPr>
              <w:t>月</w:t>
            </w:r>
            <w:r>
              <w:rPr>
                <w:rFonts w:hint="eastAsia" w:ascii="宋体" w:hAnsi="宋体" w:cs="宋体"/>
                <w:b/>
                <w:szCs w:val="21"/>
                <w:u w:val="single"/>
              </w:rPr>
              <w:t xml:space="preserve"> </w:t>
            </w:r>
            <w:r>
              <w:rPr>
                <w:rFonts w:hint="eastAsia" w:ascii="宋体" w:hAnsi="宋体" w:cs="宋体"/>
                <w:b/>
                <w:szCs w:val="21"/>
                <w:u w:val="single"/>
                <w:lang w:val="en-US" w:eastAsia="zh-CN"/>
              </w:rPr>
              <w:t>06</w:t>
            </w:r>
            <w:r>
              <w:rPr>
                <w:rFonts w:hint="eastAsia" w:ascii="宋体" w:hAnsi="宋体" w:cs="宋体"/>
                <w:b/>
                <w:szCs w:val="21"/>
                <w:u w:val="single"/>
              </w:rPr>
              <w:t xml:space="preserve"> </w:t>
            </w:r>
            <w:r>
              <w:rPr>
                <w:rFonts w:hint="eastAsia" w:ascii="宋体" w:hAnsi="宋体" w:cs="宋体"/>
                <w:b/>
                <w:szCs w:val="21"/>
              </w:rPr>
              <w:t>日</w:t>
            </w:r>
            <w:r>
              <w:rPr>
                <w:rFonts w:hint="eastAsia" w:ascii="宋体" w:hAnsi="宋体" w:cs="宋体"/>
                <w:b/>
                <w:szCs w:val="21"/>
                <w:u w:val="single"/>
              </w:rPr>
              <w:t xml:space="preserve"> </w:t>
            </w:r>
            <w:r>
              <w:rPr>
                <w:rFonts w:hint="eastAsia" w:ascii="宋体" w:hAnsi="宋体" w:cs="宋体"/>
                <w:b/>
                <w:szCs w:val="21"/>
                <w:u w:val="single"/>
                <w:lang w:val="en-US" w:eastAsia="zh-CN"/>
              </w:rPr>
              <w:t>17</w:t>
            </w:r>
            <w:r>
              <w:rPr>
                <w:rFonts w:hint="eastAsia" w:ascii="宋体" w:hAnsi="宋体" w:cs="宋体"/>
                <w:b/>
                <w:szCs w:val="21"/>
                <w:u w:val="single"/>
              </w:rPr>
              <w:t xml:space="preserve"> </w:t>
            </w:r>
            <w:r>
              <w:rPr>
                <w:rFonts w:hint="eastAsia" w:ascii="宋体" w:hAnsi="宋体" w:cs="宋体"/>
                <w:b/>
                <w:szCs w:val="21"/>
              </w:rPr>
              <w:t>时</w:t>
            </w:r>
            <w:r>
              <w:rPr>
                <w:rFonts w:hint="eastAsia" w:ascii="宋体" w:hAnsi="宋体" w:cs="宋体"/>
                <w:b/>
                <w:szCs w:val="21"/>
                <w:u w:val="single"/>
              </w:rPr>
              <w:t xml:space="preserve"> </w:t>
            </w:r>
            <w:r>
              <w:rPr>
                <w:rFonts w:hint="eastAsia" w:ascii="宋体" w:hAnsi="宋体" w:cs="宋体"/>
                <w:b/>
                <w:szCs w:val="21"/>
                <w:u w:val="single"/>
                <w:lang w:val="en-US" w:eastAsia="zh-CN"/>
              </w:rPr>
              <w:t>30</w:t>
            </w:r>
            <w:r>
              <w:rPr>
                <w:rFonts w:hint="eastAsia" w:ascii="宋体" w:hAnsi="宋体" w:cs="宋体"/>
                <w:b/>
                <w:szCs w:val="21"/>
                <w:u w:val="single"/>
              </w:rPr>
              <w:t xml:space="preserve"> </w:t>
            </w:r>
            <w:r>
              <w:rPr>
                <w:rFonts w:hint="eastAsia" w:ascii="宋体" w:hAnsi="宋体" w:cs="宋体"/>
                <w:b/>
                <w:szCs w:val="21"/>
              </w:rPr>
              <w:t>分止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第8.2</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购买招标</w:t>
            </w:r>
          </w:p>
          <w:p>
            <w:pPr>
              <w:adjustRightInd w:val="0"/>
              <w:snapToGrid w:val="0"/>
              <w:spacing w:line="360" w:lineRule="auto"/>
              <w:jc w:val="center"/>
              <w:rPr>
                <w:rFonts w:ascii="宋体" w:hAnsi="宋体" w:cs="宋体"/>
                <w:szCs w:val="21"/>
              </w:rPr>
            </w:pPr>
            <w:r>
              <w:rPr>
                <w:rFonts w:hint="eastAsia" w:ascii="宋体" w:hAnsi="宋体" w:cs="宋体"/>
                <w:szCs w:val="21"/>
              </w:rPr>
              <w:t>文件时应</w:t>
            </w:r>
          </w:p>
          <w:p>
            <w:pPr>
              <w:adjustRightInd w:val="0"/>
              <w:snapToGrid w:val="0"/>
              <w:spacing w:line="360" w:lineRule="auto"/>
              <w:jc w:val="center"/>
              <w:rPr>
                <w:rFonts w:ascii="宋体" w:hAnsi="宋体" w:cs="宋体"/>
                <w:szCs w:val="21"/>
              </w:rPr>
            </w:pPr>
            <w:r>
              <w:rPr>
                <w:rFonts w:hint="eastAsia" w:ascii="宋体" w:hAnsi="宋体" w:cs="宋体"/>
                <w:szCs w:val="21"/>
              </w:rPr>
              <w:t>提供的资料</w:t>
            </w:r>
          </w:p>
        </w:tc>
        <w:tc>
          <w:tcPr>
            <w:tcW w:w="6445" w:type="dxa"/>
            <w:vAlign w:val="center"/>
          </w:tcPr>
          <w:p>
            <w:pPr>
              <w:adjustRightInd w:val="0"/>
              <w:snapToGrid w:val="0"/>
              <w:spacing w:before="156" w:beforeLines="50" w:line="360" w:lineRule="auto"/>
              <w:rPr>
                <w:rFonts w:ascii="宋体" w:hAnsi="宋体" w:cs="宋体"/>
              </w:rPr>
            </w:pPr>
            <w:r>
              <w:rPr>
                <w:rFonts w:hint="eastAsia" w:ascii="宋体" w:hAnsi="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szCs w:val="21"/>
              </w:rPr>
              <w:t>三、投标文件的编写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第15.3</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备选方案</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A8"/>
            </w:r>
            <w:r>
              <w:rPr>
                <w:rFonts w:hint="eastAsia" w:ascii="宋体" w:hAnsi="宋体" w:cs="宋体"/>
                <w:szCs w:val="21"/>
              </w:rPr>
              <w:t>接受</w:t>
            </w:r>
          </w:p>
          <w:p>
            <w:pPr>
              <w:adjustRightInd w:val="0"/>
              <w:snapToGrid w:val="0"/>
              <w:spacing w:before="156" w:beforeLines="50" w:line="360" w:lineRule="auto"/>
              <w:rPr>
                <w:rFonts w:ascii="宋体" w:hAnsi="宋体" w:cs="宋体"/>
                <w:szCs w:val="21"/>
              </w:rPr>
            </w:pPr>
            <w:r>
              <w:rPr>
                <w:rFonts w:hint="eastAsia" w:ascii="宋体" w:hAnsi="宋体" w:cs="宋体"/>
                <w:szCs w:val="21"/>
              </w:rPr>
              <w:sym w:font="Wingdings" w:char="00FE"/>
            </w:r>
            <w:r>
              <w:rPr>
                <w:rFonts w:hint="eastAsia" w:ascii="宋体" w:hAnsi="宋体" w:cs="宋体"/>
                <w:szCs w:val="21"/>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第15.4</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p>
          <w:p>
            <w:pPr>
              <w:adjustRightInd w:val="0"/>
              <w:snapToGrid w:val="0"/>
              <w:spacing w:line="360" w:lineRule="auto"/>
              <w:jc w:val="center"/>
              <w:rPr>
                <w:rFonts w:ascii="宋体" w:hAnsi="宋体" w:cs="宋体"/>
                <w:szCs w:val="21"/>
              </w:rPr>
            </w:pPr>
            <w:r>
              <w:rPr>
                <w:rFonts w:hint="eastAsia" w:ascii="宋体" w:hAnsi="宋体" w:cs="宋体"/>
                <w:szCs w:val="21"/>
              </w:rPr>
              <w:t>采购项目预算</w:t>
            </w:r>
          </w:p>
          <w:p>
            <w:pPr>
              <w:adjustRightInd w:val="0"/>
              <w:snapToGrid w:val="0"/>
              <w:spacing w:line="360" w:lineRule="auto"/>
              <w:jc w:val="center"/>
              <w:rPr>
                <w:rFonts w:ascii="宋体" w:hAnsi="宋体" w:cs="宋体"/>
                <w:szCs w:val="21"/>
              </w:rPr>
            </w:pPr>
            <w:r>
              <w:rPr>
                <w:rFonts w:hint="eastAsia" w:ascii="宋体" w:hAnsi="宋体" w:cs="宋体"/>
                <w:szCs w:val="21"/>
              </w:rPr>
              <w:t xml:space="preserve"> </w:t>
            </w:r>
          </w:p>
        </w:tc>
        <w:tc>
          <w:tcPr>
            <w:tcW w:w="6445" w:type="dxa"/>
            <w:tcBorders>
              <w:bottom w:val="single" w:color="auto" w:sz="4" w:space="0"/>
            </w:tcBorders>
            <w:vAlign w:val="center"/>
          </w:tcPr>
          <w:p>
            <w:pPr>
              <w:spacing w:before="156" w:beforeLines="50" w:line="360" w:lineRule="auto"/>
              <w:textAlignment w:val="baseline"/>
              <w:rPr>
                <w:rFonts w:ascii="宋体" w:hAnsi="宋体" w:cs="宋体"/>
                <w:iCs/>
                <w:spacing w:val="-2"/>
                <w:kern w:val="0"/>
                <w:szCs w:val="21"/>
              </w:rPr>
            </w:pPr>
            <w:r>
              <w:rPr>
                <w:rFonts w:hint="eastAsia" w:ascii="宋体" w:hAnsi="宋体" w:cs="宋体"/>
                <w:b/>
                <w:bCs/>
                <w:iCs/>
                <w:spacing w:val="-2"/>
                <w:kern w:val="0"/>
                <w:szCs w:val="21"/>
              </w:rPr>
              <w:t xml:space="preserve">本项目上限值为（人民币）：  </w:t>
            </w:r>
            <w:r>
              <w:rPr>
                <w:rFonts w:ascii="宋体" w:hAnsi="宋体" w:cs="宋体"/>
                <w:b/>
                <w:bCs/>
                <w:iCs/>
                <w:spacing w:val="-2"/>
                <w:kern w:val="0"/>
                <w:szCs w:val="21"/>
              </w:rPr>
              <w:t>16037706.48</w:t>
            </w:r>
            <w:r>
              <w:rPr>
                <w:rFonts w:hint="eastAsia" w:ascii="宋体" w:hAnsi="宋体" w:cs="宋体"/>
                <w:b/>
                <w:bCs/>
                <w:iCs/>
                <w:spacing w:val="-2"/>
                <w:kern w:val="0"/>
                <w:szCs w:val="21"/>
              </w:rPr>
              <w:t>元（桑植</w:t>
            </w:r>
            <w:r>
              <w:rPr>
                <w:rFonts w:ascii="宋体" w:hAnsi="宋体" w:cs="宋体"/>
                <w:b/>
                <w:bCs/>
                <w:iCs/>
                <w:spacing w:val="-2"/>
                <w:kern w:val="0"/>
                <w:szCs w:val="21"/>
              </w:rPr>
              <w:t>888774.26</w:t>
            </w:r>
            <w:r>
              <w:rPr>
                <w:rFonts w:hint="eastAsia" w:ascii="宋体" w:hAnsi="宋体" w:cs="宋体"/>
                <w:b/>
                <w:bCs/>
                <w:iCs/>
                <w:spacing w:val="-2"/>
                <w:kern w:val="0"/>
                <w:szCs w:val="21"/>
              </w:rPr>
              <w:t>元</w:t>
            </w:r>
            <w:r>
              <w:rPr>
                <w:rFonts w:ascii="宋体" w:hAnsi="宋体" w:cs="宋体"/>
                <w:b/>
                <w:bCs/>
                <w:iCs/>
                <w:spacing w:val="-2"/>
                <w:kern w:val="0"/>
                <w:szCs w:val="21"/>
              </w:rPr>
              <w:t>/</w:t>
            </w:r>
            <w:r>
              <w:rPr>
                <w:rFonts w:hint="eastAsia" w:ascii="宋体" w:hAnsi="宋体" w:cs="宋体"/>
                <w:b/>
                <w:bCs/>
                <w:iCs/>
                <w:spacing w:val="-2"/>
                <w:kern w:val="0"/>
                <w:szCs w:val="21"/>
              </w:rPr>
              <w:t>套，慈利8</w:t>
            </w:r>
            <w:r>
              <w:rPr>
                <w:rFonts w:ascii="宋体" w:hAnsi="宋体" w:cs="宋体"/>
                <w:b/>
                <w:bCs/>
                <w:iCs/>
                <w:spacing w:val="-2"/>
                <w:kern w:val="0"/>
                <w:szCs w:val="21"/>
              </w:rPr>
              <w:t>96728.22元</w:t>
            </w:r>
            <w:r>
              <w:rPr>
                <w:rFonts w:hint="eastAsia" w:ascii="宋体" w:hAnsi="宋体" w:cs="宋体"/>
                <w:b/>
                <w:bCs/>
                <w:iCs/>
                <w:spacing w:val="-2"/>
                <w:kern w:val="0"/>
                <w:szCs w:val="21"/>
              </w:rPr>
              <w:t>/套），所有报价不得高出</w:t>
            </w:r>
            <w:r>
              <w:rPr>
                <w:rFonts w:hint="eastAsia" w:ascii="宋体" w:hAnsi="宋体" w:cs="宋体"/>
                <w:b/>
                <w:bCs/>
                <w:iCs/>
                <w:spacing w:val="-2"/>
                <w:kern w:val="0"/>
                <w:szCs w:val="21"/>
                <w:lang w:eastAsia="zh-CN"/>
              </w:rPr>
              <w:t>上限值及各套单价</w:t>
            </w:r>
            <w:r>
              <w:rPr>
                <w:rFonts w:hint="eastAsia" w:ascii="宋体" w:hAnsi="宋体" w:cs="宋体"/>
                <w:b/>
                <w:bCs/>
                <w:iCs/>
                <w:spacing w:val="-2"/>
                <w:kern w:val="0"/>
                <w:szCs w:val="21"/>
              </w:rPr>
              <w:t>，否则视为无效投标。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4"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第17.1款</w:t>
            </w:r>
          </w:p>
        </w:tc>
        <w:tc>
          <w:tcPr>
            <w:tcW w:w="1599" w:type="dxa"/>
            <w:tcBorders>
              <w:top w:val="single" w:color="auto" w:sz="4" w:space="0"/>
            </w:tcBorders>
            <w:vAlign w:val="center"/>
          </w:tcPr>
          <w:p>
            <w:pPr>
              <w:adjustRightInd w:val="0"/>
              <w:snapToGrid w:val="0"/>
              <w:spacing w:line="360" w:lineRule="auto"/>
              <w:jc w:val="center"/>
              <w:rPr>
                <w:rFonts w:ascii="宋体" w:hAnsi="宋体" w:cs="宋体"/>
                <w:szCs w:val="21"/>
              </w:rPr>
            </w:pPr>
            <w:r>
              <w:rPr>
                <w:rFonts w:hint="eastAsia" w:ascii="宋体" w:hAnsi="宋体" w:cs="宋体"/>
                <w:szCs w:val="21"/>
              </w:rPr>
              <w:t>中标项目</w:t>
            </w:r>
          </w:p>
          <w:p>
            <w:pPr>
              <w:adjustRightInd w:val="0"/>
              <w:snapToGrid w:val="0"/>
              <w:spacing w:line="360" w:lineRule="auto"/>
              <w:jc w:val="center"/>
              <w:rPr>
                <w:rFonts w:ascii="宋体" w:hAnsi="宋体" w:cs="宋体"/>
                <w:szCs w:val="21"/>
              </w:rPr>
            </w:pPr>
            <w:r>
              <w:rPr>
                <w:rFonts w:hint="eastAsia" w:ascii="宋体" w:hAnsi="宋体" w:cs="宋体"/>
                <w:szCs w:val="21"/>
              </w:rPr>
              <w:t>的分包</w:t>
            </w:r>
          </w:p>
        </w:tc>
        <w:tc>
          <w:tcPr>
            <w:tcW w:w="6445" w:type="dxa"/>
            <w:tcBorders>
              <w:top w:val="single" w:color="auto" w:sz="4" w:space="0"/>
            </w:tcBorders>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 xml:space="preserve"> ☑ 不允许</w:t>
            </w:r>
          </w:p>
          <w:p>
            <w:pPr>
              <w:adjustRightInd w:val="0"/>
              <w:snapToGrid w:val="0"/>
              <w:spacing w:before="156" w:beforeLines="50" w:line="360" w:lineRule="auto"/>
              <w:rPr>
                <w:rFonts w:ascii="宋体" w:hAnsi="宋体" w:cs="宋体"/>
                <w:b/>
                <w:szCs w:val="21"/>
              </w:rPr>
            </w:pPr>
            <w:r>
              <w:rPr>
                <w:rFonts w:hint="eastAsia" w:ascii="宋体" w:hAnsi="宋体" w:cs="宋体"/>
                <w:szCs w:val="21"/>
              </w:rPr>
              <w:t>□允许将项目中非主体、非关键性工作分包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第19.3</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一般条款</w:t>
            </w:r>
          </w:p>
          <w:p>
            <w:pPr>
              <w:adjustRightInd w:val="0"/>
              <w:snapToGrid w:val="0"/>
              <w:spacing w:line="360" w:lineRule="auto"/>
              <w:jc w:val="center"/>
              <w:rPr>
                <w:rFonts w:ascii="宋体" w:hAnsi="宋体" w:cs="宋体"/>
                <w:szCs w:val="21"/>
              </w:rPr>
            </w:pPr>
            <w:r>
              <w:rPr>
                <w:rFonts w:hint="eastAsia" w:ascii="宋体" w:hAnsi="宋体" w:cs="宋体"/>
                <w:szCs w:val="21"/>
              </w:rPr>
              <w:t>允许偏离的</w:t>
            </w:r>
          </w:p>
          <w:p>
            <w:pPr>
              <w:adjustRightInd w:val="0"/>
              <w:snapToGrid w:val="0"/>
              <w:spacing w:line="360" w:lineRule="auto"/>
              <w:jc w:val="center"/>
              <w:rPr>
                <w:rFonts w:ascii="宋体" w:hAnsi="宋体" w:cs="宋体"/>
                <w:szCs w:val="21"/>
              </w:rPr>
            </w:pPr>
            <w:r>
              <w:rPr>
                <w:rFonts w:hint="eastAsia" w:ascii="宋体" w:hAnsi="宋体" w:cs="宋体"/>
                <w:szCs w:val="21"/>
              </w:rPr>
              <w:t>最高项数</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一般商务</w:t>
            </w:r>
            <w:r>
              <w:rPr>
                <w:rFonts w:hint="eastAsia" w:ascii="宋体" w:hAnsi="宋体" w:cs="宋体"/>
                <w:spacing w:val="4"/>
                <w:szCs w:val="21"/>
              </w:rPr>
              <w:t>和</w:t>
            </w:r>
            <w:r>
              <w:rPr>
                <w:rFonts w:hint="eastAsia" w:ascii="宋体" w:hAnsi="宋体" w:cs="宋体"/>
                <w:szCs w:val="21"/>
              </w:rPr>
              <w:t>技术条款偏离项数之和≥</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项将导致无效投标。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4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第19.4</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条款数（最高项数）的统计方法</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累加法，相同内容的条款不重复计算项数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第20.1</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投标保证金</w:t>
            </w:r>
          </w:p>
        </w:tc>
        <w:tc>
          <w:tcPr>
            <w:tcW w:w="6445" w:type="dxa"/>
            <w:vAlign w:val="center"/>
          </w:tcPr>
          <w:p>
            <w:pPr>
              <w:spacing w:line="360" w:lineRule="auto"/>
              <w:rPr>
                <w:rFonts w:ascii="宋体" w:hAnsi="宋体" w:cs="宋体"/>
                <w:szCs w:val="21"/>
              </w:rPr>
            </w:pPr>
            <w:r>
              <w:rPr>
                <w:rFonts w:hint="eastAsia" w:ascii="宋体" w:hAnsi="宋体" w:cs="宋体"/>
                <w:szCs w:val="21"/>
              </w:rPr>
              <w:t>1.投标保证金的金额：叁拾万元整   （￥3</w:t>
            </w:r>
            <w:r>
              <w:rPr>
                <w:rFonts w:ascii="宋体" w:hAnsi="宋体" w:cs="宋体"/>
                <w:szCs w:val="21"/>
              </w:rPr>
              <w:t>0</w:t>
            </w:r>
            <w:r>
              <w:rPr>
                <w:rFonts w:hint="eastAsia" w:ascii="宋体" w:hAnsi="宋体" w:cs="宋体"/>
                <w:szCs w:val="21"/>
              </w:rPr>
              <w:t>0000.00元）</w:t>
            </w:r>
          </w:p>
          <w:p>
            <w:pPr>
              <w:spacing w:line="360" w:lineRule="auto"/>
              <w:rPr>
                <w:rFonts w:ascii="宋体" w:hAnsi="宋体" w:cs="宋体"/>
                <w:szCs w:val="21"/>
              </w:rPr>
            </w:pPr>
            <w:r>
              <w:rPr>
                <w:rFonts w:hint="eastAsia" w:ascii="宋体" w:hAnsi="宋体" w:cs="宋体"/>
                <w:szCs w:val="21"/>
              </w:rPr>
              <w:t>2.交纳时间：投标截止时间前，以银行到账回单为准。</w:t>
            </w:r>
          </w:p>
          <w:p>
            <w:pPr>
              <w:spacing w:line="360" w:lineRule="auto"/>
              <w:rPr>
                <w:rFonts w:ascii="宋体" w:hAnsi="宋体" w:cs="宋体"/>
                <w:szCs w:val="21"/>
              </w:rPr>
            </w:pPr>
            <w:r>
              <w:rPr>
                <w:rFonts w:hint="eastAsia" w:ascii="宋体" w:hAnsi="宋体" w:cs="宋体"/>
                <w:szCs w:val="21"/>
              </w:rPr>
              <w:t>3.交纳方式：投标保证金必须是从投标人单位的基本账户以银行转账、电汇、银行汇票或网银转账的方式一次性足额转入投标保证金的托管账户管理。招标人不接受以现金方式提交的投标保证金，以现金方式提交的投标保证金无效。</w:t>
            </w:r>
          </w:p>
          <w:p>
            <w:pPr>
              <w:spacing w:line="360" w:lineRule="auto"/>
              <w:rPr>
                <w:rFonts w:ascii="宋体" w:hAnsi="宋体" w:cs="宋体"/>
                <w:szCs w:val="21"/>
              </w:rPr>
            </w:pPr>
            <w:r>
              <w:rPr>
                <w:rFonts w:hint="eastAsia" w:ascii="宋体" w:hAnsi="宋体" w:cs="宋体"/>
                <w:szCs w:val="21"/>
              </w:rPr>
              <w:t>开户名称：张家界市公共资源交易中心</w:t>
            </w:r>
          </w:p>
          <w:p>
            <w:pPr>
              <w:spacing w:line="360" w:lineRule="auto"/>
              <w:rPr>
                <w:rFonts w:ascii="宋体" w:hAnsi="宋体" w:cs="宋体"/>
                <w:szCs w:val="21"/>
              </w:rPr>
            </w:pPr>
            <w:r>
              <w:rPr>
                <w:rFonts w:hint="eastAsia" w:ascii="宋体" w:hAnsi="宋体" w:cs="宋体"/>
                <w:szCs w:val="21"/>
              </w:rPr>
              <w:t>开户银行：</w:t>
            </w:r>
          </w:p>
          <w:p>
            <w:pPr>
              <w:spacing w:line="360" w:lineRule="auto"/>
              <w:rPr>
                <w:rFonts w:ascii="宋体" w:hAnsi="宋体" w:cs="宋体"/>
                <w:szCs w:val="21"/>
              </w:rPr>
            </w:pPr>
            <w:r>
              <w:rPr>
                <w:rFonts w:hint="eastAsia" w:ascii="宋体" w:hAnsi="宋体" w:cs="宋体"/>
                <w:szCs w:val="21"/>
              </w:rPr>
              <w:t>中国工商银行股份有限公司张家界南庄坪支行</w:t>
            </w:r>
          </w:p>
          <w:p>
            <w:pPr>
              <w:spacing w:line="360" w:lineRule="auto"/>
              <w:rPr>
                <w:rFonts w:ascii="宋体" w:hAnsi="宋体" w:cs="宋体"/>
                <w:szCs w:val="21"/>
              </w:rPr>
            </w:pPr>
            <w:r>
              <w:rPr>
                <w:rFonts w:hint="eastAsia" w:ascii="宋体" w:hAnsi="宋体" w:cs="宋体"/>
                <w:szCs w:val="21"/>
              </w:rPr>
              <w:t>中国农业银行股份有限公司张家界永定支行</w:t>
            </w:r>
          </w:p>
          <w:p>
            <w:pPr>
              <w:spacing w:line="360" w:lineRule="auto"/>
              <w:rPr>
                <w:rFonts w:ascii="宋体" w:hAnsi="宋体" w:cs="宋体"/>
                <w:szCs w:val="21"/>
              </w:rPr>
            </w:pPr>
            <w:r>
              <w:rPr>
                <w:rFonts w:hint="eastAsia" w:ascii="宋体" w:hAnsi="宋体" w:cs="宋体"/>
                <w:szCs w:val="21"/>
              </w:rPr>
              <w:t>中国建设银行股份有限公司张家界解放路支行</w:t>
            </w:r>
          </w:p>
          <w:p>
            <w:pPr>
              <w:spacing w:line="360" w:lineRule="auto"/>
              <w:rPr>
                <w:rFonts w:ascii="宋体" w:hAnsi="宋体" w:cs="宋体"/>
                <w:szCs w:val="21"/>
              </w:rPr>
            </w:pPr>
            <w:r>
              <w:rPr>
                <w:rFonts w:hint="eastAsia" w:ascii="宋体" w:hAnsi="宋体" w:cs="宋体"/>
                <w:szCs w:val="21"/>
              </w:rPr>
              <w:t>华融湘江银行张家界分行</w:t>
            </w:r>
          </w:p>
          <w:p>
            <w:pPr>
              <w:spacing w:line="360" w:lineRule="auto"/>
              <w:rPr>
                <w:rFonts w:ascii="宋体" w:hAnsi="宋体" w:cs="宋体"/>
                <w:szCs w:val="21"/>
              </w:rPr>
            </w:pPr>
            <w:r>
              <w:rPr>
                <w:rFonts w:hint="eastAsia" w:ascii="宋体" w:hAnsi="宋体" w:cs="宋体"/>
                <w:szCs w:val="21"/>
              </w:rPr>
              <w:t>交通银行股份有限公司张家界分行</w:t>
            </w:r>
          </w:p>
          <w:p>
            <w:pPr>
              <w:spacing w:line="360" w:lineRule="auto"/>
              <w:rPr>
                <w:rFonts w:ascii="宋体" w:hAnsi="宋体" w:cs="宋体"/>
                <w:szCs w:val="21"/>
              </w:rPr>
            </w:pPr>
            <w:r>
              <w:rPr>
                <w:rFonts w:hint="eastAsia" w:ascii="宋体" w:hAnsi="宋体" w:cs="宋体"/>
                <w:szCs w:val="21"/>
              </w:rPr>
              <w:t>长沙银行股份有限公司张家界分行</w:t>
            </w:r>
          </w:p>
          <w:p>
            <w:pPr>
              <w:spacing w:line="360" w:lineRule="auto"/>
              <w:rPr>
                <w:rFonts w:ascii="宋体" w:hAnsi="宋体" w:cs="宋体"/>
                <w:szCs w:val="21"/>
              </w:rPr>
            </w:pPr>
            <w:r>
              <w:rPr>
                <w:rFonts w:hint="eastAsia" w:ascii="宋体" w:hAnsi="宋体" w:cs="宋体"/>
                <w:szCs w:val="21"/>
              </w:rPr>
              <w:t>中国银行张家界分行</w:t>
            </w:r>
          </w:p>
          <w:p>
            <w:pPr>
              <w:spacing w:line="360" w:lineRule="auto"/>
              <w:rPr>
                <w:rFonts w:ascii="宋体" w:hAnsi="宋体" w:cs="宋体"/>
                <w:szCs w:val="21"/>
              </w:rPr>
            </w:pPr>
            <w:r>
              <w:rPr>
                <w:rFonts w:hint="eastAsia" w:ascii="宋体" w:hAnsi="宋体" w:cs="宋体"/>
                <w:szCs w:val="21"/>
              </w:rPr>
              <w:t>中国邮政储蓄银行股份有限公司张家界分行</w:t>
            </w:r>
          </w:p>
          <w:p>
            <w:pPr>
              <w:spacing w:line="360" w:lineRule="auto"/>
              <w:rPr>
                <w:rFonts w:ascii="宋体" w:hAnsi="宋体" w:cs="宋体"/>
                <w:szCs w:val="21"/>
              </w:rPr>
            </w:pPr>
            <w:r>
              <w:rPr>
                <w:rFonts w:hint="eastAsia" w:ascii="宋体" w:hAnsi="宋体" w:cs="宋体"/>
                <w:szCs w:val="21"/>
              </w:rPr>
              <w:t>银行账户：投标人随机获取对应本项目（标段）投标保证金子账号</w:t>
            </w:r>
          </w:p>
          <w:p>
            <w:pPr>
              <w:spacing w:line="360" w:lineRule="auto"/>
              <w:rPr>
                <w:rFonts w:ascii="宋体" w:hAnsi="宋体" w:cs="宋体"/>
                <w:szCs w:val="21"/>
              </w:rPr>
            </w:pPr>
            <w:r>
              <w:rPr>
                <w:rFonts w:hint="eastAsia" w:ascii="宋体" w:hAnsi="宋体" w:cs="宋体"/>
                <w:szCs w:val="21"/>
              </w:rPr>
              <w:t>4.投标保证金子账户的获取：</w:t>
            </w:r>
          </w:p>
          <w:p>
            <w:pPr>
              <w:spacing w:line="360" w:lineRule="auto"/>
              <w:rPr>
                <w:rFonts w:ascii="宋体" w:hAnsi="宋体" w:cs="宋体"/>
                <w:szCs w:val="21"/>
              </w:rPr>
            </w:pPr>
            <w:r>
              <w:rPr>
                <w:rFonts w:hint="eastAsia" w:ascii="宋体" w:hAnsi="宋体" w:cs="宋体"/>
                <w:szCs w:val="21"/>
              </w:rPr>
              <w:t>4.1投标人登陆张家界市公共资源交易网,</w:t>
            </w:r>
            <w:r>
              <w:fldChar w:fldCharType="begin"/>
            </w:r>
            <w:r>
              <w:instrText xml:space="preserve"> HYPERLINK "http://www.zjjsggzy.gov.cncom/" </w:instrText>
            </w:r>
            <w:r>
              <w:fldChar w:fldCharType="separate"/>
            </w:r>
            <w:r>
              <w:rPr>
                <w:rFonts w:hint="eastAsia" w:ascii="宋体" w:hAnsi="宋体" w:cs="宋体"/>
                <w:szCs w:val="21"/>
              </w:rPr>
              <w:t>进入本项目招标公告，在网页右上方点击“获取投标保证金子账户”按钮，获取本项目（标段）的《投标诚信保证金子账号信息单》（可下载或打印），该信息单注明的账户为投标人交纳本项目（标段）投标保证金的唯一账号，请注意保密。</w:t>
            </w:r>
            <w:r>
              <w:rPr>
                <w:rFonts w:hint="eastAsia" w:ascii="宋体" w:hAnsi="宋体" w:cs="宋体"/>
                <w:szCs w:val="21"/>
              </w:rPr>
              <w:fldChar w:fldCharType="end"/>
            </w:r>
          </w:p>
          <w:p>
            <w:pPr>
              <w:spacing w:line="360" w:lineRule="auto"/>
              <w:rPr>
                <w:rFonts w:ascii="宋体" w:hAnsi="宋体" w:cs="宋体"/>
                <w:szCs w:val="21"/>
              </w:rPr>
            </w:pPr>
            <w:r>
              <w:rPr>
                <w:rFonts w:hint="eastAsia" w:ascii="宋体" w:hAnsi="宋体" w:cs="宋体"/>
                <w:szCs w:val="21"/>
              </w:rPr>
              <w:t>4.2投标人在提交投标保证金时，应按照随机获取的《投标诚信保证金子账号信息单》中账号信息准确填写银行账单，投标人可通过本项目招标公告页面右上方“保证金缴纳查询”或张家界市公共资源交易网查询专区“投标保证金”栏目，查询本单位投标保证金到账和退还情况。</w:t>
            </w:r>
          </w:p>
          <w:p>
            <w:pPr>
              <w:spacing w:line="360" w:lineRule="auto"/>
              <w:rPr>
                <w:rFonts w:ascii="宋体" w:hAnsi="宋体" w:cs="宋体"/>
                <w:szCs w:val="21"/>
              </w:rPr>
            </w:pPr>
            <w:r>
              <w:rPr>
                <w:rFonts w:hint="eastAsia" w:ascii="宋体" w:hAnsi="宋体" w:cs="宋体"/>
                <w:szCs w:val="21"/>
              </w:rPr>
              <w:t>4.3项目本次招标出现招标流标或废标情况的，投标保证金将即时原路退还至交纳账户。重新组织招标采购时，投标人应当重新获取投标保证金账号，并按新账号交纳投标保证金。</w:t>
            </w:r>
          </w:p>
          <w:p>
            <w:pPr>
              <w:spacing w:line="360" w:lineRule="auto"/>
              <w:rPr>
                <w:rFonts w:ascii="宋体" w:hAnsi="宋体" w:cs="宋体"/>
                <w:szCs w:val="21"/>
              </w:rPr>
            </w:pPr>
            <w:r>
              <w:rPr>
                <w:rFonts w:hint="eastAsia" w:ascii="宋体" w:hAnsi="宋体" w:cs="宋体"/>
                <w:szCs w:val="21"/>
              </w:rPr>
              <w:t>4.4因投标人自身原因，未按要求从其基本账户按时足额缴纳投标保证金的，其投标将被拒绝，招标人依法当众认定并宣布其投标无效。</w:t>
            </w:r>
          </w:p>
          <w:p>
            <w:pPr>
              <w:spacing w:line="360" w:lineRule="auto"/>
              <w:rPr>
                <w:rFonts w:ascii="宋体" w:hAnsi="宋体" w:cs="宋体"/>
                <w:szCs w:val="21"/>
              </w:rPr>
            </w:pPr>
            <w:r>
              <w:rPr>
                <w:rFonts w:hint="eastAsia" w:ascii="宋体" w:hAnsi="宋体" w:cs="宋体"/>
                <w:szCs w:val="21"/>
              </w:rPr>
              <w:t>4.5各投标人在投标保证金实行电子化管理操作过程中遇到相关问题可拨打市公共资源交易中心咨询，电话号码：0744-8833286、8833291。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86"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第21.1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bCs/>
                <w:szCs w:val="21"/>
              </w:rPr>
              <w:t>投标有效期</w:t>
            </w:r>
          </w:p>
        </w:tc>
        <w:tc>
          <w:tcPr>
            <w:tcW w:w="6445" w:type="dxa"/>
            <w:tcBorders>
              <w:bottom w:val="single" w:color="auto" w:sz="4" w:space="0"/>
            </w:tcBorders>
            <w:vAlign w:val="center"/>
          </w:tcPr>
          <w:p>
            <w:pPr>
              <w:adjustRightInd w:val="0"/>
              <w:snapToGrid w:val="0"/>
              <w:spacing w:before="156" w:beforeLines="50" w:line="360" w:lineRule="auto"/>
              <w:rPr>
                <w:rFonts w:ascii="宋体" w:hAnsi="宋体" w:cs="宋体"/>
              </w:rPr>
            </w:pPr>
            <w:r>
              <w:rPr>
                <w:rFonts w:hint="eastAsia" w:ascii="宋体" w:hAnsi="宋体" w:cs="宋体"/>
                <w:szCs w:val="21"/>
                <w:u w:val="single"/>
              </w:rPr>
              <w:t>90</w:t>
            </w:r>
            <w:r>
              <w:rPr>
                <w:rFonts w:hint="eastAsia" w:ascii="宋体" w:hAnsi="宋体" w:cs="宋体"/>
                <w:szCs w:val="21"/>
              </w:rPr>
              <w:t>日（日历日）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第22.1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投标文件份数</w:t>
            </w:r>
          </w:p>
        </w:tc>
        <w:tc>
          <w:tcPr>
            <w:tcW w:w="6445" w:type="dxa"/>
            <w:vAlign w:val="center"/>
          </w:tcPr>
          <w:p>
            <w:pPr>
              <w:spacing w:line="276" w:lineRule="auto"/>
              <w:rPr>
                <w:rFonts w:ascii="宋体" w:hAnsi="宋体" w:cs="宋体"/>
                <w:szCs w:val="21"/>
                <w:lang w:val="zh-CN"/>
              </w:rPr>
            </w:pPr>
            <w:r>
              <w:rPr>
                <w:rFonts w:hint="eastAsia" w:ascii="宋体" w:hAnsi="宋体" w:cs="宋体"/>
                <w:szCs w:val="21"/>
                <w:lang w:val="zh-CN"/>
              </w:rPr>
              <w:t>投标文件正本壹份，副本陆份，电子文档（U盘，包括投标文件全部内容）壹份；</w:t>
            </w:r>
          </w:p>
          <w:p>
            <w:pPr>
              <w:spacing w:line="276" w:lineRule="auto"/>
              <w:rPr>
                <w:rFonts w:ascii="宋体" w:hAnsi="宋体" w:cs="宋体"/>
                <w:szCs w:val="21"/>
                <w:lang w:val="zh-CN"/>
              </w:rPr>
            </w:pPr>
            <w:r>
              <w:rPr>
                <w:rFonts w:hint="eastAsia" w:ascii="宋体" w:hAnsi="宋体" w:cs="宋体"/>
                <w:szCs w:val="21"/>
                <w:lang w:val="zh-CN"/>
              </w:rPr>
              <w:t>投标文件副本由其正本复制（复印）而成（包括证明文件）。当副本和正本不一致时，以正本为准，但副本和正本内容不一致造成的评标差错由投标人自行承担。</w:t>
            </w:r>
          </w:p>
          <w:p>
            <w:pPr>
              <w:spacing w:line="276" w:lineRule="auto"/>
              <w:rPr>
                <w:rFonts w:ascii="宋体" w:hAnsi="宋体" w:cs="宋体"/>
                <w:szCs w:val="21"/>
              </w:rPr>
            </w:pPr>
            <w:r>
              <w:rPr>
                <w:rFonts w:hint="eastAsia" w:ascii="宋体" w:hAnsi="宋体" w:cs="宋体"/>
                <w:b/>
                <w:bCs/>
                <w:szCs w:val="21"/>
              </w:rPr>
              <w:t>投标人投标文件包括</w:t>
            </w:r>
            <w:r>
              <w:rPr>
                <w:rFonts w:hint="eastAsia" w:ascii="宋体" w:hAnsi="宋体" w:cs="宋体"/>
                <w:b/>
                <w:bCs/>
                <w:szCs w:val="21"/>
                <w:lang w:val="zh-CN"/>
              </w:rPr>
              <w:t>正本壹份，副本陆份，电子文档（U盘，包括投标文件全部内容）壹份</w:t>
            </w:r>
          </w:p>
          <w:p>
            <w:pPr>
              <w:adjustRightInd w:val="0"/>
              <w:snapToGrid w:val="0"/>
              <w:spacing w:before="156" w:beforeLines="50" w:line="360" w:lineRule="auto"/>
              <w:rPr>
                <w:rFonts w:ascii="宋体" w:hAnsi="宋体" w:cs="宋体"/>
                <w:szCs w:val="21"/>
                <w:u w:val="single"/>
              </w:rPr>
            </w:pPr>
            <w:r>
              <w:rPr>
                <w:rFonts w:hint="eastAsia" w:ascii="宋体" w:hAnsi="宋体" w:cs="宋体"/>
                <w:szCs w:val="21"/>
              </w:rPr>
              <w:t>注：投标文件、电子文档不退。</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9465" w:type="dxa"/>
            <w:gridSpan w:val="3"/>
            <w:vAlign w:val="center"/>
          </w:tcPr>
          <w:p>
            <w:pPr>
              <w:adjustRightInd w:val="0"/>
              <w:snapToGrid w:val="0"/>
              <w:spacing w:before="156" w:beforeLines="50" w:line="360" w:lineRule="auto"/>
              <w:rPr>
                <w:rFonts w:ascii="宋体" w:hAnsi="宋体" w:cs="宋体"/>
                <w:b/>
                <w:bCs/>
                <w:szCs w:val="21"/>
              </w:rPr>
            </w:pPr>
            <w:r>
              <w:rPr>
                <w:rFonts w:hint="eastAsia" w:ascii="宋体" w:hAnsi="宋体" w:cs="宋体"/>
                <w:b/>
                <w:szCs w:val="21"/>
              </w:rPr>
              <w:t>四、投标文件的递交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第23.1款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投标文件的包装与密封</w:t>
            </w:r>
          </w:p>
        </w:tc>
        <w:tc>
          <w:tcPr>
            <w:tcW w:w="6445" w:type="dxa"/>
            <w:vAlign w:val="center"/>
          </w:tcPr>
          <w:p>
            <w:pPr>
              <w:adjustRightInd w:val="0"/>
              <w:snapToGrid w:val="0"/>
              <w:spacing w:before="156" w:beforeLines="50" w:line="360" w:lineRule="auto"/>
              <w:ind w:firstLine="210" w:firstLineChars="100"/>
              <w:rPr>
                <w:rFonts w:ascii="宋体" w:hAnsi="宋体" w:cs="宋体"/>
                <w:szCs w:val="21"/>
              </w:rPr>
            </w:pPr>
            <w:r>
              <w:rPr>
                <w:rFonts w:hint="eastAsia" w:ascii="宋体" w:hAnsi="宋体" w:cs="宋体"/>
                <w:szCs w:val="21"/>
              </w:rPr>
              <w:t>按正本和副本分别包装，注明“正本”或“副本”，加贴封条，并在封套的封口处加盖投标人单位章或由法定代表人或其授权的代理人签字。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675"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第23.2</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封套上应载明的信息</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u w:val="single"/>
              </w:rPr>
              <w:t xml:space="preserve">      (项目名称)             </w:t>
            </w:r>
            <w:r>
              <w:rPr>
                <w:rFonts w:hint="eastAsia" w:ascii="宋体" w:hAnsi="宋体" w:cs="宋体"/>
                <w:szCs w:val="21"/>
              </w:rPr>
              <w:t xml:space="preserve">投标文件  </w:t>
            </w:r>
          </w:p>
          <w:p>
            <w:pPr>
              <w:adjustRightInd w:val="0"/>
              <w:snapToGrid w:val="0"/>
              <w:spacing w:before="156" w:beforeLines="50" w:line="360" w:lineRule="auto"/>
              <w:rPr>
                <w:rFonts w:ascii="宋体" w:hAnsi="宋体" w:cs="宋体"/>
                <w:szCs w:val="21"/>
              </w:rPr>
            </w:pP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投标人地址：</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在</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 xml:space="preserve"> 时</w:t>
            </w:r>
            <w:r>
              <w:rPr>
                <w:rFonts w:hint="eastAsia" w:ascii="宋体" w:hAnsi="宋体" w:cs="宋体"/>
                <w:szCs w:val="21"/>
                <w:u w:val="single"/>
              </w:rPr>
              <w:t xml:space="preserve">  </w:t>
            </w:r>
            <w:r>
              <w:rPr>
                <w:rFonts w:hint="eastAsia" w:ascii="宋体" w:hAnsi="宋体" w:cs="宋体"/>
                <w:szCs w:val="21"/>
              </w:rPr>
              <w:t xml:space="preserve">分之前不得启封 </w:t>
            </w:r>
            <w:r>
              <w:rPr>
                <w:rFonts w:hint="eastAsia" w:ascii="宋体" w:hAnsi="宋体" w:cs="宋体"/>
                <w:szCs w:val="21"/>
                <w:u w:val="single"/>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第23.4</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开标一览表的递交</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为方便开标唱标,投标人应将开标一览表另制一份单独用一小密封袋密封,并在小密封袋上标明开标一览表字样,电子文件放入小密封袋与投标文件同时递交。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2"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第24.1款</w:t>
            </w:r>
          </w:p>
        </w:tc>
        <w:tc>
          <w:tcPr>
            <w:tcW w:w="1599" w:type="dxa"/>
            <w:vAlign w:val="center"/>
          </w:tcPr>
          <w:p>
            <w:r>
              <w:rPr>
                <w:rFonts w:hint="eastAsia"/>
              </w:rPr>
              <w:t>提交投标文件截止时间</w:t>
            </w:r>
          </w:p>
        </w:tc>
        <w:tc>
          <w:tcPr>
            <w:tcW w:w="6445" w:type="dxa"/>
            <w:vAlign w:val="center"/>
          </w:tcPr>
          <w:p>
            <w:pPr>
              <w:rPr>
                <w:b/>
                <w:bCs/>
              </w:rPr>
            </w:pPr>
            <w:r>
              <w:rPr>
                <w:rFonts w:hint="eastAsia"/>
                <w:b/>
                <w:bCs/>
              </w:rPr>
              <w:t>时 间：</w:t>
            </w:r>
            <w:r>
              <w:rPr>
                <w:b/>
                <w:bCs/>
              </w:rPr>
              <w:t>2023</w:t>
            </w:r>
            <w:r>
              <w:rPr>
                <w:rFonts w:hint="eastAsia"/>
                <w:b/>
                <w:bCs/>
              </w:rPr>
              <w:t>年</w:t>
            </w:r>
            <w:r>
              <w:rPr>
                <w:rFonts w:hint="eastAsia"/>
                <w:b/>
                <w:bCs/>
                <w:lang w:val="en-US" w:eastAsia="zh-CN"/>
              </w:rPr>
              <w:t>05</w:t>
            </w:r>
            <w:r>
              <w:rPr>
                <w:rFonts w:hint="eastAsia"/>
                <w:b/>
                <w:bCs/>
              </w:rPr>
              <w:t>月</w:t>
            </w:r>
            <w:r>
              <w:rPr>
                <w:rFonts w:hint="eastAsia"/>
                <w:b/>
                <w:bCs/>
                <w:lang w:val="en-US" w:eastAsia="zh-CN"/>
              </w:rPr>
              <w:t>16</w:t>
            </w:r>
            <w:r>
              <w:rPr>
                <w:rFonts w:hint="eastAsia"/>
                <w:b/>
                <w:bCs/>
              </w:rPr>
              <w:t>日09时00分（北京时间）</w:t>
            </w:r>
          </w:p>
          <w:p>
            <w:r>
              <w:rPr>
                <w:rFonts w:hint="eastAsia"/>
              </w:rPr>
              <w:t>地 点：同递交投标文件地点</w:t>
            </w:r>
          </w:p>
          <w:p>
            <w:pPr>
              <w:rPr>
                <w:rFonts w:hint="eastAsia" w:eastAsia="宋体"/>
                <w:lang w:eastAsia="zh-CN"/>
              </w:rPr>
            </w:pPr>
            <w:r>
              <w:rPr>
                <w:rFonts w:hint="eastAsia"/>
                <w:b/>
                <w:bCs/>
              </w:rPr>
              <w:t>开标时对投标代表身份进行核实</w:t>
            </w:r>
            <w:r>
              <w:rPr>
                <w:rFonts w:hint="eastAsia"/>
                <w:b/>
                <w:bCs/>
                <w:lang w:val="en-US" w:eastAsia="zh-CN"/>
              </w:rPr>
              <w:t>,需提供</w:t>
            </w:r>
            <w:r>
              <w:rPr>
                <w:rFonts w:hint="eastAsia" w:ascii="Times New Roman" w:hAnsi="Times New Roman" w:eastAsia="宋体" w:cs="Times New Roman"/>
                <w:b/>
                <w:bCs/>
                <w:lang w:val="en-US" w:eastAsia="zh-CN"/>
              </w:rPr>
              <w:t>个人身份证原件、法定代表人身份证明(或者授权委托书并附法定代表人身份证明)</w:t>
            </w:r>
            <w:r>
              <w:rPr>
                <w:rFonts w:hint="eastAsia"/>
                <w:b/>
                <w:bCs/>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第24.2款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投标文件的递交地点</w:t>
            </w:r>
          </w:p>
        </w:tc>
        <w:tc>
          <w:tcPr>
            <w:tcW w:w="6445" w:type="dxa"/>
            <w:vAlign w:val="center"/>
          </w:tcPr>
          <w:p>
            <w:pPr>
              <w:adjustRightInd w:val="0"/>
              <w:snapToGrid w:val="0"/>
              <w:spacing w:before="156" w:beforeLines="50" w:line="360" w:lineRule="auto"/>
              <w:rPr>
                <w:rFonts w:ascii="宋体" w:hAnsi="宋体" w:cs="宋体"/>
              </w:rPr>
            </w:pPr>
            <w:r>
              <w:rPr>
                <w:rFonts w:hint="eastAsia" w:ascii="宋体" w:hAnsi="宋体" w:cs="宋体"/>
                <w:szCs w:val="21"/>
              </w:rPr>
              <w:t>张家界市公共资源交易中心（地址：张家界市子舞路220号，澧滨小学对面）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bCs/>
                <w:szCs w:val="21"/>
              </w:rPr>
              <w:t>五、</w:t>
            </w:r>
            <w:r>
              <w:rPr>
                <w:rFonts w:hint="eastAsia" w:ascii="宋体" w:hAnsi="宋体" w:cs="宋体"/>
                <w:b/>
                <w:szCs w:val="21"/>
              </w:rPr>
              <w:t>开标和评标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第27.3</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其他唱标内容</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投标单位名称、投标报价、交货期、投标保证金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第28.1款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评标委员会成员人数</w:t>
            </w:r>
          </w:p>
        </w:tc>
        <w:tc>
          <w:tcPr>
            <w:tcW w:w="6445" w:type="dxa"/>
            <w:vAlign w:val="center"/>
          </w:tcPr>
          <w:p>
            <w:pPr>
              <w:spacing w:line="276" w:lineRule="auto"/>
              <w:rPr>
                <w:rFonts w:ascii="宋体" w:hAnsi="宋体" w:cs="宋体"/>
                <w:szCs w:val="21"/>
                <w:u w:val="single"/>
              </w:rPr>
            </w:pPr>
            <w:r>
              <w:rPr>
                <w:rFonts w:hint="eastAsia" w:ascii="宋体" w:hAnsi="宋体" w:cs="宋体"/>
                <w:b/>
                <w:bCs/>
                <w:szCs w:val="21"/>
              </w:rPr>
              <w:t>评标委员会成员</w:t>
            </w:r>
            <w:r>
              <w:rPr>
                <w:rFonts w:hint="eastAsia" w:ascii="宋体" w:hAnsi="宋体" w:cs="宋体"/>
                <w:b/>
                <w:bCs/>
                <w:szCs w:val="21"/>
                <w:u w:val="single"/>
              </w:rPr>
              <w:t>7</w:t>
            </w:r>
            <w:r>
              <w:rPr>
                <w:rFonts w:hint="eastAsia" w:ascii="宋体" w:hAnsi="宋体" w:cs="宋体"/>
                <w:b/>
                <w:bCs/>
                <w:szCs w:val="21"/>
              </w:rPr>
              <w:t>人，</w:t>
            </w:r>
            <w:r>
              <w:rPr>
                <w:rFonts w:hint="eastAsia"/>
                <w:b/>
                <w:bCs/>
                <w:szCs w:val="21"/>
              </w:rPr>
              <w:t>其中业主代表</w:t>
            </w:r>
            <w:r>
              <w:rPr>
                <w:rFonts w:hint="eastAsia"/>
                <w:b/>
                <w:bCs/>
                <w:szCs w:val="21"/>
                <w:u w:val="single"/>
              </w:rPr>
              <w:t xml:space="preserve"> 1 </w:t>
            </w:r>
            <w:r>
              <w:rPr>
                <w:rFonts w:hint="eastAsia"/>
                <w:b/>
                <w:bCs/>
                <w:szCs w:val="21"/>
              </w:rPr>
              <w:t>人，专家</w:t>
            </w:r>
            <w:r>
              <w:rPr>
                <w:rFonts w:hint="eastAsia"/>
                <w:b/>
                <w:bCs/>
                <w:szCs w:val="21"/>
                <w:u w:val="single"/>
              </w:rPr>
              <w:t xml:space="preserve"> 6 </w:t>
            </w:r>
            <w:r>
              <w:rPr>
                <w:rFonts w:hint="eastAsia"/>
                <w:b/>
                <w:bCs/>
                <w:szCs w:val="21"/>
              </w:rPr>
              <w:t>人</w:t>
            </w:r>
            <w:r>
              <w:rPr>
                <w:rFonts w:hint="eastAsia"/>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第29.1款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评标办法</w:t>
            </w:r>
          </w:p>
        </w:tc>
        <w:tc>
          <w:tcPr>
            <w:tcW w:w="6445" w:type="dxa"/>
            <w:vAlign w:val="center"/>
          </w:tcPr>
          <w:p>
            <w:pPr>
              <w:adjustRightInd w:val="0"/>
              <w:snapToGrid w:val="0"/>
              <w:spacing w:before="156" w:beforeLines="50" w:line="360" w:lineRule="auto"/>
              <w:rPr>
                <w:rFonts w:ascii="宋体" w:hAnsi="宋体" w:cs="宋体"/>
                <w:szCs w:val="21"/>
              </w:rPr>
            </w:pPr>
            <w:r>
              <w:rPr>
                <w:rFonts w:hint="eastAsia" w:ascii="宋体" w:hAnsi="宋体" w:cs="宋体"/>
                <w:szCs w:val="21"/>
              </w:rPr>
              <w:t>本项目采用综合评分法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65" w:type="dxa"/>
            <w:gridSpan w:val="3"/>
            <w:vAlign w:val="center"/>
          </w:tcPr>
          <w:p>
            <w:pPr>
              <w:adjustRightInd w:val="0"/>
              <w:snapToGrid w:val="0"/>
              <w:spacing w:before="156" w:beforeLines="50" w:line="360" w:lineRule="auto"/>
              <w:rPr>
                <w:rFonts w:ascii="宋体" w:hAnsi="宋体" w:cs="宋体"/>
                <w:szCs w:val="21"/>
              </w:rPr>
            </w:pPr>
            <w:r>
              <w:rPr>
                <w:rFonts w:hint="eastAsia" w:ascii="宋体" w:hAnsi="宋体" w:cs="宋体"/>
                <w:b/>
                <w:szCs w:val="21"/>
              </w:rPr>
              <w:t>七、合同签订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16"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第34.1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履约担保</w:t>
            </w:r>
          </w:p>
        </w:tc>
        <w:tc>
          <w:tcPr>
            <w:tcW w:w="6445" w:type="dxa"/>
            <w:vAlign w:val="center"/>
          </w:tcPr>
          <w:p>
            <w:pPr>
              <w:adjustRightInd w:val="0"/>
              <w:snapToGrid w:val="0"/>
              <w:spacing w:before="156" w:beforeLines="50" w:line="360" w:lineRule="auto"/>
              <w:rPr>
                <w:rFonts w:ascii="宋体"/>
                <w:szCs w:val="21"/>
              </w:rPr>
            </w:pPr>
            <w:r>
              <w:rPr>
                <w:rFonts w:hint="eastAsia" w:ascii="Segoe UI Symbol" w:hAnsi="Segoe UI Symbol" w:cs="Segoe UI Symbol"/>
                <w:szCs w:val="21"/>
                <w:lang w:eastAsia="zh-CN"/>
              </w:rPr>
              <w:t>☑</w:t>
            </w:r>
            <w:r>
              <w:rPr>
                <w:rFonts w:ascii="宋体" w:hAnsi="宋体"/>
                <w:szCs w:val="21"/>
              </w:rPr>
              <w:t xml:space="preserve"> </w:t>
            </w:r>
            <w:r>
              <w:rPr>
                <w:rFonts w:hint="eastAsia" w:ascii="宋体" w:hAnsi="宋体"/>
                <w:szCs w:val="21"/>
              </w:rPr>
              <w:t>不要求提供</w:t>
            </w:r>
          </w:p>
          <w:p>
            <w:pPr>
              <w:spacing w:before="156" w:beforeLines="50" w:line="360" w:lineRule="auto"/>
              <w:rPr>
                <w:rFonts w:ascii="宋体" w:hAnsi="宋体" w:cs="宋体"/>
                <w:iCs/>
                <w:szCs w:val="21"/>
              </w:rPr>
            </w:pPr>
            <w:r>
              <w:rPr>
                <w:rFonts w:hint="eastAsia" w:ascii="Segoe UI Symbol" w:hAnsi="Segoe UI Symbol" w:cs="Segoe UI Symbol"/>
                <w:szCs w:val="21"/>
              </w:rPr>
              <w:t>□</w:t>
            </w:r>
            <w:r>
              <w:rPr>
                <w:rFonts w:ascii="宋体" w:hAnsi="宋体"/>
                <w:szCs w:val="21"/>
              </w:rPr>
              <w:t xml:space="preserve"> </w:t>
            </w:r>
            <w:r>
              <w:rPr>
                <w:rFonts w:hint="eastAsia" w:ascii="宋体" w:hAnsi="宋体"/>
                <w:szCs w:val="21"/>
              </w:rPr>
              <w:t>要求提供，金额为中标价的10</w:t>
            </w:r>
            <w:r>
              <w:rPr>
                <w:rFonts w:hint="eastAsia" w:ascii="宋体" w:hAnsi="宋体" w:cs="宋体"/>
                <w:iCs/>
                <w:szCs w:val="21"/>
              </w:rPr>
              <w:t>%，在双方签订合同一次性转入招标人指定帐户或向招标人出具银行保函。</w:t>
            </w:r>
            <w:r>
              <w:rPr>
                <w:rFonts w:hint="eastAsia" w:ascii="宋体" w:hAnsi="宋体" w:cs="宋体"/>
                <w:szCs w:val="21"/>
              </w:rPr>
              <w:t>经验收合格后凭使用单位开具的证明和收据无息退还。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72" w:hRule="atLeast"/>
        </w:trPr>
        <w:tc>
          <w:tcPr>
            <w:tcW w:w="9465" w:type="dxa"/>
            <w:gridSpan w:val="3"/>
            <w:vAlign w:val="center"/>
          </w:tcPr>
          <w:p>
            <w:pPr>
              <w:adjustRightInd w:val="0"/>
              <w:snapToGrid w:val="0"/>
              <w:spacing w:before="156" w:beforeLines="50" w:line="360" w:lineRule="auto"/>
              <w:rPr>
                <w:rFonts w:ascii="宋体" w:hAnsi="宋体" w:cs="宋体"/>
                <w:b/>
                <w:szCs w:val="21"/>
              </w:rPr>
            </w:pPr>
            <w:r>
              <w:rPr>
                <w:rFonts w:hint="eastAsia" w:ascii="宋体" w:hAnsi="宋体" w:cs="宋体"/>
                <w:b/>
                <w:szCs w:val="21"/>
              </w:rPr>
              <w:t>八、其他规定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7"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第38.1</w:t>
            </w:r>
            <w:r>
              <w:rPr>
                <w:rFonts w:hint="eastAsia" w:ascii="宋体" w:hAnsi="宋体" w:cs="宋体"/>
                <w:kern w:val="0"/>
                <w:szCs w:val="21"/>
                <w:lang w:val="zh-CN"/>
              </w:rPr>
              <w:t>款</w:t>
            </w:r>
          </w:p>
        </w:tc>
        <w:tc>
          <w:tcPr>
            <w:tcW w:w="1599"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招标代理服务费及建设工程交易服务费</w:t>
            </w:r>
          </w:p>
        </w:tc>
        <w:tc>
          <w:tcPr>
            <w:tcW w:w="6445" w:type="dxa"/>
            <w:vAlign w:val="center"/>
          </w:tcPr>
          <w:p>
            <w:pPr>
              <w:numPr>
                <w:ilvl w:val="0"/>
                <w:numId w:val="5"/>
              </w:numPr>
              <w:adjustRightInd w:val="0"/>
              <w:spacing w:line="360" w:lineRule="auto"/>
              <w:rPr>
                <w:rFonts w:ascii="宋体" w:hAnsi="宋体" w:cs="宋体"/>
              </w:rPr>
            </w:pPr>
            <w:r>
              <w:rPr>
                <w:rFonts w:hint="eastAsia" w:ascii="宋体" w:hAnsi="宋体" w:cs="宋体"/>
              </w:rPr>
              <w:t>招标代理费及评标会议费：在领取中标通知书前由中标人一次性支付给招标代理机构。</w:t>
            </w:r>
          </w:p>
          <w:p>
            <w:pPr>
              <w:pStyle w:val="3"/>
              <w:numPr>
                <w:ilvl w:val="0"/>
                <w:numId w:val="5"/>
              </w:numPr>
              <w:spacing w:line="360" w:lineRule="auto"/>
              <w:jc w:val="left"/>
              <w:rPr>
                <w:rFonts w:ascii="宋体" w:hAnsi="宋体" w:cs="宋体"/>
                <w:b w:val="0"/>
                <w:bCs w:val="0"/>
                <w:sz w:val="21"/>
                <w:szCs w:val="24"/>
              </w:rPr>
            </w:pPr>
            <w:r>
              <w:rPr>
                <w:rFonts w:hint="eastAsia" w:ascii="宋体" w:hAnsi="宋体" w:cs="宋体"/>
                <w:b w:val="0"/>
                <w:bCs w:val="0"/>
                <w:sz w:val="21"/>
                <w:szCs w:val="24"/>
              </w:rPr>
              <w:t>交易费服务费：按张家界市公共资源交易中心规定缴纳，中标人在领取中标通知书前须完成张家界市公共资源交易中心交易服务费的缴纳工作。</w:t>
            </w:r>
          </w:p>
          <w:p>
            <w:pPr>
              <w:adjustRightInd w:val="0"/>
              <w:snapToGrid w:val="0"/>
              <w:spacing w:before="156" w:beforeLines="50" w:line="360" w:lineRule="auto"/>
              <w:rPr>
                <w:rFonts w:ascii="宋体" w:hAnsi="宋体" w:cs="宋体"/>
                <w:b/>
                <w:szCs w:val="21"/>
              </w:rPr>
            </w:pPr>
            <w:r>
              <w:rPr>
                <w:rFonts w:hint="eastAsia" w:ascii="宋体" w:hAnsi="宋体" w:cs="宋体"/>
              </w:rPr>
              <w:t>3、应收交易服务费的项目范围和标准按照《湖南省发展和改革委员会关于我省公共资源交易服务收费的通知》（湘发改价费[2019]366号）文件执行，并由公共资源交易中心开具国家规定的票据。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89" w:hRule="atLeast"/>
        </w:trPr>
        <w:tc>
          <w:tcPr>
            <w:tcW w:w="1421"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第39.1</w:t>
            </w:r>
            <w:r>
              <w:rPr>
                <w:rFonts w:hint="eastAsia" w:ascii="宋体" w:hAnsi="宋体" w:cs="宋体"/>
                <w:kern w:val="0"/>
                <w:szCs w:val="21"/>
                <w:lang w:val="zh-CN"/>
              </w:rPr>
              <w:t>款</w:t>
            </w:r>
          </w:p>
        </w:tc>
        <w:tc>
          <w:tcPr>
            <w:tcW w:w="1599" w:type="dxa"/>
            <w:vAlign w:val="center"/>
          </w:tcPr>
          <w:p>
            <w:pPr>
              <w:adjustRightInd w:val="0"/>
              <w:snapToGrid w:val="0"/>
              <w:spacing w:before="156" w:beforeLines="50" w:line="360" w:lineRule="auto"/>
              <w:jc w:val="center"/>
              <w:rPr>
                <w:rFonts w:ascii="宋体" w:hAnsi="宋体" w:cs="宋体"/>
                <w:szCs w:val="21"/>
              </w:rPr>
            </w:pPr>
            <w:r>
              <w:rPr>
                <w:rFonts w:hint="eastAsia" w:ascii="宋体" w:hAnsi="宋体" w:cs="宋体"/>
              </w:rPr>
              <w:t>其他规定</w:t>
            </w:r>
          </w:p>
        </w:tc>
        <w:tc>
          <w:tcPr>
            <w:tcW w:w="6445" w:type="dxa"/>
            <w:vAlign w:val="center"/>
          </w:tcPr>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 xml:space="preserve"> （1）招标代理服务费，此项费用投标人应计算在其报价中，不额外列项。</w:t>
            </w:r>
          </w:p>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（2）投标文件中必须提供招标公告中所要求的资质证件的复印件并加盖投标单位公章。</w:t>
            </w:r>
          </w:p>
          <w:p>
            <w:pPr>
              <w:spacing w:before="156" w:beforeLines="50" w:line="360" w:lineRule="exact"/>
              <w:rPr>
                <w:rFonts w:ascii="宋体" w:hAnsi="宋体" w:cs="宋体"/>
              </w:rPr>
            </w:pPr>
            <w:r>
              <w:rPr>
                <w:rFonts w:hint="eastAsia" w:ascii="宋体" w:hAnsi="宋体" w:cs="宋体"/>
              </w:rPr>
              <w:t>（3）若有相同总分（并列第一名）的投标人时，则以投标报价低的投标人优先，若总分相同且报价也相同时，以技术得分高的投标人优先。若总分相同、报价相同且技术得分也相同时则按抽签决定排名顺序。</w:t>
            </w:r>
          </w:p>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（4）如果非乙方原因和责任造成废标，则第一次开标费用全部计入成本，由投标人计入报价中。</w:t>
            </w:r>
          </w:p>
          <w:p>
            <w:pPr>
              <w:widowControl/>
              <w:tabs>
                <w:tab w:val="left" w:pos="828"/>
                <w:tab w:val="left" w:pos="1571"/>
                <w:tab w:val="left" w:pos="2291"/>
              </w:tabs>
              <w:spacing w:before="156" w:beforeLines="50" w:line="360" w:lineRule="exact"/>
              <w:jc w:val="left"/>
              <w:rPr>
                <w:rFonts w:ascii="宋体" w:hAnsi="宋体" w:cs="宋体"/>
              </w:rPr>
            </w:pPr>
            <w:r>
              <w:rPr>
                <w:rFonts w:hint="eastAsia" w:ascii="宋体" w:hAnsi="宋体" w:cs="宋体"/>
              </w:rPr>
              <w:t>（5）本文规定按日计算期间的，开始当天不计入，从次日开始计算，期限最后一日是国家法定节假日的，顺延到节假日后的次日为期限的最后一日。</w:t>
            </w:r>
          </w:p>
          <w:p>
            <w:pPr>
              <w:widowControl/>
              <w:tabs>
                <w:tab w:val="left" w:pos="828"/>
                <w:tab w:val="left" w:pos="1571"/>
                <w:tab w:val="left" w:pos="2291"/>
              </w:tabs>
              <w:spacing w:before="156" w:beforeLines="50" w:line="360" w:lineRule="auto"/>
              <w:jc w:val="left"/>
              <w:rPr>
                <w:rFonts w:ascii="宋体" w:hAnsi="宋体" w:cs="宋体"/>
                <w:b/>
                <w:spacing w:val="-2"/>
                <w:kern w:val="0"/>
                <w:szCs w:val="21"/>
              </w:rPr>
            </w:pPr>
            <w:r>
              <w:rPr>
                <w:rFonts w:hint="eastAsia" w:ascii="宋体" w:hAnsi="宋体" w:cs="宋体"/>
              </w:rPr>
              <w:t xml:space="preserve"> （6）本文件所称的“以上”、“以下”、“内”、“以内”，包括本数（或本级）；所称的“不足”、“超过”，不包括本数。</w:t>
            </w:r>
          </w:p>
        </w:tc>
      </w:tr>
    </w:tbl>
    <w:p>
      <w:pPr>
        <w:pStyle w:val="3"/>
        <w:spacing w:line="600" w:lineRule="exact"/>
        <w:rPr>
          <w:rFonts w:ascii="宋体" w:hAnsi="宋体" w:cs="宋体"/>
          <w:sz w:val="32"/>
        </w:rPr>
      </w:pPr>
      <w:r>
        <w:rPr>
          <w:rFonts w:hint="eastAsia" w:ascii="宋体" w:hAnsi="宋体" w:cs="宋体"/>
          <w:b w:val="0"/>
          <w:sz w:val="32"/>
        </w:rPr>
        <w:br w:type="page"/>
      </w:r>
      <w:r>
        <w:rPr>
          <w:rFonts w:hint="eastAsia" w:ascii="宋体" w:hAnsi="宋体" w:cs="宋体"/>
          <w:sz w:val="32"/>
        </w:rPr>
        <w:t>投标人须知</w:t>
      </w:r>
    </w:p>
    <w:p>
      <w:pPr>
        <w:pStyle w:val="5"/>
        <w:spacing w:before="0" w:after="0" w:line="360" w:lineRule="auto"/>
        <w:rPr>
          <w:rFonts w:ascii="宋体" w:hAnsi="宋体" w:cs="宋体"/>
          <w:sz w:val="21"/>
          <w:szCs w:val="21"/>
        </w:rPr>
      </w:pPr>
      <w:r>
        <w:rPr>
          <w:rFonts w:hint="eastAsia" w:ascii="宋体" w:hAnsi="宋体" w:cs="宋体"/>
          <w:sz w:val="21"/>
          <w:szCs w:val="21"/>
        </w:rPr>
        <w:t>一、说明</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1.适用范围</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1.1本招标文件仅适用于本次招标项目。本招标项目名称见</w:t>
      </w:r>
      <w:r>
        <w:rPr>
          <w:rFonts w:hint="eastAsia" w:ascii="宋体" w:hAnsi="宋体" w:cs="宋体"/>
          <w:b/>
          <w:bCs/>
          <w:szCs w:val="21"/>
        </w:rPr>
        <w:t>投标人须知前附表。</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2.定义</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2.1 本招标项目招标人名称、地址、电话、联系人见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2.2 “招标代理机构”系指接受招标人委托，代理本招标项目的招标的招标代理机构。本招标项目招标代理机构名称、地址、电话、联系人见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2.3 “投标人”系指响应招标、参加投标竞争的法人、其他组织或者自然人。</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3.投标人的资格要求</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3.1</w:t>
      </w:r>
      <w:r>
        <w:rPr>
          <w:rFonts w:hint="eastAsia" w:ascii="宋体" w:hAnsi="宋体" w:cs="宋体"/>
          <w:kern w:val="0"/>
          <w:szCs w:val="21"/>
          <w:lang w:val="zh-CN"/>
        </w:rPr>
        <w:t>投标人应当符合</w:t>
      </w:r>
      <w:r>
        <w:rPr>
          <w:rFonts w:hint="eastAsia" w:ascii="宋体" w:hAnsi="宋体" w:cs="宋体"/>
          <w:b/>
          <w:szCs w:val="21"/>
        </w:rPr>
        <w:t>投标人须知前附表</w:t>
      </w:r>
      <w:r>
        <w:rPr>
          <w:rFonts w:hint="eastAsia" w:ascii="宋体" w:hAnsi="宋体" w:cs="宋体"/>
          <w:szCs w:val="21"/>
        </w:rPr>
        <w:t>中规定的投标人下列资格条件要求；</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3.2投标人不得存在下列情形之一：</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（l）与招标人或招标代理机构存在隶属关系或者其他利害关系。</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（2）投标人或者其法定代表人、董事、监事、高级管理人员因经营活动中的违法行为受到行政处罚，但警告和罚款额在三万元以下的行政处罚除外；</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（3）投标人或者其法定代表人、董事、监事、高级管理人员因经营活动中的违法行为受到刑事处罚。</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3.3法定代表人或者负责人为同一人或者存在控股、管理关系的两个以上投标人，不得参加同一招标项目投标。</w:t>
      </w:r>
    </w:p>
    <w:p>
      <w:pPr>
        <w:adjustRightInd w:val="0"/>
        <w:snapToGrid w:val="0"/>
        <w:spacing w:before="156" w:beforeLines="50" w:line="360" w:lineRule="auto"/>
        <w:ind w:left="632" w:hanging="630" w:hangingChars="300"/>
        <w:rPr>
          <w:rFonts w:ascii="宋体" w:hAnsi="宋体" w:cs="宋体"/>
          <w:b/>
          <w:bCs/>
          <w:szCs w:val="21"/>
        </w:rPr>
      </w:pPr>
      <w:r>
        <w:rPr>
          <w:rFonts w:hint="eastAsia" w:ascii="宋体" w:hAnsi="宋体" w:cs="宋体"/>
          <w:b/>
          <w:bCs/>
          <w:szCs w:val="21"/>
        </w:rPr>
        <w:t xml:space="preserve">4.投标费用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4.1投标人应自行承担所有参与投标的相关费用，不论投标的结果如何，招标人或者招标代理机构均无义务和责任承担这些费用。</w:t>
      </w:r>
    </w:p>
    <w:p>
      <w:pPr>
        <w:pStyle w:val="17"/>
        <w:adjustRightInd w:val="0"/>
        <w:snapToGrid w:val="0"/>
        <w:spacing w:before="156" w:beforeLines="50" w:line="360" w:lineRule="auto"/>
        <w:rPr>
          <w:rFonts w:hAnsi="宋体" w:cs="宋体"/>
          <w:b/>
          <w:bCs/>
        </w:rPr>
      </w:pPr>
      <w:r>
        <w:rPr>
          <w:rFonts w:hint="eastAsia" w:hAnsi="宋体" w:cs="宋体"/>
          <w:b/>
          <w:bCs/>
        </w:rPr>
        <w:t>5.授权委托</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5.1投标人代表若不是投标人的法定代表人，应持有授权委托书，并附法定代表人身份证明。</w:t>
      </w:r>
    </w:p>
    <w:p>
      <w:pPr>
        <w:pStyle w:val="17"/>
        <w:adjustRightInd w:val="0"/>
        <w:snapToGrid w:val="0"/>
        <w:spacing w:before="156" w:beforeLines="50" w:line="360" w:lineRule="auto"/>
        <w:rPr>
          <w:rFonts w:hAnsi="宋体" w:cs="宋体"/>
          <w:b/>
        </w:rPr>
      </w:pPr>
      <w:r>
        <w:rPr>
          <w:rFonts w:hint="eastAsia" w:hAnsi="宋体" w:cs="宋体"/>
          <w:b/>
        </w:rPr>
        <w:t>6．联合体投标</w:t>
      </w:r>
    </w:p>
    <w:p>
      <w:pPr>
        <w:pStyle w:val="17"/>
        <w:adjustRightInd w:val="0"/>
        <w:snapToGrid w:val="0"/>
        <w:spacing w:before="156" w:beforeLines="50" w:line="360" w:lineRule="auto"/>
        <w:ind w:firstLine="420" w:firstLineChars="200"/>
        <w:rPr>
          <w:rFonts w:hAnsi="宋体" w:cs="宋体"/>
        </w:rPr>
      </w:pPr>
      <w:r>
        <w:rPr>
          <w:rFonts w:hint="eastAsia" w:hAnsi="宋体" w:cs="宋体"/>
        </w:rPr>
        <w:t>6.1招标人或者招标代理机构应当根据招标项目的实施要求，在招标公告或者投标邀请书中载明是否接受联合体投标，如未载明，不得拒绝联合体投标。本项目是否接受联合体投标见</w:t>
      </w:r>
      <w:r>
        <w:rPr>
          <w:rFonts w:hint="eastAsia" w:hAnsi="宋体" w:cs="宋体"/>
          <w:b/>
          <w:bCs/>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6.2投标人以联合体形式投标，除应符合本章第3.2款、第3.3款规定外，还应遵守以下规定：</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（l）联合体各方应按招标文件提供的格式签订联合体协议书，明确联合体牵头人和各方的权利义务、合同工作量比例；</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（2）联合体各方均应当符合本章第3.1款规定的投标人资格条件；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（3）联合体中有同类资质的投标人按照联合体分工承担相同工作的，应当按照资质等级较低的投标人确定资质等级。</w:t>
      </w:r>
    </w:p>
    <w:p>
      <w:pPr>
        <w:pStyle w:val="5"/>
        <w:spacing w:before="312" w:beforeLines="100" w:after="0" w:line="360" w:lineRule="auto"/>
        <w:rPr>
          <w:rFonts w:ascii="宋体" w:hAnsi="宋体" w:cs="宋体"/>
          <w:sz w:val="21"/>
          <w:szCs w:val="21"/>
        </w:rPr>
      </w:pPr>
      <w:r>
        <w:rPr>
          <w:rFonts w:hint="eastAsia" w:ascii="宋体" w:hAnsi="宋体" w:cs="宋体"/>
          <w:sz w:val="21"/>
          <w:szCs w:val="21"/>
        </w:rPr>
        <w:t>二、招标文件</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7.招标文件的构成</w:t>
      </w:r>
    </w:p>
    <w:p>
      <w:pPr>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szCs w:val="21"/>
        </w:rPr>
        <w:t>7.1</w:t>
      </w:r>
      <w:r>
        <w:rPr>
          <w:rFonts w:hint="eastAsia" w:ascii="宋体" w:hAnsi="宋体" w:cs="宋体"/>
          <w:kern w:val="0"/>
          <w:szCs w:val="21"/>
        </w:rPr>
        <w:t>招标文件共分六章，各章分别包括以下主要内容</w:t>
      </w:r>
      <w:r>
        <w:rPr>
          <w:rFonts w:hint="eastAsia" w:ascii="宋体" w:hAnsi="宋体" w:cs="宋体"/>
          <w:szCs w:val="21"/>
        </w:rPr>
        <w:t>：</w:t>
      </w:r>
    </w:p>
    <w:p>
      <w:pPr>
        <w:widowControl/>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第一</w:t>
      </w:r>
      <w:r>
        <w:rPr>
          <w:rFonts w:hint="eastAsia" w:ascii="宋体" w:hAnsi="宋体" w:cs="宋体"/>
          <w:szCs w:val="21"/>
        </w:rPr>
        <w:t>章  招标公告</w:t>
      </w:r>
      <w:r>
        <w:rPr>
          <w:rFonts w:hint="eastAsia" w:ascii="宋体" w:hAnsi="宋体" w:cs="宋体"/>
          <w:kern w:val="0"/>
          <w:szCs w:val="21"/>
        </w:rPr>
        <w:t>；</w:t>
      </w:r>
    </w:p>
    <w:p>
      <w:pPr>
        <w:widowControl/>
        <w:spacing w:before="156" w:beforeLines="50" w:line="360" w:lineRule="auto"/>
        <w:ind w:firstLine="420" w:firstLineChars="200"/>
        <w:jc w:val="left"/>
        <w:rPr>
          <w:rFonts w:ascii="宋体" w:hAnsi="宋体" w:cs="宋体"/>
          <w:kern w:val="0"/>
          <w:szCs w:val="21"/>
        </w:rPr>
      </w:pPr>
      <w:r>
        <w:rPr>
          <w:rFonts w:hint="eastAsia" w:ascii="宋体" w:hAnsi="宋体" w:cs="宋体"/>
          <w:szCs w:val="21"/>
        </w:rPr>
        <w:t xml:space="preserve">第二章  </w:t>
      </w:r>
      <w:r>
        <w:rPr>
          <w:rFonts w:hint="eastAsia" w:ascii="宋体" w:hAnsi="宋体" w:cs="宋体"/>
          <w:kern w:val="0"/>
          <w:szCs w:val="21"/>
        </w:rPr>
        <w:t>投标人须知</w:t>
      </w:r>
      <w:r>
        <w:rPr>
          <w:rFonts w:hint="eastAsia" w:ascii="宋体" w:hAnsi="宋体" w:cs="宋体"/>
          <w:szCs w:val="21"/>
        </w:rPr>
        <w:t>；</w:t>
      </w:r>
    </w:p>
    <w:p>
      <w:pPr>
        <w:widowControl/>
        <w:spacing w:before="156" w:beforeLines="50" w:line="360" w:lineRule="auto"/>
        <w:ind w:firstLine="420" w:firstLineChars="200"/>
        <w:jc w:val="left"/>
        <w:rPr>
          <w:rFonts w:ascii="宋体" w:hAnsi="宋体" w:cs="宋体"/>
          <w:szCs w:val="21"/>
        </w:rPr>
      </w:pPr>
      <w:r>
        <w:rPr>
          <w:rFonts w:hint="eastAsia" w:ascii="宋体" w:hAnsi="宋体" w:cs="宋体"/>
          <w:szCs w:val="21"/>
        </w:rPr>
        <w:t xml:space="preserve">第三章  </w:t>
      </w:r>
      <w:r>
        <w:rPr>
          <w:rFonts w:hint="eastAsia" w:ascii="宋体" w:hAnsi="宋体" w:cs="宋体"/>
          <w:kern w:val="0"/>
          <w:szCs w:val="21"/>
        </w:rPr>
        <w:t>评标方法、评标标准；</w:t>
      </w:r>
    </w:p>
    <w:p>
      <w:pPr>
        <w:widowControl/>
        <w:spacing w:before="156" w:beforeLines="50" w:line="360" w:lineRule="auto"/>
        <w:ind w:firstLine="420" w:firstLineChars="200"/>
        <w:jc w:val="left"/>
        <w:rPr>
          <w:rFonts w:ascii="宋体" w:hAnsi="宋体" w:cs="宋体"/>
          <w:kern w:val="0"/>
          <w:szCs w:val="21"/>
        </w:rPr>
      </w:pPr>
      <w:r>
        <w:rPr>
          <w:rFonts w:hint="eastAsia" w:ascii="宋体" w:hAnsi="宋体" w:cs="宋体"/>
          <w:szCs w:val="21"/>
        </w:rPr>
        <w:t>第四章  合同格式条款</w:t>
      </w:r>
      <w:r>
        <w:rPr>
          <w:rFonts w:hint="eastAsia" w:ascii="宋体" w:hAnsi="宋体" w:cs="宋体"/>
          <w:kern w:val="0"/>
          <w:szCs w:val="21"/>
        </w:rPr>
        <w:t>；</w:t>
      </w:r>
    </w:p>
    <w:p>
      <w:pPr>
        <w:widowControl/>
        <w:spacing w:before="156" w:beforeLines="50" w:line="360" w:lineRule="auto"/>
        <w:ind w:firstLine="420" w:firstLineChars="200"/>
        <w:jc w:val="left"/>
        <w:rPr>
          <w:rFonts w:ascii="宋体" w:hAnsi="宋体" w:cs="宋体"/>
          <w:szCs w:val="21"/>
        </w:rPr>
      </w:pPr>
      <w:r>
        <w:rPr>
          <w:rFonts w:hint="eastAsia" w:ascii="宋体" w:hAnsi="宋体" w:cs="宋体"/>
          <w:szCs w:val="21"/>
        </w:rPr>
        <w:t>第五章  招标采购内容及要求</w:t>
      </w:r>
      <w:r>
        <w:rPr>
          <w:rFonts w:hint="eastAsia" w:ascii="宋体" w:hAnsi="宋体" w:cs="宋体"/>
          <w:kern w:val="0"/>
          <w:szCs w:val="21"/>
        </w:rPr>
        <w:t>；</w:t>
      </w:r>
    </w:p>
    <w:p>
      <w:pPr>
        <w:widowControl/>
        <w:spacing w:before="156" w:beforeLines="50" w:line="360" w:lineRule="auto"/>
        <w:ind w:firstLine="420" w:firstLineChars="200"/>
        <w:jc w:val="left"/>
        <w:rPr>
          <w:rFonts w:ascii="宋体" w:hAnsi="宋体" w:cs="宋体"/>
          <w:szCs w:val="21"/>
        </w:rPr>
      </w:pPr>
      <w:r>
        <w:rPr>
          <w:rFonts w:hint="eastAsia" w:ascii="宋体" w:hAnsi="宋体" w:cs="宋体"/>
          <w:kern w:val="0"/>
          <w:szCs w:val="21"/>
        </w:rPr>
        <w:t>第六</w:t>
      </w:r>
      <w:r>
        <w:rPr>
          <w:rFonts w:hint="eastAsia" w:ascii="宋体" w:hAnsi="宋体" w:cs="宋体"/>
          <w:szCs w:val="21"/>
        </w:rPr>
        <w:t>章  投标文件的组成；</w:t>
      </w:r>
    </w:p>
    <w:p>
      <w:pPr>
        <w:pStyle w:val="17"/>
        <w:adjustRightInd w:val="0"/>
        <w:snapToGrid w:val="0"/>
        <w:spacing w:before="156" w:beforeLines="50" w:line="360" w:lineRule="auto"/>
        <w:rPr>
          <w:rFonts w:hAnsi="宋体" w:cs="宋体"/>
          <w:b/>
        </w:rPr>
      </w:pPr>
      <w:r>
        <w:rPr>
          <w:rFonts w:hint="eastAsia" w:hAnsi="宋体" w:cs="宋体"/>
          <w:b/>
        </w:rPr>
        <w:t>8.招标文件的提供期限</w:t>
      </w:r>
    </w:p>
    <w:p>
      <w:pPr>
        <w:pStyle w:val="17"/>
        <w:adjustRightInd w:val="0"/>
        <w:snapToGrid w:val="0"/>
        <w:spacing w:before="156" w:beforeLines="50" w:line="360" w:lineRule="auto"/>
        <w:ind w:firstLine="420" w:firstLineChars="200"/>
        <w:rPr>
          <w:rFonts w:hAnsi="宋体" w:cs="宋体"/>
        </w:rPr>
      </w:pPr>
      <w:r>
        <w:rPr>
          <w:rFonts w:hint="eastAsia" w:hAnsi="宋体" w:cs="宋体"/>
        </w:rPr>
        <w:t>8.1招标文件的提供期限自开始发出之日起不得少于五个工作日。本项目具体提供期限见</w:t>
      </w:r>
      <w:r>
        <w:rPr>
          <w:rFonts w:hint="eastAsia" w:hAnsi="宋体" w:cs="宋体"/>
          <w:b/>
        </w:rPr>
        <w:t>投标人须知前附表</w:t>
      </w:r>
      <w:r>
        <w:rPr>
          <w:rFonts w:hint="eastAsia" w:hAnsi="宋体" w:cs="宋体"/>
        </w:rPr>
        <w:t>。</w:t>
      </w:r>
    </w:p>
    <w:p>
      <w:pPr>
        <w:pStyle w:val="17"/>
        <w:adjustRightInd w:val="0"/>
        <w:snapToGrid w:val="0"/>
        <w:spacing w:before="156" w:beforeLines="50" w:line="360" w:lineRule="auto"/>
        <w:ind w:firstLine="420" w:firstLineChars="200"/>
        <w:rPr>
          <w:rFonts w:hAnsi="宋体" w:cs="宋体"/>
        </w:rPr>
      </w:pPr>
      <w:r>
        <w:rPr>
          <w:rFonts w:hint="eastAsia" w:hAnsi="宋体" w:cs="宋体"/>
        </w:rPr>
        <w:t>8.2投标人应持</w:t>
      </w:r>
      <w:r>
        <w:rPr>
          <w:rFonts w:hint="eastAsia" w:hAnsi="宋体" w:cs="宋体"/>
          <w:b/>
        </w:rPr>
        <w:t>投标人须知前附表</w:t>
      </w:r>
      <w:r>
        <w:rPr>
          <w:rFonts w:hint="eastAsia" w:hAnsi="宋体" w:cs="宋体"/>
        </w:rPr>
        <w:t>规定的资料购买招标文件。</w:t>
      </w:r>
    </w:p>
    <w:p>
      <w:pPr>
        <w:pStyle w:val="17"/>
        <w:adjustRightInd w:val="0"/>
        <w:snapToGrid w:val="0"/>
        <w:spacing w:before="156" w:beforeLines="50" w:line="360" w:lineRule="auto"/>
        <w:ind w:firstLine="420" w:firstLineChars="200"/>
        <w:rPr>
          <w:rFonts w:hAnsi="宋体" w:cs="宋体"/>
        </w:rPr>
      </w:pPr>
      <w:r>
        <w:rPr>
          <w:rFonts w:hint="eastAsia" w:hAnsi="宋体" w:cs="宋体"/>
        </w:rPr>
        <w:t>8.3招标文件的提供期限截止时，购买招标文件的投标人少于三家，招标代理机构可以延长招标文件的提供期限，并在原公告发布媒体上发布公告。</w:t>
      </w:r>
    </w:p>
    <w:p>
      <w:pPr>
        <w:pStyle w:val="17"/>
        <w:adjustRightInd w:val="0"/>
        <w:snapToGrid w:val="0"/>
        <w:spacing w:before="156" w:beforeLines="50" w:line="360" w:lineRule="auto"/>
        <w:ind w:firstLine="420" w:firstLineChars="200"/>
        <w:rPr>
          <w:rFonts w:hAnsi="宋体" w:cs="宋体"/>
        </w:rPr>
      </w:pPr>
      <w:r>
        <w:rPr>
          <w:rFonts w:hint="eastAsia" w:hAnsi="宋体" w:cs="宋体"/>
        </w:rPr>
        <w:t>延长招标文件的提供期限的，遵守本章第9.1款关于招标文件修改的规定。</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9.招标文件的澄清与修改</w:t>
      </w:r>
    </w:p>
    <w:p>
      <w:pPr>
        <w:pStyle w:val="17"/>
        <w:adjustRightInd w:val="0"/>
        <w:snapToGrid w:val="0"/>
        <w:spacing w:before="156" w:beforeLines="50" w:line="360" w:lineRule="auto"/>
        <w:ind w:firstLine="420" w:firstLineChars="200"/>
        <w:rPr>
          <w:rFonts w:hAnsi="宋体" w:cs="宋体"/>
        </w:rPr>
      </w:pPr>
      <w:r>
        <w:rPr>
          <w:rFonts w:hint="eastAsia" w:hAnsi="宋体" w:cs="宋体"/>
        </w:rPr>
        <w:t>9.1招标人或者招标代理机构有可能对已发出的招标文件进行必要澄清或者修改，但不会改变采购标的和资格条件，澄清或者修改将在原公告发布媒体上发布澄清公告，澄清或者修改的内容为招标文件的组成部分。</w:t>
      </w:r>
    </w:p>
    <w:p>
      <w:pPr>
        <w:pStyle w:val="17"/>
        <w:adjustRightInd w:val="0"/>
        <w:snapToGrid w:val="0"/>
        <w:spacing w:before="156" w:beforeLines="50" w:line="360" w:lineRule="auto"/>
        <w:ind w:firstLine="420" w:firstLineChars="200"/>
        <w:rPr>
          <w:rFonts w:hAnsi="宋体" w:cs="宋体"/>
        </w:rPr>
      </w:pPr>
      <w:r>
        <w:rPr>
          <w:rFonts w:hint="eastAsia" w:hAnsi="宋体" w:cs="宋体"/>
          <w:kern w:val="0"/>
        </w:rPr>
        <w:t>9.2</w:t>
      </w:r>
      <w:r>
        <w:rPr>
          <w:rFonts w:hint="eastAsia" w:hAnsi="宋体" w:cs="宋体"/>
        </w:rPr>
        <w:t>澄清或者修改的内容可能影响投标文件编制的，应当在</w:t>
      </w:r>
      <w:r>
        <w:rPr>
          <w:rFonts w:hint="eastAsia" w:hAnsi="宋体" w:cs="宋体"/>
          <w:bCs/>
        </w:rPr>
        <w:t>本章第24.1款</w:t>
      </w:r>
      <w:r>
        <w:rPr>
          <w:rFonts w:hint="eastAsia" w:hAnsi="宋体" w:cs="宋体"/>
        </w:rPr>
        <w:t>规定的提交投标文件截止时间至少</w:t>
      </w:r>
      <w:r>
        <w:rPr>
          <w:rFonts w:hint="eastAsia" w:hAnsi="宋体" w:cs="宋体"/>
          <w:kern w:val="0"/>
        </w:rPr>
        <w:t>十五</w:t>
      </w:r>
      <w:r>
        <w:rPr>
          <w:rFonts w:hint="eastAsia" w:hAnsi="宋体" w:cs="宋体"/>
        </w:rPr>
        <w:t>日前，以书面形式通知所有获取招标文件的潜在投标人，不足十五日的，应当顺延提交投标文件的截止时间。</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10.延长投标截止时间和开标时间</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10.1 招标代理机构可以视招标具体情况，延长投标截止时间和开标时间，但应当在本章第24.1款规定的提交投标文件的截止时间三日前，将变更时间书面通知所有招标文件收受人，并在本章第7.3款指定的媒体上发布更正公告。</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11.终止招标</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11.1 招标人、招标代理机构在发布招标公告或者投标邀请书后，除因重大变故采购任务取消情况外，不得擅自终止招标活动。</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11.2 终止招标的，招标人或者招标代理机构应当及时在原公告发布媒体上发布终止公告，以书面形式通知已经获取招标文件的潜在投标人，并将项目实施情况和招标任务取消原因报告本级财政部门。已经收取招标文件费用或者投标保证金的，招标人或者招标代理机构应当在终止招标活动后5个工作日内，退还所收取的招标文件费用和所收取的投标保证金及其在银行产生的孳息。</w:t>
      </w:r>
    </w:p>
    <w:p>
      <w:pPr>
        <w:tabs>
          <w:tab w:val="left" w:pos="0"/>
        </w:tabs>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11.3招标文件费用或者投标保证金由张家界市公共资源交易中心收取的，招标人或者招标代理机构在原公告发布媒体上发布终止公告后，应当及时以书面形式通知已经获取招标文件的潜在投标人和张家界市公共资源交易中心，由张家界市公共资源交易中心在终止招标活动后5个工作日内，按张家界市公共资源交易中心的规定退还所收取的招标文件费用和所收取的投标保证金及其在银行产生的孳息。</w:t>
      </w:r>
    </w:p>
    <w:p>
      <w:pPr>
        <w:pStyle w:val="5"/>
        <w:spacing w:before="312" w:beforeLines="100" w:after="0" w:line="360" w:lineRule="auto"/>
        <w:rPr>
          <w:rFonts w:ascii="宋体" w:hAnsi="宋体" w:cs="宋体"/>
          <w:sz w:val="21"/>
          <w:szCs w:val="21"/>
        </w:rPr>
      </w:pPr>
      <w:r>
        <w:rPr>
          <w:rFonts w:hint="eastAsia" w:ascii="宋体" w:hAnsi="宋体" w:cs="宋体"/>
          <w:sz w:val="21"/>
          <w:szCs w:val="21"/>
        </w:rPr>
        <w:t>三、投标文件</w:t>
      </w:r>
    </w:p>
    <w:p>
      <w:pPr>
        <w:tabs>
          <w:tab w:val="left" w:pos="0"/>
        </w:tabs>
        <w:adjustRightInd w:val="0"/>
        <w:snapToGrid w:val="0"/>
        <w:spacing w:before="156" w:beforeLines="50" w:line="360" w:lineRule="auto"/>
        <w:rPr>
          <w:rFonts w:ascii="宋体" w:hAnsi="宋体" w:cs="宋体"/>
          <w:b/>
          <w:bCs/>
          <w:szCs w:val="21"/>
        </w:rPr>
      </w:pPr>
      <w:r>
        <w:rPr>
          <w:rFonts w:hint="eastAsia" w:ascii="宋体" w:hAnsi="宋体" w:cs="宋体"/>
          <w:b/>
          <w:bCs/>
          <w:szCs w:val="21"/>
        </w:rPr>
        <w:t>12.投标语言</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12.1投标人提交的投标文件及投标人与招标代理机构就有关投标的所有来往函电均使用中文。投标人可以提交其它语言的资料，但应附有中文注释，有差异时以中文为准。</w:t>
      </w:r>
    </w:p>
    <w:p>
      <w:pPr>
        <w:adjustRightInd w:val="0"/>
        <w:snapToGrid w:val="0"/>
        <w:spacing w:before="156" w:beforeLines="50" w:line="360" w:lineRule="auto"/>
        <w:jc w:val="left"/>
        <w:rPr>
          <w:rFonts w:ascii="宋体" w:hAnsi="宋体" w:cs="宋体"/>
          <w:b/>
          <w:szCs w:val="21"/>
        </w:rPr>
      </w:pPr>
      <w:r>
        <w:rPr>
          <w:rFonts w:hint="eastAsia" w:ascii="宋体" w:hAnsi="宋体" w:cs="宋体"/>
          <w:b/>
          <w:szCs w:val="21"/>
        </w:rPr>
        <w:t>13.计量单位</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13.1所有计量均采用中华人民共和国法定计量单位。</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14.投标文件的组成</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14.1 投标人应当按照招标文件的要求编制投标文件。投标文件应当对招标文件提出的要求和条件作出明确响应。</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投标文件由商务文件、技术文件两部分组成。各部分的内容如下：</w:t>
      </w:r>
    </w:p>
    <w:p>
      <w:pPr>
        <w:adjustRightInd w:val="0"/>
        <w:snapToGrid w:val="0"/>
        <w:spacing w:before="156" w:beforeLines="50" w:line="360" w:lineRule="auto"/>
        <w:ind w:firstLine="420" w:firstLineChars="200"/>
        <w:jc w:val="left"/>
        <w:rPr>
          <w:rFonts w:ascii="宋体" w:hAnsi="宋体" w:cs="宋体"/>
          <w:b/>
          <w:szCs w:val="21"/>
        </w:rPr>
      </w:pPr>
      <w:r>
        <w:rPr>
          <w:rFonts w:hint="eastAsia" w:ascii="宋体" w:hAnsi="宋体" w:cs="宋体"/>
          <w:b/>
          <w:szCs w:val="21"/>
        </w:rPr>
        <w:t>商务文件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（1）投标函</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（2）开标一览表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（3）分项价格表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（4）商务条款响应/偏离表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（5）投标人具备投标资格的证明文件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（6）投标人认为需要提供的其他文件</w:t>
      </w:r>
    </w:p>
    <w:p>
      <w:pPr>
        <w:adjustRightInd w:val="0"/>
        <w:snapToGrid w:val="0"/>
        <w:spacing w:before="156" w:beforeLines="50" w:line="360" w:lineRule="auto"/>
        <w:ind w:firstLine="420" w:firstLineChars="200"/>
        <w:jc w:val="left"/>
        <w:rPr>
          <w:rFonts w:ascii="宋体" w:hAnsi="宋体" w:cs="宋体"/>
          <w:b/>
          <w:szCs w:val="21"/>
        </w:rPr>
      </w:pPr>
      <w:r>
        <w:rPr>
          <w:rFonts w:hint="eastAsia" w:ascii="宋体" w:hAnsi="宋体" w:cs="宋体"/>
          <w:b/>
          <w:szCs w:val="21"/>
        </w:rPr>
        <w:t>技术文件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（7）服务方案说明</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（8）技术条件响应/偏离表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（9）投标人为完成本招标服务项目所派出主要人员简历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（10）投标人为完成本招标服务项目所具有的设备、器具</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15.投标报价</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15.1 投标人应按招标文件规定的服务要求、责任范围和合同条件，以人民币进行报价。</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15.2 投标人应按开标一览表和分项价格表的内容和格式要求填写各项服务的分项价格和总价。投标总价中不得包含招标文件要求以外的内容，否则，在评标时不予核减。投标总价中也不得缺漏招标文件所要求的内容，否则，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15.3除</w:t>
      </w:r>
      <w:r>
        <w:rPr>
          <w:rFonts w:hint="eastAsia" w:ascii="宋体" w:hAnsi="宋体" w:cs="宋体"/>
          <w:b/>
          <w:szCs w:val="21"/>
        </w:rPr>
        <w:t>投标人须知前附表</w:t>
      </w:r>
      <w:r>
        <w:rPr>
          <w:rFonts w:hint="eastAsia" w:ascii="宋体" w:hAnsi="宋体" w:cs="宋体"/>
          <w:szCs w:val="21"/>
        </w:rPr>
        <w:t>允许提交备选方案外，投标人对每种货物及服务只允许有一个报价，不接受选择性报价，否则，在评标时将其视为无效投标。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15.4投标人的投标报价不得超过最高限价。招标项目预算及最高限价见</w:t>
      </w:r>
      <w:r>
        <w:rPr>
          <w:rFonts w:hint="eastAsia" w:ascii="宋体" w:hAnsi="宋体" w:cs="宋体"/>
          <w:b/>
          <w:szCs w:val="21"/>
        </w:rPr>
        <w:t>投标人须知前附表</w:t>
      </w:r>
      <w:r>
        <w:rPr>
          <w:rFonts w:hint="eastAsia" w:ascii="宋体" w:hAnsi="宋体" w:cs="宋体"/>
          <w:szCs w:val="21"/>
        </w:rPr>
        <w:t>。否则，在评标时将其视为无效投标。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15.5 除招标文件另有规定，投标文件中标明的价格在合同执行过程中是固定不变的，不得以任何理由予以变更。任何包含价格调整要求和条件的投标，在评标时将其视为无效投标。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15.6投标人的价格折扣（价格变更声明）应当直接在开标一览表的投标报价中给出。</w:t>
      </w:r>
    </w:p>
    <w:p>
      <w:pPr>
        <w:pStyle w:val="17"/>
        <w:adjustRightInd w:val="0"/>
        <w:snapToGrid w:val="0"/>
        <w:spacing w:before="156" w:beforeLines="50" w:line="360" w:lineRule="auto"/>
        <w:jc w:val="left"/>
        <w:rPr>
          <w:rFonts w:hAnsi="宋体" w:cs="宋体"/>
          <w:b/>
        </w:rPr>
      </w:pPr>
      <w:r>
        <w:rPr>
          <w:rFonts w:hint="eastAsia" w:hAnsi="宋体" w:cs="宋体"/>
          <w:b/>
        </w:rPr>
        <w:t>16.备选方案</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16.1 除本章第15.3款另有规定外，本招标项目不接受备选方案投标。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16.2本章第15.3款规定接受备选方案投标时：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投标人在投标文件中只能提交一个备选方案并注明主选方案，且备选方案的投标报价不得高于主选方案。如果投标人在投标文件中提交两个以上备选方案或未注明何为主选方案，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（2）在评标时，评标委员会仅对主选方案进行评标。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（3）备选方案应当在开标一览表列出。</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17.中标项目的分包</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17.1除</w:t>
      </w:r>
      <w:r>
        <w:rPr>
          <w:rFonts w:hint="eastAsia" w:ascii="宋体" w:hAnsi="宋体" w:cs="宋体"/>
          <w:b/>
          <w:bCs/>
          <w:szCs w:val="21"/>
        </w:rPr>
        <w:t>投标人须知前附表</w:t>
      </w:r>
      <w:r>
        <w:rPr>
          <w:rFonts w:hint="eastAsia" w:ascii="宋体" w:hAnsi="宋体" w:cs="宋体"/>
          <w:szCs w:val="21"/>
        </w:rPr>
        <w:t>另有规定外，不允许中标人将中标项目进行分包。</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17.2</w:t>
      </w:r>
      <w:r>
        <w:rPr>
          <w:rFonts w:hint="eastAsia" w:ascii="宋体" w:hAnsi="宋体" w:cs="宋体"/>
          <w:b/>
          <w:bCs/>
          <w:szCs w:val="21"/>
        </w:rPr>
        <w:t>投标人须知前附表</w:t>
      </w:r>
      <w:r>
        <w:rPr>
          <w:rFonts w:hint="eastAsia" w:ascii="宋体" w:hAnsi="宋体" w:cs="宋体"/>
          <w:szCs w:val="21"/>
        </w:rPr>
        <w:t>允许将项目中非主体、非关键性工作分包时，投标人根据招标文件的规定和采购项目的实际情况，拟在中标后将中标项目的非主体、非关键性工作分包的，应当在投标文件中载明分包承担主体，分包承担主体应当具备相应资质条件且不得再次分包。</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18.投标人的资格证明文件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18.1投标人应提交满足本章第3.1款规定的资格条件要求的证明文件,该证明文件作为投标文件的一部分。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17.2如果投标人为联合体，则应提交联合体各方资格证明文件、联合体协议。否则，在评标时将其视为无效投标。联合体中有同类资质的投标人按照联合体分工承担相同工作的，应当按照资质等级较低的投标人确定资质等级。</w:t>
      </w:r>
    </w:p>
    <w:p>
      <w:pPr>
        <w:pStyle w:val="17"/>
        <w:adjustRightInd w:val="0"/>
        <w:snapToGrid w:val="0"/>
        <w:spacing w:before="156" w:beforeLines="50" w:line="360" w:lineRule="auto"/>
        <w:rPr>
          <w:rFonts w:hAnsi="宋体" w:cs="宋体"/>
          <w:b/>
        </w:rPr>
      </w:pPr>
      <w:r>
        <w:rPr>
          <w:rFonts w:hint="eastAsia" w:hAnsi="宋体" w:cs="宋体"/>
          <w:b/>
        </w:rPr>
        <w:t>19．偏离</w:t>
      </w:r>
    </w:p>
    <w:p>
      <w:pPr>
        <w:pStyle w:val="17"/>
        <w:adjustRightInd w:val="0"/>
        <w:snapToGrid w:val="0"/>
        <w:spacing w:before="156" w:beforeLines="50" w:line="360" w:lineRule="auto"/>
        <w:ind w:firstLine="420" w:firstLineChars="200"/>
        <w:rPr>
          <w:rFonts w:hAnsi="宋体" w:cs="宋体"/>
        </w:rPr>
      </w:pPr>
      <w:r>
        <w:rPr>
          <w:rFonts w:hint="eastAsia" w:hAnsi="宋体" w:cs="宋体"/>
        </w:rPr>
        <w:t>19.1本条所称偏离为投标文件对招标文件的偏离，即不满足、或不响应招标文件的要求。偏离分为对招标文件的实质性要求条款偏离和对招标文件的一般商务和技术条款（参数）偏离。</w:t>
      </w:r>
    </w:p>
    <w:p>
      <w:pPr>
        <w:tabs>
          <w:tab w:val="left" w:pos="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19.2除法律、法规和规章规定外，招标文件中用“拒绝”、“不接受”、“无效”、“不得”等文字规定或标注“★”符号的条款为实质性要求条款（即重要条款），对其中任何一条的偏离，在评标时将其视为无效投标。未用上述文字规定或符号标注的条款为非实质性要求条款(即一般条款)。</w:t>
      </w:r>
    </w:p>
    <w:p>
      <w:pPr>
        <w:tabs>
          <w:tab w:val="left" w:pos="0"/>
        </w:tabs>
        <w:adjustRightInd w:val="0"/>
        <w:snapToGrid w:val="0"/>
        <w:spacing w:before="156" w:beforeLines="50" w:line="360" w:lineRule="auto"/>
        <w:ind w:firstLine="420" w:firstLineChars="200"/>
        <w:rPr>
          <w:rFonts w:ascii="宋体" w:hAnsi="宋体" w:cs="宋体"/>
          <w:b/>
          <w:szCs w:val="21"/>
        </w:rPr>
      </w:pPr>
      <w:r>
        <w:rPr>
          <w:rFonts w:hint="eastAsia" w:ascii="宋体" w:hAnsi="宋体" w:cs="宋体"/>
          <w:szCs w:val="21"/>
        </w:rPr>
        <w:t>19.3第二章“投标人须知前附表”、第四章“合同格式条款”和第五章“招标采购内容及要求”中的一般商务和技术条款（参数），在超出允许偏离的条款数（最高项数）时，在评标时将其视为无效投标。前述章节中一般商务</w:t>
      </w:r>
      <w:r>
        <w:rPr>
          <w:rFonts w:hint="eastAsia" w:ascii="宋体" w:hAnsi="宋体" w:cs="宋体"/>
          <w:spacing w:val="4"/>
          <w:szCs w:val="21"/>
        </w:rPr>
        <w:t>和</w:t>
      </w:r>
      <w:r>
        <w:rPr>
          <w:rFonts w:hint="eastAsia" w:ascii="宋体" w:hAnsi="宋体" w:cs="宋体"/>
          <w:szCs w:val="21"/>
        </w:rPr>
        <w:t>技术条款允许偏离的最高项数见</w:t>
      </w:r>
      <w:r>
        <w:rPr>
          <w:rFonts w:hint="eastAsia" w:ascii="宋体" w:hAnsi="宋体" w:cs="宋体"/>
          <w:b/>
          <w:szCs w:val="21"/>
        </w:rPr>
        <w:t>投标人须知前附表。</w:t>
      </w:r>
    </w:p>
    <w:p>
      <w:pPr>
        <w:tabs>
          <w:tab w:val="left" w:pos="0"/>
        </w:tabs>
        <w:adjustRightInd w:val="0"/>
        <w:snapToGrid w:val="0"/>
        <w:spacing w:before="156" w:beforeLines="50" w:line="360" w:lineRule="auto"/>
        <w:ind w:firstLine="420" w:firstLineChars="200"/>
        <w:rPr>
          <w:rFonts w:ascii="宋体" w:hAnsi="宋体" w:cs="宋体"/>
          <w:b/>
          <w:szCs w:val="21"/>
        </w:rPr>
      </w:pPr>
      <w:r>
        <w:rPr>
          <w:rFonts w:hint="eastAsia" w:ascii="宋体" w:hAnsi="宋体" w:cs="宋体"/>
          <w:szCs w:val="21"/>
        </w:rPr>
        <w:t>19.4本章第19.3</w:t>
      </w:r>
      <w:r>
        <w:rPr>
          <w:rFonts w:hint="eastAsia" w:ascii="宋体" w:hAnsi="宋体" w:cs="宋体"/>
          <w:szCs w:val="21"/>
          <w:lang w:val="zh-CN"/>
        </w:rPr>
        <w:t>款</w:t>
      </w:r>
      <w:r>
        <w:rPr>
          <w:rFonts w:hint="eastAsia" w:ascii="宋体" w:hAnsi="宋体" w:cs="宋体"/>
          <w:szCs w:val="21"/>
        </w:rPr>
        <w:t>所称条款数（最高项数）的统计方法见</w:t>
      </w:r>
      <w:r>
        <w:rPr>
          <w:rFonts w:hint="eastAsia" w:ascii="宋体" w:hAnsi="宋体" w:cs="宋体"/>
          <w:b/>
          <w:szCs w:val="21"/>
        </w:rPr>
        <w:t>投标人须知前附表。</w:t>
      </w:r>
    </w:p>
    <w:p>
      <w:pPr>
        <w:adjustRightInd w:val="0"/>
        <w:snapToGrid w:val="0"/>
        <w:spacing w:before="156" w:beforeLines="50" w:line="360" w:lineRule="auto"/>
        <w:jc w:val="left"/>
        <w:rPr>
          <w:rFonts w:ascii="宋体" w:hAnsi="宋体" w:cs="宋体"/>
          <w:b/>
          <w:bCs/>
          <w:szCs w:val="21"/>
        </w:rPr>
      </w:pPr>
      <w:r>
        <w:rPr>
          <w:rFonts w:hint="eastAsia" w:ascii="宋体" w:hAnsi="宋体" w:cs="宋体"/>
          <w:b/>
          <w:szCs w:val="21"/>
        </w:rPr>
        <w:t>20.</w:t>
      </w:r>
      <w:r>
        <w:rPr>
          <w:rFonts w:hint="eastAsia" w:ascii="宋体" w:hAnsi="宋体" w:cs="宋体"/>
          <w:b/>
          <w:bCs/>
          <w:szCs w:val="21"/>
        </w:rPr>
        <w:t>投标保证金</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20.1</w:t>
      </w:r>
      <w:r>
        <w:rPr>
          <w:rFonts w:hint="eastAsia" w:ascii="宋体" w:hAnsi="宋体" w:cs="宋体"/>
          <w:b/>
          <w:szCs w:val="21"/>
        </w:rPr>
        <w:t>投标人须知前附表</w:t>
      </w:r>
      <w:r>
        <w:rPr>
          <w:rFonts w:hint="eastAsia" w:ascii="宋体" w:hAnsi="宋体" w:cs="宋体"/>
          <w:szCs w:val="21"/>
        </w:rPr>
        <w:t>规定交纳投标保证金的，投标人应在</w:t>
      </w:r>
      <w:r>
        <w:rPr>
          <w:rFonts w:hint="eastAsia" w:ascii="宋体" w:hAnsi="宋体" w:cs="宋体"/>
          <w:b/>
          <w:bCs/>
          <w:szCs w:val="21"/>
        </w:rPr>
        <w:t>投标人须知前附表</w:t>
      </w:r>
      <w:r>
        <w:rPr>
          <w:rFonts w:hint="eastAsia" w:ascii="宋体" w:hAnsi="宋体" w:cs="宋体"/>
          <w:szCs w:val="21"/>
        </w:rPr>
        <w:t>规定的缴纳时间前，按</w:t>
      </w:r>
      <w:r>
        <w:rPr>
          <w:rFonts w:hint="eastAsia" w:ascii="宋体" w:hAnsi="宋体" w:cs="宋体"/>
          <w:b/>
          <w:bCs/>
          <w:szCs w:val="21"/>
        </w:rPr>
        <w:t>投标人须知前附表</w:t>
      </w:r>
      <w:r>
        <w:rPr>
          <w:rFonts w:hint="eastAsia" w:ascii="宋体" w:hAnsi="宋体" w:cs="宋体"/>
          <w:szCs w:val="21"/>
        </w:rPr>
        <w:t>中载明的方法向张家界市公共资源交易中心保证金专户账户提交。投标保证金有效期应与本章第21.1款规定的投标有效期一致。投标人未按照招标文件要求提交投标保证金的，招标代理机构应当拒绝接收投标人的投标文件或评标委员会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20.2联合体投标的，可以由联合体中的一方或者共同提交投标保证金。以一方名义提交投标保证金的，对联合体各方均具有约束力。</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20.3 未中标的投标人的投标保证金，将在中标通知书发出之日起五个工作日内无息退还。</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20.4 中标的投标人的投标保证金，将在代理协议合同签订之日起五个工作日内无息退还或者转为中标人的履约保证金。</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20.5 投标人在投标截止时间前撤回已提交的投标文件的，招标人或者招标代理机构自收到投标人书面撤回通知之日起五个工作日内，无息退还已收取的投标保证金，但因投标人自身原因导致无法及时退还的除外。</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20.6招标人或者招标代理机构逾期退还投标保证金的，除应当退还投标保证金本金外，还应当按中国人民银行同期贷款基准利率上浮20%后的利率支付超期资金占用费，但因投标人自身原因导致无法及时退还的除外。</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20.7投标保证金由张家界市公共资源交易中心收取的，招标人或者招标代理机构应当及时将投标保证金按上述规定退还的情况通知张家界市公共资源交易中心，由张家界市公共资源交易中心按张家界市公共资源交易中心的规定退还投标人的投标保证金。</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20.8投标人有下列行为之一的，其保证金不予退还：</w:t>
      </w:r>
    </w:p>
    <w:p>
      <w:pPr>
        <w:numPr>
          <w:ilvl w:val="0"/>
          <w:numId w:val="6"/>
        </w:numPr>
        <w:adjustRightInd w:val="0"/>
        <w:snapToGrid w:val="0"/>
        <w:spacing w:before="156" w:beforeLines="50" w:line="360" w:lineRule="auto"/>
        <w:ind w:firstLine="420" w:firstLineChars="200"/>
        <w:jc w:val="left"/>
        <w:rPr>
          <w:rFonts w:ascii="宋体" w:hAnsi="宋体" w:cs="宋体"/>
        </w:rPr>
      </w:pPr>
      <w:r>
        <w:rPr>
          <w:rFonts w:hint="eastAsia" w:ascii="宋体" w:hAnsi="宋体" w:cs="宋体"/>
          <w:szCs w:val="21"/>
        </w:rPr>
        <w:t>开标后在本章第21.1款规定的投标有效期内撤回或修改投标文件的。</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21.投标有效期</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21.1投标有效期见</w:t>
      </w:r>
      <w:r>
        <w:rPr>
          <w:rFonts w:hint="eastAsia" w:ascii="宋体" w:hAnsi="宋体" w:cs="宋体"/>
          <w:b/>
          <w:szCs w:val="21"/>
        </w:rPr>
        <w:t>投标人须知前附表</w:t>
      </w:r>
      <w:r>
        <w:rPr>
          <w:rFonts w:hint="eastAsia" w:ascii="宋体" w:hAnsi="宋体" w:cs="宋体"/>
          <w:szCs w:val="21"/>
        </w:rPr>
        <w:t>，在此期间投标文件对投标人具有法律约束力，以保证招标人有足够的时间完成评标、定标以及签订合同。投标有效期从本章第24.1款规定的投标截止之日起计算。投标文件中承诺的投标有效期应当不少于招标文件中载明的投标有效期。投标有效期不足的，在评标时将其视为无效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21.2 特殊情况需延长投标有效期的，招标代理机构可于投标有效期届满之前，要求投标人同意延长有效期，招标代理机构的要求与投标人的答复均应为书面形式。投标人拒绝延长的，其投标在原投标有效期期届满后将不再有效，但有权收回其投标保证金；投标人同意延长的，应相应延长其投标保证金的有效期，但不允许修改或撤回投标文件。</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22.投标文件的签署</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22.1投标文件正本一份，副本份数见</w:t>
      </w:r>
      <w:r>
        <w:rPr>
          <w:rFonts w:hint="eastAsia" w:ascii="宋体" w:hAnsi="宋体" w:cs="宋体"/>
          <w:b/>
          <w:szCs w:val="21"/>
        </w:rPr>
        <w:t>投标人须知前附表</w:t>
      </w:r>
      <w:r>
        <w:rPr>
          <w:rFonts w:hint="eastAsia" w:ascii="宋体" w:hAnsi="宋体" w:cs="宋体"/>
          <w:szCs w:val="21"/>
        </w:rPr>
        <w:t>。正本和副本的封面应注明“正本”或“副本”的字样，当正本和副本不一致时，以正本为准。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22.2 投标文件应用不褪色的材料打印或书写，并在招标文件要求签字、盖章处盖单位章和由法定代表人或其委托代理人签字。投标文件中的任何行间插字、涂改和增删，改动之处应加盖单位章或由投标人的法定代表人或其授权的代理人签字确认。不按上述要求盖章和签字的，在评标时将其视为无效投标。</w:t>
      </w:r>
    </w:p>
    <w:p>
      <w:pPr>
        <w:pStyle w:val="5"/>
        <w:spacing w:before="156" w:beforeLines="50" w:line="360" w:lineRule="auto"/>
        <w:rPr>
          <w:rFonts w:ascii="宋体" w:hAnsi="宋体" w:cs="宋体"/>
          <w:sz w:val="21"/>
          <w:szCs w:val="21"/>
        </w:rPr>
      </w:pPr>
      <w:r>
        <w:rPr>
          <w:rFonts w:hint="eastAsia" w:ascii="宋体" w:hAnsi="宋体" w:cs="宋体"/>
          <w:sz w:val="21"/>
          <w:szCs w:val="21"/>
        </w:rPr>
        <w:t>四、投标文件的递交</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23.投标文件的密封和标记</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23.1投标文件的包装与密封，见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23.2投标文件封套或外包装上应载明的内容见</w:t>
      </w:r>
      <w:r>
        <w:rPr>
          <w:rFonts w:hint="eastAsia" w:ascii="宋体" w:hAnsi="宋体" w:cs="宋体"/>
          <w:b/>
          <w:szCs w:val="21"/>
        </w:rPr>
        <w:t>投标人须知前附表</w:t>
      </w:r>
      <w:r>
        <w:rPr>
          <w:rFonts w:hint="eastAsia" w:ascii="宋体" w:hAnsi="宋体" w:cs="宋体"/>
          <w:szCs w:val="21"/>
        </w:rPr>
        <w:t>。</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23.3投标文件如果未按上述规定密封和标记，招标代理机构拒绝接收。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23.4开标一览表的递交见投标人</w:t>
      </w:r>
      <w:r>
        <w:rPr>
          <w:rFonts w:hint="eastAsia" w:ascii="宋体" w:hAnsi="宋体" w:cs="宋体"/>
          <w:b/>
          <w:bCs/>
          <w:szCs w:val="21"/>
        </w:rPr>
        <w:t>须知前附表。</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24.投标文件的递交</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24.1投标文件递交截止时间见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24.2投标文件递交地点见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24.3投标人应按第24.1款</w:t>
      </w:r>
      <w:r>
        <w:rPr>
          <w:rFonts w:hint="eastAsia" w:ascii="宋体" w:hAnsi="宋体" w:cs="宋体"/>
          <w:bCs/>
          <w:szCs w:val="21"/>
        </w:rPr>
        <w:t>规定的</w:t>
      </w:r>
      <w:r>
        <w:rPr>
          <w:rFonts w:hint="eastAsia" w:ascii="宋体" w:hAnsi="宋体" w:cs="宋体"/>
          <w:szCs w:val="21"/>
        </w:rPr>
        <w:t>投标文件</w:t>
      </w:r>
      <w:r>
        <w:rPr>
          <w:rFonts w:hint="eastAsia" w:ascii="宋体" w:hAnsi="宋体" w:cs="宋体"/>
          <w:bCs/>
          <w:szCs w:val="21"/>
        </w:rPr>
        <w:t>递交截止时间前送达</w:t>
      </w:r>
      <w:r>
        <w:rPr>
          <w:rFonts w:hint="eastAsia" w:ascii="宋体" w:hAnsi="宋体" w:cs="宋体"/>
          <w:szCs w:val="21"/>
        </w:rPr>
        <w:t>第24.2款所指定的投标地点。招标人或者招标代理机构收到投标文件后，如实记载投标文件的送达时间和密封情况，签收保存，并向投标人出具回执。任何单位和个人不得在开标前开启投标文件。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24.4 逾期送达或未送达指定地点的投标文件，招标代理机构拒绝接收。</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25.投标文件的修改和撤回</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25.1在本章第24.1款规定的投标截止时间前，投标人可以书面形式修改、补充或撤回己递交的投标文件，但应以书面形式通知招标代理机构。</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25.2修改、补充的内容为投标文件的组成部分。修改、补充的投标文件应按本章第22条、第23条、第24条的规定编制、签署、密封、标记和递交，并标明“修改、补充”字样。</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24.3投标人撤回投标文件的，招标代理机构自收到投标人书面撤回通知之日起五个工作日内退还已收取的投标保证金。</w:t>
      </w:r>
    </w:p>
    <w:p>
      <w:pPr>
        <w:pStyle w:val="28"/>
        <w:adjustRightInd w:val="0"/>
        <w:snapToGrid w:val="0"/>
        <w:spacing w:before="156" w:beforeLines="50" w:beforeAutospacing="0" w:after="0" w:afterAutospacing="0" w:line="360" w:lineRule="auto"/>
        <w:rPr>
          <w:rFonts w:hint="default" w:cs="宋体"/>
          <w:b/>
          <w:sz w:val="21"/>
          <w:szCs w:val="21"/>
        </w:rPr>
      </w:pPr>
      <w:r>
        <w:rPr>
          <w:rStyle w:val="35"/>
          <w:rFonts w:cs="宋体"/>
          <w:sz w:val="21"/>
          <w:szCs w:val="21"/>
        </w:rPr>
        <w:t>26.</w:t>
      </w:r>
      <w:r>
        <w:rPr>
          <w:rFonts w:cs="宋体"/>
          <w:b/>
          <w:sz w:val="21"/>
          <w:szCs w:val="21"/>
        </w:rPr>
        <w:t>串通投标行为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26.1投标人应当遵循公平竞争的原则，不得恶意串通，不得妨碍其他投标人的竞争行为，不得损害招标人或者其他投标人的合法权益。</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在评标过程中发现有上述情形的，评标委员会应当认定其投标无效，并书面报告本级财政部门。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26.2投标人有以下情形之一的，视为投标人串通投标，其投标无效：</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（1）投标人之间协商投标报价等投标文件的实质性内容；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（2）投标人之间约定中标人；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（3）投标人之间约定部分投标人放弃投标或者中标；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（4）属于同一集团、协会、商会等组织成员的投标人按照该组织要求协同投标；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（5）投标人之间为谋取中标或者排斥特定投标人而采取的其他联合行动；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（6）不同投标人的投标文件由同一单位或者个人编制；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（7）不同投标人委托同一单位或者个人办理投标事宜；</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（8）不同投标人的投标文件载明的项目管理成员为同一人；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（9）不同投标人的投标文件异常一致或者投标报价呈规律性差异；</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（10）不同投标人的投标文件相互混装；</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（11）不同投标人的投标保证金从同一单位或者个人的账户转出；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（12）法律、法规或规章规定的其他串通投标行为。</w:t>
      </w:r>
    </w:p>
    <w:p>
      <w:pPr>
        <w:pStyle w:val="5"/>
        <w:spacing w:before="312" w:beforeLines="100" w:after="0" w:line="360" w:lineRule="auto"/>
        <w:rPr>
          <w:rFonts w:ascii="宋体" w:hAnsi="宋体" w:cs="宋体"/>
          <w:sz w:val="21"/>
          <w:szCs w:val="21"/>
        </w:rPr>
      </w:pPr>
      <w:r>
        <w:rPr>
          <w:rFonts w:hint="eastAsia" w:ascii="宋体" w:hAnsi="宋体" w:cs="宋体"/>
          <w:sz w:val="21"/>
          <w:szCs w:val="21"/>
        </w:rPr>
        <w:t>五、开标和评标</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27.开标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27.1开标在本招标文件第二章第24.1款确定的投标文件递交截止时间的同一时间进行。开标地点为本招标文件第二章第24.2款确定的地点。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本项目招标人或者招标代理机构将对开标、评标现场活动进行全程录音录像。音像资料将作为采购文件一并存档。</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27.2 开标由招标人或者招标代理机构主持，邀请投标人参加。评标委员会成员不得参加开标活动。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27.3开标时，公布在投标截止时间前递交投标文件的投标人名称；由投标人或其推选的代表检查投标文件的密封情况，经确认无误后，由招标人或者招标代理机构工作人员当众拆封，宣读投标人名称、投标价格和</w:t>
      </w:r>
      <w:r>
        <w:rPr>
          <w:rFonts w:hint="eastAsia" w:ascii="宋体" w:hAnsi="宋体" w:cs="宋体"/>
          <w:b/>
          <w:bCs/>
          <w:szCs w:val="21"/>
        </w:rPr>
        <w:t>投标人须知前附表</w:t>
      </w:r>
      <w:r>
        <w:rPr>
          <w:rFonts w:hint="eastAsia" w:ascii="宋体" w:hAnsi="宋体" w:cs="宋体"/>
          <w:szCs w:val="21"/>
        </w:rPr>
        <w:t>中规定的需要宣布的其他内容。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投标人不足3家的，不得开标。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27.4 开标时，如唱标人宣读的内容与投标文件不一致时，投标人代表应当当场提出。违背本章第15.3款规定的备选方案和选择性报价等实质性内容不予宣读，评标时不予承认。</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27.5开标过程由招标人或者招标代理机构负责记录，由参加开标的各投标人代表和相关工作人员签字确认后随招标文件一并存档。投标人代表对开标过程和开标记录有疑义，以及认为招标人、招标代理机构相关工作人员有需要回避的情形的，应当场提出询问或者回避申请。招标人、招标代理机构对投标人代表提出的询问或者回避申请应当及时处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投标人未参加开标的，视同同意开标结果。</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27.6 开标时，投标文件中开标一览表内容与投标文件中分项价格表内容不一致的，以开标一览表为准。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27.7 公开招标项目开标结束后，招标人或者招标代理机构应当依法对投标人的资格进行审查。</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合格投标人不足3家的，不得评标。</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28.评标委员会的组成</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28.1 评标由招标人依法组建的评标委员会负责。评标委员会成员人数以及技术、经济等方面专家的确定方式见投标人须知前附表。</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28.2评标委员会成员对本单位的招标项目只能作为招标人代表参与评标，招标代理机构工作人员不得参加由本机构代理的公开招标项目的评标。</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评标委员会成员名单在评标结果公告前应当保密。</w:t>
      </w:r>
    </w:p>
    <w:p>
      <w:pPr>
        <w:pStyle w:val="17"/>
        <w:adjustRightInd w:val="0"/>
        <w:snapToGrid w:val="0"/>
        <w:spacing w:before="156" w:beforeLines="50" w:line="360" w:lineRule="auto"/>
        <w:ind w:firstLine="420" w:firstLineChars="200"/>
        <w:jc w:val="left"/>
        <w:rPr>
          <w:rFonts w:hAnsi="宋体" w:cs="宋体"/>
          <w:b/>
          <w:bCs/>
        </w:rPr>
      </w:pPr>
      <w:r>
        <w:rPr>
          <w:rFonts w:hint="eastAsia" w:hAnsi="宋体" w:cs="宋体"/>
        </w:rPr>
        <w:t>本项目评标委员会成员人数见</w:t>
      </w:r>
      <w:r>
        <w:rPr>
          <w:rFonts w:hint="eastAsia" w:hAnsi="宋体" w:cs="宋体"/>
          <w:b/>
          <w:bCs/>
        </w:rPr>
        <w:t>投标人须知前附表。</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28.3招标人或者招标代理机构从评标专家库中随机抽取。</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28.4评标委员会及其成员不得有下列行为：</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（1）确定参与评标至评标结束前私自接触投标人；</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（2）接受投标人提出的与投标文件不一致的澄清或者说明，本招标文件第三章《评标方法及标准》第8.1款规定的情形除外；</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（3）违反评标纪律发表倾向性意见或者征询招标人的倾向性意见；</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（4）对需要专业判断的主观评审因素协商评分；</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（5）在评标过程中擅离职守，影响评标程序正常进行的；</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（6）记录、复制或者带走任何评标资料；</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（7）其他不遵守评标纪律的行为。</w:t>
      </w:r>
    </w:p>
    <w:p>
      <w:pPr>
        <w:pStyle w:val="28"/>
        <w:spacing w:before="156" w:beforeLines="50" w:beforeAutospacing="0" w:line="360" w:lineRule="auto"/>
        <w:ind w:firstLine="420" w:firstLineChars="200"/>
        <w:jc w:val="both"/>
        <w:rPr>
          <w:rFonts w:hint="default" w:cs="宋体"/>
          <w:b/>
          <w:sz w:val="21"/>
          <w:szCs w:val="21"/>
        </w:rPr>
      </w:pPr>
      <w:r>
        <w:rPr>
          <w:rFonts w:cs="宋体"/>
          <w:sz w:val="21"/>
          <w:szCs w:val="21"/>
        </w:rPr>
        <w:t>评标委员会成员有前款第一至五项行为之一的，其评审意见无效，并不得获取评审劳务报酬和报销异地评审差旅费。</w:t>
      </w:r>
    </w:p>
    <w:p>
      <w:pPr>
        <w:pStyle w:val="17"/>
        <w:adjustRightInd w:val="0"/>
        <w:snapToGrid w:val="0"/>
        <w:spacing w:before="156" w:beforeLines="50" w:line="360" w:lineRule="auto"/>
        <w:jc w:val="left"/>
        <w:rPr>
          <w:rFonts w:hAnsi="宋体" w:cs="宋体"/>
          <w:b/>
          <w:bCs/>
        </w:rPr>
      </w:pPr>
      <w:r>
        <w:rPr>
          <w:rFonts w:hint="eastAsia" w:hAnsi="宋体" w:cs="宋体"/>
          <w:b/>
          <w:bCs/>
        </w:rPr>
        <w:t>29.评标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29.1 本项目评标办法见</w:t>
      </w:r>
      <w:r>
        <w:rPr>
          <w:rFonts w:hint="eastAsia" w:ascii="宋体" w:hAnsi="宋体" w:cs="宋体"/>
          <w:b/>
          <w:bCs/>
          <w:szCs w:val="21"/>
        </w:rPr>
        <w:t>投标人须知前附表。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29.2 评标委员会按照第三章“评标方法及标准” 规定的评标方法、评审因素、标准和程序以及有关法律、法规及规章对投标文件进行评审。</w:t>
      </w:r>
    </w:p>
    <w:p>
      <w:pPr>
        <w:adjustRightInd w:val="0"/>
        <w:snapToGrid w:val="0"/>
        <w:spacing w:before="312" w:beforeLines="100" w:line="360" w:lineRule="auto"/>
        <w:jc w:val="left"/>
        <w:rPr>
          <w:rFonts w:ascii="宋体" w:hAnsi="宋体" w:cs="宋体"/>
          <w:b/>
          <w:bCs/>
          <w:szCs w:val="21"/>
        </w:rPr>
      </w:pPr>
      <w:r>
        <w:rPr>
          <w:rFonts w:hint="eastAsia" w:ascii="宋体" w:hAnsi="宋体" w:cs="宋体"/>
          <w:b/>
          <w:bCs/>
          <w:szCs w:val="21"/>
        </w:rPr>
        <w:t>六、中标信息公布与投标人异议</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30.中标人的确定</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30.1招标代理机构在评标结束后2个工作日内将评标报告送采购人。</w:t>
      </w:r>
    </w:p>
    <w:p>
      <w:pPr>
        <w:widowControl/>
        <w:ind w:firstLine="420" w:firstLineChars="200"/>
        <w:jc w:val="left"/>
        <w:rPr>
          <w:rFonts w:ascii="宋体" w:hAnsi="宋体" w:cs="宋体"/>
          <w:kern w:val="0"/>
          <w:szCs w:val="21"/>
        </w:rPr>
      </w:pPr>
      <w:r>
        <w:rPr>
          <w:rFonts w:hint="eastAsia" w:ascii="宋体" w:hAnsi="宋体" w:cs="宋体"/>
          <w:kern w:val="0"/>
          <w:szCs w:val="21"/>
        </w:rPr>
        <w:t xml:space="preserve">30.2招标人在收到评标报告之日起 3 日内，委托招标代理机构按照投标人须知前附表规定的公示媒介和期限公示中标候选人，公示期不得少于3个工作日。 </w:t>
      </w:r>
    </w:p>
    <w:p>
      <w:pPr>
        <w:widowControl/>
        <w:ind w:firstLine="420" w:firstLineChars="200"/>
        <w:jc w:val="left"/>
        <w:rPr>
          <w:rFonts w:ascii="宋体" w:hAnsi="宋体" w:cs="宋体"/>
          <w:kern w:val="0"/>
          <w:szCs w:val="21"/>
        </w:rPr>
      </w:pPr>
      <w:r>
        <w:rPr>
          <w:rFonts w:hint="eastAsia" w:ascii="宋体" w:hAnsi="宋体" w:cs="宋体"/>
          <w:kern w:val="0"/>
          <w:szCs w:val="21"/>
        </w:rPr>
        <w:t xml:space="preserve">30.3投标人或者其他利害关系人对评标结果有异议的，应当在中标候选人公示期间提出。招标 人将在收到异议之日起 3 日内作出答复；作出答复前，将暂停招标投标活动。 </w:t>
      </w:r>
    </w:p>
    <w:p>
      <w:pPr>
        <w:widowControl/>
        <w:ind w:firstLine="420" w:firstLineChars="200"/>
        <w:jc w:val="left"/>
        <w:rPr>
          <w:rFonts w:ascii="宋体" w:hAnsi="宋体" w:cs="宋体"/>
          <w:kern w:val="0"/>
          <w:szCs w:val="21"/>
        </w:rPr>
      </w:pPr>
      <w:r>
        <w:rPr>
          <w:rFonts w:hint="eastAsia" w:ascii="宋体" w:hAnsi="宋体" w:cs="宋体"/>
          <w:kern w:val="0"/>
          <w:szCs w:val="21"/>
        </w:rPr>
        <w:t xml:space="preserve">30.4中标候选人的经营、财务状况发生较大变化或存在违法行为，招标人认为可能影响其履约 能力的，将在发出中标通知书前提请原评标委员会按照招标文件规定的标准和方法进行审查确 </w:t>
      </w:r>
    </w:p>
    <w:p>
      <w:pPr>
        <w:widowControl/>
        <w:jc w:val="left"/>
        <w:rPr>
          <w:rFonts w:ascii="宋体" w:hAnsi="宋体" w:cs="宋体"/>
          <w:kern w:val="0"/>
          <w:szCs w:val="21"/>
        </w:rPr>
      </w:pPr>
      <w:r>
        <w:rPr>
          <w:rFonts w:hint="eastAsia" w:ascii="宋体" w:hAnsi="宋体" w:cs="宋体"/>
          <w:kern w:val="0"/>
          <w:szCs w:val="21"/>
        </w:rPr>
        <w:t xml:space="preserve">认。 </w:t>
      </w:r>
    </w:p>
    <w:p>
      <w:pPr>
        <w:spacing w:before="156" w:beforeLines="50"/>
        <w:ind w:firstLine="420" w:firstLineChars="200"/>
        <w:jc w:val="left"/>
        <w:rPr>
          <w:rFonts w:ascii="宋体" w:hAnsi="宋体" w:cs="宋体"/>
          <w:kern w:val="0"/>
          <w:szCs w:val="21"/>
        </w:rPr>
      </w:pPr>
      <w:r>
        <w:rPr>
          <w:rFonts w:hint="eastAsia" w:ascii="宋体" w:hAnsi="宋体" w:cs="宋体"/>
          <w:kern w:val="0"/>
          <w:szCs w:val="21"/>
        </w:rPr>
        <w:t>30.5按照投标人须知前附表的规定，招标人或招标人授权的评标委员会依法确定中标人。</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在评标报告确定的中标候选人名单中按顺序确定中标人。中标候选人并列的，按照第二章《</w:t>
      </w:r>
      <w:r>
        <w:rPr>
          <w:rFonts w:cs="宋体"/>
          <w:b/>
          <w:bCs/>
          <w:sz w:val="21"/>
          <w:szCs w:val="21"/>
        </w:rPr>
        <w:t>投标人须知前附表</w:t>
      </w:r>
      <w:r>
        <w:rPr>
          <w:rFonts w:cs="宋体"/>
          <w:sz w:val="21"/>
          <w:szCs w:val="21"/>
        </w:rPr>
        <w:t>》第39.1款规定处理。</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30.6招标人在收到评标报告5个工作日内未按评标报告推荐的中标候选人顺序确定中标人，又不能说明合法理由的，视同按评标报告推荐的顺序确定排名第一的中标候选人为中标人。</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31.中标信息公布</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31.1自中标人确定之日起2个工作日内，将在本章第7.3款载明的省级以上指定的媒体上公告中标结果，招标文件应当随中标结果同时公告。</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31.2中标结果公告内容应当包括招标人及其委托的招标代理机构的名称、地址、联系方式，项目名称和招标编号，中标人名称、地址和中标金额，主要中标标的的名称、规格型号、数量、单价、服务要求，中标公告期限以及评标委员会成员名单。</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31.3中标公告期限为1个工作日。</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31.4完成中标确认后，招标人或者招标代理机构向中标人发出中标通知书；对未通过资格审查的投标人，告知其未通过的原因；采用综合评分法评审的，告知未中标人本人的评审得分与排序。</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32.</w:t>
      </w:r>
      <w:r>
        <w:rPr>
          <w:rFonts w:hint="eastAsia" w:ascii="宋体" w:hAnsi="宋体" w:cs="宋体"/>
          <w:b/>
          <w:szCs w:val="21"/>
        </w:rPr>
        <w:t>投标人</w:t>
      </w:r>
      <w:r>
        <w:rPr>
          <w:rFonts w:hint="eastAsia" w:ascii="宋体" w:hAnsi="宋体" w:cs="宋体"/>
          <w:b/>
          <w:bCs/>
          <w:szCs w:val="21"/>
        </w:rPr>
        <w:t>异议</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32.1投标人对公开招标活动事项有疑问的，可以向招标人或招标代理机构提出询问。招标人或招标代理机构将在三个工作日内作出答复。</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32.2投标人若认为招标文件、招标过程和中标结果使自己的权益受到损害，应当在下列时间内以书面形式向招标人或招标代理机构提出：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（1）关于招标文件的</w:t>
      </w:r>
      <w:r>
        <w:rPr>
          <w:rFonts w:ascii="宋体" w:hAnsi="宋体" w:cs="宋体"/>
          <w:szCs w:val="21"/>
        </w:rPr>
        <w:t>异议</w:t>
      </w:r>
      <w:r>
        <w:rPr>
          <w:rFonts w:hint="eastAsia" w:ascii="宋体" w:hAnsi="宋体" w:cs="宋体"/>
          <w:szCs w:val="21"/>
        </w:rPr>
        <w:t>，应当在投</w:t>
      </w:r>
      <w:r>
        <w:rPr>
          <w:rFonts w:ascii="宋体" w:hAnsi="宋体" w:cs="宋体"/>
          <w:szCs w:val="21"/>
        </w:rPr>
        <w:t>标截止时间</w:t>
      </w:r>
      <w:r>
        <w:rPr>
          <w:rFonts w:hint="eastAsia" w:ascii="宋体" w:hAnsi="宋体" w:cs="宋体"/>
          <w:szCs w:val="21"/>
        </w:rPr>
        <w:t>10日</w:t>
      </w:r>
      <w:r>
        <w:rPr>
          <w:rFonts w:ascii="宋体" w:hAnsi="宋体" w:cs="宋体"/>
          <w:szCs w:val="21"/>
        </w:rPr>
        <w:t>前</w:t>
      </w:r>
      <w:r>
        <w:rPr>
          <w:rFonts w:hint="eastAsia" w:ascii="宋体" w:hAnsi="宋体" w:cs="宋体"/>
          <w:szCs w:val="21"/>
        </w:rPr>
        <w:t>提出。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hd w:val="clear" w:color="auto" w:fill="FFFFFF"/>
        </w:rPr>
        <w:t>关</w:t>
      </w:r>
      <w:r>
        <w:rPr>
          <w:rFonts w:ascii="宋体" w:hAnsi="宋体" w:cs="宋体"/>
          <w:shd w:val="clear" w:color="auto" w:fill="FFFFFF"/>
        </w:rPr>
        <w:t>于</w:t>
      </w:r>
      <w:r>
        <w:rPr>
          <w:rFonts w:hint="eastAsia" w:ascii="宋体" w:hAnsi="宋体" w:cs="宋体"/>
          <w:shd w:val="clear" w:color="auto" w:fill="FFFFFF"/>
        </w:rPr>
        <w:t>开标</w:t>
      </w:r>
      <w:r>
        <w:rPr>
          <w:rFonts w:ascii="宋体" w:hAnsi="宋体" w:cs="宋体"/>
          <w:shd w:val="clear" w:color="auto" w:fill="FFFFFF"/>
        </w:rPr>
        <w:t>的</w:t>
      </w:r>
      <w:r>
        <w:rPr>
          <w:rFonts w:hint="eastAsia" w:ascii="宋体" w:hAnsi="宋体" w:cs="宋体"/>
          <w:shd w:val="clear" w:color="auto" w:fill="FFFFFF"/>
        </w:rPr>
        <w:t>异议，应当在开标现场提出，招标人应当当场作出答复，并制作记录。</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（3）关</w:t>
      </w:r>
      <w:r>
        <w:rPr>
          <w:rFonts w:ascii="宋体" w:hAnsi="宋体" w:cs="宋体"/>
          <w:szCs w:val="21"/>
        </w:rPr>
        <w:t>于</w:t>
      </w:r>
      <w:r>
        <w:rPr>
          <w:rFonts w:hint="eastAsia" w:ascii="宋体" w:hAnsi="宋体" w:cs="宋体"/>
          <w:shd w:val="clear" w:color="auto" w:fill="FFFFFF"/>
        </w:rPr>
        <w:t>评标结果的异议，应当在中标候选人公示期间提出</w:t>
      </w:r>
      <w:r>
        <w:rPr>
          <w:rFonts w:hint="eastAsia" w:ascii="宋体" w:hAnsi="宋体" w:cs="宋体"/>
          <w:szCs w:val="21"/>
        </w:rPr>
        <w:t>。</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32.3 投标人提出异议的，应提供异议书原件。招标人或招标代理机构应当向提出</w:t>
      </w:r>
      <w:r>
        <w:rPr>
          <w:rFonts w:ascii="宋体" w:hAnsi="宋体" w:cs="宋体"/>
          <w:szCs w:val="21"/>
        </w:rPr>
        <w:t>异议的</w:t>
      </w:r>
      <w:r>
        <w:rPr>
          <w:rFonts w:hint="eastAsia" w:ascii="宋体" w:hAnsi="宋体" w:cs="宋体"/>
          <w:szCs w:val="21"/>
        </w:rPr>
        <w:t>投标人签收回执。</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32.4 异议书应当包括下列内容：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（1）异议投标人的名称、地址及有效联系方式；</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（2）异议事项；</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（3）事实依据及相关证明材料；</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（4）相关请求及主张。</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32.5 异议书应当由投标人法定代表人或其授权的代理人签字并加盖投标人单位章，异议书由授权的代理人签字的应附投标人法定代表人委托授权书。</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32.6 招标人或招标代理机构将在签收回执之日起七个工作日内作出书面答复，并以书面形式通知异议投标人和其他有关的投标人。</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32.7 投标人对招标人或招标代理机构的答复不满意，或招标人或招标代理机构未在规定的期限作出答复的，可在答复期满后十五个工作日内，向</w:t>
      </w:r>
      <w:r>
        <w:rPr>
          <w:rFonts w:hint="eastAsia" w:ascii="宋体" w:hAnsi="宋体" w:cs="宋体"/>
          <w:bCs/>
        </w:rPr>
        <w:t>本项目的招标投标行政监督部门投诉</w:t>
      </w:r>
      <w:r>
        <w:rPr>
          <w:rFonts w:hint="eastAsia" w:ascii="宋体" w:hAnsi="宋体" w:cs="宋体"/>
          <w:szCs w:val="21"/>
        </w:rPr>
        <w:t>。</w:t>
      </w:r>
    </w:p>
    <w:p>
      <w:pPr>
        <w:pStyle w:val="5"/>
        <w:spacing w:before="312" w:beforeLines="100" w:after="0" w:line="360" w:lineRule="auto"/>
        <w:rPr>
          <w:rFonts w:ascii="宋体" w:hAnsi="宋体" w:cs="宋体"/>
          <w:sz w:val="21"/>
          <w:szCs w:val="21"/>
        </w:rPr>
      </w:pPr>
      <w:r>
        <w:rPr>
          <w:rFonts w:hint="eastAsia" w:ascii="宋体" w:hAnsi="宋体" w:cs="宋体"/>
          <w:sz w:val="21"/>
          <w:szCs w:val="21"/>
        </w:rPr>
        <w:t>七、合同签订</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33.中标结果通知</w:t>
      </w:r>
    </w:p>
    <w:p>
      <w:pPr>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33.1 按照本章第31.4款的规定，招标代理机构将以书面形式向中标投标人发出《中标通知书》。中标通知书对招标人和中标投标人具有同等法律效力。</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 xml:space="preserve">33.2 中标通知书发出后，招标人不得违法改变中标结果，中标人无正当理由不得放弃中标。 </w:t>
      </w:r>
    </w:p>
    <w:p>
      <w:pPr>
        <w:adjustRightInd w:val="0"/>
        <w:snapToGrid w:val="0"/>
        <w:spacing w:before="156" w:beforeLines="50" w:line="360" w:lineRule="auto"/>
        <w:rPr>
          <w:rFonts w:ascii="宋体" w:hAnsi="宋体" w:cs="宋体"/>
          <w:b/>
          <w:kern w:val="0"/>
          <w:szCs w:val="21"/>
        </w:rPr>
      </w:pPr>
      <w:r>
        <w:rPr>
          <w:rFonts w:hint="eastAsia" w:ascii="宋体" w:hAnsi="宋体" w:cs="宋体"/>
          <w:b/>
          <w:kern w:val="0"/>
          <w:szCs w:val="21"/>
        </w:rPr>
        <w:t>34.履约担保</w:t>
      </w:r>
    </w:p>
    <w:p>
      <w:pPr>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34.1中标人在收到招标代理机构的《中标通知书》后十日内，需向招标人提交履约担保的，应按照</w:t>
      </w:r>
      <w:r>
        <w:rPr>
          <w:rFonts w:hint="eastAsia" w:ascii="宋体" w:hAnsi="宋体" w:cs="宋体"/>
          <w:b/>
          <w:kern w:val="0"/>
          <w:szCs w:val="21"/>
        </w:rPr>
        <w:t>投标人须知前附表</w:t>
      </w:r>
      <w:r>
        <w:rPr>
          <w:rFonts w:hint="eastAsia" w:ascii="宋体" w:hAnsi="宋体" w:cs="宋体"/>
          <w:kern w:val="0"/>
          <w:szCs w:val="21"/>
        </w:rPr>
        <w:t>的规定提交。联合体中标的，履约担保由联合体各方或联合体中牵头人的名义提交。</w:t>
      </w:r>
    </w:p>
    <w:p>
      <w:pPr>
        <w:adjustRightInd w:val="0"/>
        <w:snapToGrid w:val="0"/>
        <w:spacing w:before="156" w:beforeLines="50" w:line="360" w:lineRule="auto"/>
        <w:ind w:firstLine="420" w:firstLineChars="200"/>
        <w:rPr>
          <w:rFonts w:ascii="宋体" w:hAnsi="宋体" w:cs="宋体"/>
          <w:kern w:val="0"/>
          <w:szCs w:val="21"/>
        </w:rPr>
      </w:pPr>
      <w:r>
        <w:rPr>
          <w:rFonts w:hint="eastAsia" w:ascii="宋体" w:hAnsi="宋体" w:cs="宋体"/>
          <w:kern w:val="0"/>
          <w:szCs w:val="21"/>
        </w:rPr>
        <w:t>34.2 中标人没有按照本章第34.1款规定提交履约担保的，视为无故放弃中标，其投标保证金不予退还。</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35.签订合同</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35.1招标人应当自中标通知书发出之日起30日内，按照招标文件和中标人投标文件的规定，与中标人签订书面合同。所签订的合同不得对招标文件确定的事项和中标人投标文件作实质性修改。</w:t>
      </w:r>
    </w:p>
    <w:p>
      <w:pPr>
        <w:pStyle w:val="28"/>
        <w:spacing w:before="156" w:beforeLines="50" w:beforeAutospacing="0" w:line="360" w:lineRule="auto"/>
        <w:ind w:firstLine="420" w:firstLineChars="200"/>
        <w:jc w:val="both"/>
        <w:rPr>
          <w:rFonts w:hint="default" w:cs="宋体"/>
          <w:sz w:val="21"/>
          <w:szCs w:val="21"/>
        </w:rPr>
      </w:pPr>
      <w:r>
        <w:rPr>
          <w:rFonts w:cs="宋体"/>
          <w:sz w:val="21"/>
          <w:szCs w:val="21"/>
        </w:rPr>
        <w:t>招标人不得向中标人提出任何不合理的要求作为签订合同的条件。</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35.2 招标文件、中标人的投标文件均为签订合同的依据。</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35.3 中标人应当按照合同约定履行义务。中标人不得向他人分包中标项目。</w:t>
      </w:r>
    </w:p>
    <w:p>
      <w:pPr>
        <w:adjustRightInd w:val="0"/>
        <w:snapToGrid w:val="0"/>
        <w:spacing w:before="156" w:beforeLines="50" w:line="360" w:lineRule="auto"/>
        <w:jc w:val="left"/>
        <w:rPr>
          <w:rFonts w:ascii="宋体" w:hAnsi="宋体" w:cs="宋体"/>
          <w:b/>
          <w:bCs/>
          <w:szCs w:val="21"/>
        </w:rPr>
      </w:pPr>
      <w:r>
        <w:rPr>
          <w:rFonts w:hint="eastAsia" w:ascii="宋体" w:hAnsi="宋体" w:cs="宋体"/>
          <w:b/>
          <w:bCs/>
          <w:szCs w:val="21"/>
        </w:rPr>
        <w:t xml:space="preserve">36. </w:t>
      </w:r>
      <w:r>
        <w:rPr>
          <w:rFonts w:hint="eastAsia" w:ascii="宋体" w:hAnsi="宋体" w:cs="宋体"/>
          <w:b/>
          <w:bCs/>
        </w:rPr>
        <w:t>违约</w:t>
      </w:r>
    </w:p>
    <w:p>
      <w:pPr>
        <w:pStyle w:val="17"/>
        <w:adjustRightInd w:val="0"/>
        <w:snapToGrid w:val="0"/>
        <w:spacing w:before="156" w:beforeLines="50" w:line="360" w:lineRule="auto"/>
        <w:ind w:firstLine="420" w:firstLineChars="200"/>
        <w:jc w:val="left"/>
        <w:rPr>
          <w:rFonts w:hAnsi="宋体" w:cs="宋体"/>
        </w:rPr>
      </w:pPr>
      <w:r>
        <w:rPr>
          <w:rFonts w:hint="eastAsia" w:hAnsi="宋体" w:cs="宋体"/>
        </w:rPr>
        <w:t>36.1 中标人在合同签订或合同履约期间，招标方发现中标人有严重违反招标文件规定或服务违约的情形，有权取消定点资格并依据招标文件及有关规定做出相应处罚。</w:t>
      </w:r>
    </w:p>
    <w:p>
      <w:pPr>
        <w:pStyle w:val="17"/>
        <w:adjustRightInd w:val="0"/>
        <w:snapToGrid w:val="0"/>
        <w:spacing w:before="156" w:beforeLines="50" w:line="360" w:lineRule="auto"/>
        <w:jc w:val="left"/>
        <w:rPr>
          <w:rFonts w:hAnsi="宋体" w:cs="宋体"/>
          <w:b/>
        </w:rPr>
      </w:pPr>
      <w:r>
        <w:rPr>
          <w:rFonts w:hint="eastAsia" w:hAnsi="宋体" w:cs="宋体"/>
          <w:b/>
        </w:rPr>
        <w:t>37.合格投标人不足3家的情形规定</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37.1公开招标数额标准以上的招标项目，投标截止后投标人不足3家或者通过资格审查或符合性审查的投标人不足3家的，除招标任务取消情形外，按照以下方式处理：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（1）招标文件存在不合理条款或者招标程序不符合规定的，招标人、招标代理机构改正后依法重新招标；</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（2）招标文件没有不合理条款、招标程序符合规定，需要采用其他招标方式招标的，招标人应当依法报</w:t>
      </w:r>
      <w:r>
        <w:rPr>
          <w:rFonts w:hint="eastAsia" w:ascii="宋体" w:hAnsi="宋体" w:cs="宋体"/>
          <w:bCs/>
        </w:rPr>
        <w:t>行政监督部门</w:t>
      </w:r>
      <w:r>
        <w:rPr>
          <w:rFonts w:hint="eastAsia" w:ascii="宋体" w:hAnsi="宋体" w:cs="宋体"/>
          <w:szCs w:val="21"/>
        </w:rPr>
        <w:t>批准。</w:t>
      </w:r>
    </w:p>
    <w:p>
      <w:pPr>
        <w:pStyle w:val="5"/>
        <w:spacing w:before="312" w:beforeLines="100" w:after="0" w:line="360" w:lineRule="auto"/>
        <w:rPr>
          <w:rFonts w:ascii="宋体" w:hAnsi="宋体" w:cs="宋体"/>
          <w:sz w:val="21"/>
          <w:szCs w:val="21"/>
        </w:rPr>
      </w:pPr>
      <w:r>
        <w:rPr>
          <w:rFonts w:hint="eastAsia" w:ascii="宋体" w:hAnsi="宋体" w:cs="宋体"/>
          <w:sz w:val="21"/>
          <w:szCs w:val="21"/>
        </w:rPr>
        <w:t>八、其他规定</w:t>
      </w:r>
    </w:p>
    <w:p>
      <w:pPr>
        <w:tabs>
          <w:tab w:val="left" w:pos="690"/>
          <w:tab w:val="left" w:pos="7560"/>
          <w:tab w:val="left" w:pos="7740"/>
          <w:tab w:val="left" w:pos="7920"/>
        </w:tabs>
        <w:adjustRightInd w:val="0"/>
        <w:snapToGrid w:val="0"/>
        <w:spacing w:before="156" w:beforeLines="50" w:line="360" w:lineRule="auto"/>
        <w:ind w:right="384" w:rightChars="183"/>
        <w:rPr>
          <w:rFonts w:ascii="宋体" w:hAnsi="宋体" w:cs="宋体"/>
          <w:b/>
          <w:szCs w:val="21"/>
        </w:rPr>
      </w:pPr>
      <w:r>
        <w:rPr>
          <w:rFonts w:hint="eastAsia" w:ascii="宋体" w:hAnsi="宋体" w:cs="宋体"/>
          <w:b/>
          <w:szCs w:val="21"/>
        </w:rPr>
        <w:t>38.招标代理服务费</w:t>
      </w:r>
    </w:p>
    <w:p>
      <w:pPr>
        <w:tabs>
          <w:tab w:val="left" w:pos="420"/>
          <w:tab w:val="left" w:pos="7560"/>
          <w:tab w:val="left" w:pos="7740"/>
          <w:tab w:val="left" w:pos="7920"/>
        </w:tabs>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38.1中标人应按</w:t>
      </w:r>
      <w:r>
        <w:rPr>
          <w:rFonts w:hint="eastAsia" w:ascii="宋体" w:hAnsi="宋体" w:cs="宋体"/>
          <w:b/>
          <w:bCs/>
          <w:szCs w:val="21"/>
        </w:rPr>
        <w:t>投标人须知前附表</w:t>
      </w:r>
      <w:r>
        <w:rPr>
          <w:rFonts w:hint="eastAsia" w:ascii="宋体" w:hAnsi="宋体" w:cs="宋体"/>
          <w:szCs w:val="21"/>
        </w:rPr>
        <w:t>规定交纳招标代理服务费。</w:t>
      </w:r>
    </w:p>
    <w:p>
      <w:pPr>
        <w:tabs>
          <w:tab w:val="left" w:pos="420"/>
          <w:tab w:val="left" w:pos="7560"/>
          <w:tab w:val="left" w:pos="7740"/>
          <w:tab w:val="left" w:pos="7920"/>
        </w:tabs>
        <w:adjustRightInd w:val="0"/>
        <w:snapToGrid w:val="0"/>
        <w:spacing w:before="156" w:beforeLines="50" w:line="360" w:lineRule="auto"/>
        <w:rPr>
          <w:rFonts w:ascii="宋体" w:hAnsi="宋体" w:cs="宋体"/>
          <w:b/>
          <w:szCs w:val="21"/>
        </w:rPr>
      </w:pPr>
      <w:r>
        <w:rPr>
          <w:rFonts w:hint="eastAsia" w:ascii="宋体" w:hAnsi="宋体" w:cs="宋体"/>
          <w:b/>
          <w:szCs w:val="21"/>
        </w:rPr>
        <w:t>39. 其他规定</w:t>
      </w:r>
    </w:p>
    <w:p>
      <w:pPr>
        <w:tabs>
          <w:tab w:val="left" w:pos="420"/>
          <w:tab w:val="left" w:pos="7560"/>
          <w:tab w:val="left" w:pos="7740"/>
          <w:tab w:val="left" w:pos="7920"/>
        </w:tabs>
        <w:adjustRightInd w:val="0"/>
        <w:snapToGrid w:val="0"/>
        <w:spacing w:before="156" w:beforeLines="50" w:line="360" w:lineRule="auto"/>
        <w:ind w:firstLine="210" w:firstLineChars="100"/>
        <w:rPr>
          <w:rFonts w:ascii="宋体" w:hAnsi="宋体" w:cs="宋体"/>
          <w:szCs w:val="21"/>
        </w:rPr>
      </w:pPr>
      <w:r>
        <w:rPr>
          <w:rFonts w:hint="eastAsia" w:ascii="宋体" w:hAnsi="宋体" w:cs="宋体"/>
          <w:szCs w:val="21"/>
        </w:rPr>
        <w:t>39.1招标文件的其他规定见</w:t>
      </w:r>
      <w:r>
        <w:rPr>
          <w:rFonts w:hint="eastAsia" w:ascii="宋体" w:hAnsi="宋体" w:cs="宋体"/>
          <w:b/>
          <w:szCs w:val="21"/>
        </w:rPr>
        <w:t>投标人须知前附表</w:t>
      </w:r>
      <w:r>
        <w:rPr>
          <w:rFonts w:hint="eastAsia" w:ascii="宋体" w:hAnsi="宋体" w:cs="宋体"/>
          <w:szCs w:val="21"/>
        </w:rPr>
        <w:t>。</w:t>
      </w:r>
    </w:p>
    <w:p>
      <w:pPr>
        <w:widowControl/>
        <w:spacing w:line="360" w:lineRule="auto"/>
        <w:ind w:firstLine="210" w:firstLineChars="100"/>
        <w:jc w:val="left"/>
        <w:rPr>
          <w:rFonts w:ascii="宋体" w:hAnsi="宋体" w:cs="宋体"/>
          <w:szCs w:val="21"/>
        </w:rPr>
      </w:pPr>
      <w:r>
        <w:rPr>
          <w:rFonts w:hint="eastAsia" w:ascii="宋体" w:hAnsi="宋体" w:cs="宋体"/>
          <w:szCs w:val="21"/>
        </w:rPr>
        <w:t>39.2投标人信用信息查询渠道及截止时点、信用信息查询记录和证据留存的具体方式、信用信息的使用规则等；对列入失信被执行人、重大税收违法案件当事人名单、 采购严重违法失信行为记录名单的投标人，应当拒绝其参与 采购活动。两个法人或者其他组织组成一个联合体，以一个投标人的身份共同参加招标活动的，应当对所有联合体成员进行信用记录查询，联合体成员存在不良信用记录的，视同联合体存在不良信用记录。</w:t>
      </w:r>
    </w:p>
    <w:p>
      <w:pPr>
        <w:adjustRightInd w:val="0"/>
        <w:snapToGrid w:val="0"/>
        <w:spacing w:line="360" w:lineRule="auto"/>
        <w:ind w:firstLine="480"/>
        <w:rPr>
          <w:rFonts w:ascii="宋体" w:hAnsi="宋体" w:cs="宋体"/>
          <w:szCs w:val="21"/>
        </w:rPr>
      </w:pPr>
      <w:r>
        <w:rPr>
          <w:rFonts w:hint="eastAsia" w:ascii="宋体" w:hAnsi="宋体" w:cs="宋体"/>
          <w:szCs w:val="21"/>
        </w:rPr>
        <w:t>39.2.1）投标人按招标公告规定自行登录“信用中国”网站（www.creditchina.gov.cn）和“国家企业信用信息公示系统”等渠道，将查询到的投标人信用记录打印后加盖单位公章。</w:t>
      </w:r>
    </w:p>
    <w:p>
      <w:pPr>
        <w:adjustRightInd w:val="0"/>
        <w:snapToGrid w:val="0"/>
        <w:spacing w:line="360" w:lineRule="auto"/>
        <w:ind w:firstLine="480"/>
        <w:rPr>
          <w:rFonts w:ascii="宋体" w:hAnsi="宋体" w:cs="宋体"/>
          <w:szCs w:val="21"/>
        </w:rPr>
      </w:pPr>
      <w:r>
        <w:rPr>
          <w:rFonts w:hint="eastAsia" w:ascii="宋体" w:hAnsi="宋体" w:cs="宋体"/>
          <w:szCs w:val="21"/>
        </w:rPr>
        <w:t>39.2.2）信用信息查询的截止时点：至本项目投标截止时间止。</w:t>
      </w:r>
    </w:p>
    <w:p>
      <w:pPr>
        <w:tabs>
          <w:tab w:val="left" w:pos="420"/>
          <w:tab w:val="left" w:pos="7560"/>
          <w:tab w:val="left" w:pos="7740"/>
          <w:tab w:val="left" w:pos="7920"/>
        </w:tabs>
        <w:adjustRightInd w:val="0"/>
        <w:snapToGrid w:val="0"/>
        <w:spacing w:line="360" w:lineRule="auto"/>
        <w:ind w:firstLine="480"/>
        <w:rPr>
          <w:rFonts w:ascii="宋体" w:hAnsi="宋体" w:cs="宋体"/>
          <w:szCs w:val="21"/>
        </w:rPr>
      </w:pPr>
      <w:r>
        <w:rPr>
          <w:rFonts w:hint="eastAsia" w:ascii="宋体" w:hAnsi="宋体" w:cs="宋体"/>
          <w:szCs w:val="21"/>
        </w:rPr>
        <w:t>39.2.3）信用信息的使用规则：交由评标委员会评定。</w:t>
      </w:r>
    </w:p>
    <w:p>
      <w:pPr>
        <w:pStyle w:val="30"/>
        <w:ind w:left="0" w:leftChars="0" w:firstLine="420" w:firstLineChars="200"/>
        <w:rPr>
          <w:rFonts w:ascii="宋体" w:hAnsi="宋体" w:cs="宋体"/>
        </w:rPr>
        <w:sectPr>
          <w:headerReference r:id="rId8" w:type="first"/>
          <w:pgSz w:w="11906" w:h="16838"/>
          <w:pgMar w:top="1474" w:right="1531" w:bottom="1474" w:left="1531" w:header="851" w:footer="992" w:gutter="0"/>
          <w:cols w:space="720" w:num="1"/>
          <w:docGrid w:type="linesAndChars" w:linePitch="312" w:charSpace="0"/>
        </w:sectPr>
      </w:pPr>
      <w:r>
        <w:rPr>
          <w:rFonts w:hint="eastAsia" w:ascii="宋体" w:hAnsi="宋体" w:cs="宋体"/>
          <w:szCs w:val="21"/>
        </w:rPr>
        <w:t>39.3本项目采购人为国有企业，除非招标文件明确要求，不适用政府采购法律法规。</w:t>
      </w:r>
    </w:p>
    <w:p>
      <w:pPr>
        <w:adjustRightInd w:val="0"/>
        <w:snapToGrid w:val="0"/>
        <w:spacing w:before="120" w:beforeLines="50" w:line="360" w:lineRule="auto"/>
        <w:jc w:val="center"/>
        <w:rPr>
          <w:rFonts w:ascii="宋体" w:hAnsi="宋体" w:cs="宋体"/>
          <w:b/>
          <w:bCs/>
          <w:sz w:val="32"/>
        </w:rPr>
      </w:pPr>
      <w:bookmarkStart w:id="7" w:name="_Toc12035_WPSOffice_Level1"/>
      <w:r>
        <w:rPr>
          <w:rFonts w:hint="eastAsia" w:ascii="宋体" w:hAnsi="宋体" w:cs="宋体"/>
          <w:b/>
          <w:bCs/>
          <w:sz w:val="32"/>
        </w:rPr>
        <w:t>第三章  评标方法及标准（综合评分法）</w:t>
      </w:r>
      <w:bookmarkEnd w:id="7"/>
      <w:bookmarkStart w:id="8" w:name="_Toc8149"/>
    </w:p>
    <w:p>
      <w:pPr>
        <w:adjustRightInd w:val="0"/>
        <w:snapToGrid w:val="0"/>
        <w:spacing w:before="120" w:beforeLines="50" w:line="360" w:lineRule="auto"/>
        <w:ind w:firstLine="1080" w:firstLineChars="300"/>
        <w:jc w:val="center"/>
        <w:rPr>
          <w:rFonts w:ascii="宋体" w:hAnsi="宋体" w:cs="宋体"/>
          <w:sz w:val="36"/>
        </w:rPr>
      </w:pPr>
      <w:r>
        <w:rPr>
          <w:rFonts w:hint="eastAsia" w:ascii="宋体" w:hAnsi="宋体" w:cs="宋体"/>
          <w:sz w:val="36"/>
        </w:rPr>
        <w:t>评标标准及评标办法</w:t>
      </w:r>
    </w:p>
    <w:p>
      <w:pPr>
        <w:spacing w:line="360" w:lineRule="exact"/>
        <w:rPr>
          <w:rFonts w:ascii="宋体" w:hAnsi="宋体" w:cs="宋体"/>
          <w:b/>
          <w:bCs/>
          <w:szCs w:val="21"/>
        </w:rPr>
      </w:pPr>
      <w:r>
        <w:rPr>
          <w:rFonts w:hint="eastAsia" w:ascii="宋体" w:hAnsi="宋体" w:cs="宋体"/>
          <w:b/>
          <w:bCs/>
          <w:szCs w:val="21"/>
        </w:rPr>
        <w:t>1    总则</w:t>
      </w:r>
    </w:p>
    <w:p>
      <w:pPr>
        <w:spacing w:line="360" w:lineRule="exact"/>
        <w:ind w:left="630" w:hanging="630" w:hangingChars="300"/>
        <w:rPr>
          <w:rFonts w:ascii="宋体" w:hAnsi="宋体" w:cs="宋体"/>
          <w:szCs w:val="21"/>
        </w:rPr>
      </w:pPr>
      <w:r>
        <w:rPr>
          <w:rFonts w:hint="eastAsia" w:ascii="宋体" w:hAnsi="宋体" w:cs="宋体"/>
          <w:szCs w:val="21"/>
        </w:rPr>
        <w:t>1．1  本评标标准及评标办法依据《中华人民共和国招标投标法》和有关规定，并结合本项目实际情况制定。</w:t>
      </w:r>
    </w:p>
    <w:p>
      <w:pPr>
        <w:spacing w:line="360" w:lineRule="exact"/>
        <w:ind w:left="630" w:hanging="630" w:hangingChars="300"/>
        <w:rPr>
          <w:rFonts w:ascii="宋体" w:hAnsi="宋体" w:cs="宋体"/>
          <w:szCs w:val="21"/>
        </w:rPr>
      </w:pPr>
      <w:r>
        <w:rPr>
          <w:rFonts w:hint="eastAsia" w:ascii="宋体" w:hAnsi="宋体" w:cs="宋体"/>
          <w:szCs w:val="21"/>
        </w:rPr>
        <w:t>1．2  本次评标活动遵循公平、公正、科学、择优的原则，并邀请有关监督部门对评标活动进行全过程监督。</w:t>
      </w:r>
    </w:p>
    <w:p>
      <w:pPr>
        <w:spacing w:line="360" w:lineRule="exact"/>
        <w:ind w:left="630" w:hanging="630" w:hangingChars="300"/>
        <w:rPr>
          <w:rFonts w:ascii="宋体" w:hAnsi="宋体" w:cs="宋体"/>
          <w:b/>
          <w:szCs w:val="21"/>
        </w:rPr>
      </w:pPr>
      <w:r>
        <w:rPr>
          <w:rFonts w:hint="eastAsia" w:ascii="宋体" w:hAnsi="宋体" w:cs="宋体"/>
          <w:szCs w:val="21"/>
        </w:rPr>
        <w:t xml:space="preserve">1．3  </w:t>
      </w:r>
      <w:r>
        <w:rPr>
          <w:rFonts w:hint="eastAsia" w:ascii="宋体" w:hAnsi="宋体" w:cs="宋体"/>
          <w:b/>
          <w:szCs w:val="21"/>
        </w:rPr>
        <w:t>本次评标采用合综合评分法。</w:t>
      </w:r>
      <w:r>
        <w:rPr>
          <w:rFonts w:hint="eastAsia" w:ascii="宋体" w:hAnsi="宋体"/>
        </w:rPr>
        <w:t>评标委员会将根据本评标标准及评标办法，对合格的投标文件进行系统的评审和比较，按照经评审的综合得分由高到低的顺序推荐3名中标候选人。经评审的综合得分相同时，以投标报价扣除税率后低的优先推荐，扣除税率后价格相同的，优先推荐税率高的为中标候选人；扣税价格和税率相同的，采取随机方式确定中标候选人。</w:t>
      </w:r>
    </w:p>
    <w:p>
      <w:pPr>
        <w:tabs>
          <w:tab w:val="left" w:pos="8141"/>
        </w:tabs>
        <w:spacing w:line="360" w:lineRule="exact"/>
        <w:rPr>
          <w:rFonts w:ascii="宋体" w:hAnsi="宋体" w:cs="宋体"/>
          <w:b/>
          <w:bCs/>
          <w:szCs w:val="21"/>
        </w:rPr>
      </w:pPr>
      <w:r>
        <w:rPr>
          <w:rFonts w:hint="eastAsia" w:ascii="宋体" w:hAnsi="宋体" w:cs="宋体"/>
          <w:b/>
          <w:bCs/>
          <w:szCs w:val="21"/>
        </w:rPr>
        <w:t>2    评标委员会</w:t>
      </w:r>
      <w:r>
        <w:rPr>
          <w:rFonts w:hint="eastAsia" w:ascii="宋体" w:hAnsi="宋体" w:cs="宋体"/>
          <w:b/>
          <w:bCs/>
          <w:szCs w:val="21"/>
        </w:rPr>
        <w:tab/>
      </w:r>
    </w:p>
    <w:p>
      <w:pPr>
        <w:spacing w:line="360" w:lineRule="exact"/>
        <w:ind w:left="630" w:hanging="630" w:hangingChars="300"/>
        <w:rPr>
          <w:rFonts w:ascii="宋体" w:hAnsi="宋体" w:cs="宋体"/>
          <w:szCs w:val="21"/>
        </w:rPr>
      </w:pPr>
      <w:r>
        <w:rPr>
          <w:rFonts w:hint="eastAsia" w:ascii="宋体" w:hAnsi="宋体" w:cs="宋体"/>
          <w:szCs w:val="21"/>
        </w:rPr>
        <w:t>2．1  评标委员会由本项目的招标人依法负责组建，其成员名单在开评时确定。评标委员会成员名单在中标结果确定前保密。</w:t>
      </w:r>
    </w:p>
    <w:p>
      <w:pPr>
        <w:spacing w:line="360" w:lineRule="exact"/>
        <w:ind w:left="630" w:hanging="630" w:hangingChars="300"/>
        <w:rPr>
          <w:rFonts w:ascii="宋体" w:hAnsi="宋体" w:cs="宋体"/>
          <w:szCs w:val="21"/>
        </w:rPr>
      </w:pPr>
      <w:r>
        <w:rPr>
          <w:rFonts w:hint="eastAsia" w:ascii="宋体" w:hAnsi="宋体" w:cs="宋体"/>
          <w:szCs w:val="21"/>
        </w:rPr>
        <w:t>2 2  本次评标委员会成员人数由7人及以上单数组成。评标委员会主任由评标委员会成员推举产生，并主持整个评标工作，且与评标委员会其他成员有同等的表决权。</w:t>
      </w:r>
    </w:p>
    <w:p>
      <w:pPr>
        <w:spacing w:line="360" w:lineRule="exact"/>
        <w:ind w:left="630" w:hanging="630" w:hangingChars="300"/>
        <w:rPr>
          <w:rFonts w:ascii="宋体" w:hAnsi="宋体" w:cs="宋体"/>
          <w:szCs w:val="21"/>
        </w:rPr>
      </w:pPr>
      <w:r>
        <w:rPr>
          <w:rFonts w:hint="eastAsia" w:ascii="宋体" w:hAnsi="宋体" w:cs="宋体"/>
          <w:szCs w:val="21"/>
        </w:rPr>
        <w:t>2．3  评标委员会成员应当客观、公正地履行职责，遵守职业道德，对所提出的评审意见承担个人责任：评标委员会成员实行主动回避制度；评标委员会成员及工作人员应对整个评标活动保密。</w:t>
      </w:r>
    </w:p>
    <w:p>
      <w:pPr>
        <w:spacing w:line="360" w:lineRule="exact"/>
        <w:ind w:left="630" w:hanging="630" w:hangingChars="300"/>
        <w:rPr>
          <w:rFonts w:ascii="宋体" w:hAnsi="宋体" w:cs="宋体"/>
          <w:szCs w:val="21"/>
        </w:rPr>
      </w:pPr>
      <w:r>
        <w:rPr>
          <w:rFonts w:hint="eastAsia" w:ascii="宋体" w:hAnsi="宋体" w:cs="宋体"/>
          <w:szCs w:val="21"/>
        </w:rPr>
        <w:t>2．4  评标委员会按初评、澄清、详评、编写评标报告、确定中标候选人的程序开展整个评标工作。评选出中标候选人后，向招标人报告，完成全部评标工作。</w:t>
      </w:r>
    </w:p>
    <w:p>
      <w:pPr>
        <w:spacing w:line="360" w:lineRule="exact"/>
        <w:rPr>
          <w:rFonts w:ascii="宋体" w:hAnsi="宋体" w:cs="宋体"/>
          <w:b/>
          <w:bCs/>
          <w:szCs w:val="21"/>
        </w:rPr>
      </w:pPr>
      <w:r>
        <w:rPr>
          <w:rFonts w:hint="eastAsia" w:ascii="宋体" w:hAnsi="宋体" w:cs="宋体"/>
          <w:b/>
          <w:bCs/>
          <w:szCs w:val="21"/>
        </w:rPr>
        <w:t>3    与招标人接触及保密要求</w:t>
      </w:r>
    </w:p>
    <w:p>
      <w:pPr>
        <w:spacing w:line="360" w:lineRule="exact"/>
        <w:ind w:left="630" w:hanging="630" w:hangingChars="300"/>
        <w:rPr>
          <w:rFonts w:ascii="宋体" w:hAnsi="宋体" w:cs="宋体"/>
          <w:szCs w:val="21"/>
        </w:rPr>
      </w:pPr>
      <w:r>
        <w:rPr>
          <w:rFonts w:hint="eastAsia" w:ascii="宋体" w:hAnsi="宋体" w:cs="宋体"/>
          <w:szCs w:val="21"/>
        </w:rPr>
        <w:t>3．1  除本“评标标准及评标办法”第5条的规定外，从递交投标文件之日起至授予合同期间，投标人不得就与其投标文件有关的事项与招标人联系。</w:t>
      </w:r>
    </w:p>
    <w:p>
      <w:pPr>
        <w:spacing w:line="360" w:lineRule="exact"/>
        <w:ind w:left="630" w:hanging="630" w:hangingChars="300"/>
        <w:rPr>
          <w:rFonts w:ascii="宋体" w:hAnsi="宋体" w:cs="宋体"/>
          <w:szCs w:val="21"/>
        </w:rPr>
      </w:pPr>
      <w:r>
        <w:rPr>
          <w:rFonts w:hint="eastAsia" w:ascii="宋体" w:hAnsi="宋体" w:cs="宋体"/>
          <w:szCs w:val="21"/>
        </w:rPr>
        <w:t>3．2  投标人试图对招标人的评标或授予合同的决定进行影响的任何行为，都可能导致该投标人的投标文件被废除。</w:t>
      </w:r>
    </w:p>
    <w:p>
      <w:pPr>
        <w:spacing w:line="360" w:lineRule="exact"/>
        <w:rPr>
          <w:rFonts w:ascii="宋体" w:hAnsi="宋体" w:cs="宋体"/>
          <w:b/>
          <w:bCs/>
          <w:szCs w:val="21"/>
        </w:rPr>
      </w:pPr>
      <w:r>
        <w:rPr>
          <w:rFonts w:hint="eastAsia" w:ascii="宋体" w:hAnsi="宋体" w:cs="宋体"/>
          <w:b/>
          <w:bCs/>
          <w:szCs w:val="21"/>
        </w:rPr>
        <w:t xml:space="preserve">4    初步评审   </w:t>
      </w:r>
    </w:p>
    <w:p>
      <w:pPr>
        <w:spacing w:line="360" w:lineRule="exact"/>
        <w:rPr>
          <w:rFonts w:ascii="宋体" w:hAnsi="宋体" w:cs="宋体"/>
          <w:szCs w:val="21"/>
        </w:rPr>
      </w:pPr>
      <w:r>
        <w:rPr>
          <w:rFonts w:hint="eastAsia" w:ascii="宋体" w:hAnsi="宋体" w:cs="宋体"/>
          <w:szCs w:val="21"/>
        </w:rPr>
        <w:t>4．1  在初评之前，评标委员会应认真研究招标文件，了解和熟悉以下内容：</w:t>
      </w:r>
    </w:p>
    <w:p>
      <w:pPr>
        <w:spacing w:line="360" w:lineRule="exact"/>
        <w:rPr>
          <w:rFonts w:ascii="宋体" w:hAnsi="宋体" w:cs="宋体"/>
          <w:szCs w:val="21"/>
        </w:rPr>
      </w:pPr>
      <w:r>
        <w:rPr>
          <w:rFonts w:hint="eastAsia" w:ascii="宋体" w:hAnsi="宋体" w:cs="宋体"/>
          <w:szCs w:val="21"/>
        </w:rPr>
        <w:t xml:space="preserve">  (1)  本次招标的目标；</w:t>
      </w:r>
    </w:p>
    <w:p>
      <w:pPr>
        <w:spacing w:line="360" w:lineRule="exact"/>
        <w:rPr>
          <w:rFonts w:ascii="宋体" w:hAnsi="宋体" w:cs="宋体"/>
          <w:szCs w:val="21"/>
        </w:rPr>
      </w:pPr>
      <w:r>
        <w:rPr>
          <w:rFonts w:hint="eastAsia" w:ascii="宋体" w:hAnsi="宋体" w:cs="宋体"/>
          <w:szCs w:val="21"/>
        </w:rPr>
        <w:t xml:space="preserve">  (2)  招标项目的范围和性质；</w:t>
      </w:r>
    </w:p>
    <w:p>
      <w:pPr>
        <w:spacing w:line="360" w:lineRule="exact"/>
        <w:rPr>
          <w:rFonts w:ascii="宋体" w:hAnsi="宋体" w:cs="宋体"/>
          <w:szCs w:val="21"/>
        </w:rPr>
      </w:pPr>
      <w:r>
        <w:rPr>
          <w:rFonts w:hint="eastAsia" w:ascii="宋体" w:hAnsi="宋体" w:cs="宋体"/>
          <w:szCs w:val="21"/>
        </w:rPr>
        <w:t xml:space="preserve">  (3)  招标文件中规定的主要技术要求、标准和商务条款；</w:t>
      </w:r>
    </w:p>
    <w:p>
      <w:pPr>
        <w:spacing w:line="360" w:lineRule="exact"/>
        <w:rPr>
          <w:rFonts w:ascii="宋体" w:hAnsi="宋体" w:cs="宋体"/>
          <w:szCs w:val="21"/>
        </w:rPr>
      </w:pPr>
      <w:r>
        <w:rPr>
          <w:rFonts w:hint="eastAsia" w:ascii="宋体" w:hAnsi="宋体" w:cs="宋体"/>
          <w:szCs w:val="21"/>
        </w:rPr>
        <w:t xml:space="preserve">  (4)  本文件规定的评标标准、评标方法和在评标过程中考虑的相关因素。</w:t>
      </w:r>
    </w:p>
    <w:p>
      <w:pPr>
        <w:pStyle w:val="15"/>
        <w:rPr>
          <w:rFonts w:ascii="宋体" w:hAnsi="宋体" w:cs="宋体"/>
          <w:szCs w:val="21"/>
        </w:rPr>
      </w:pPr>
    </w:p>
    <w:p>
      <w:pPr>
        <w:spacing w:line="360" w:lineRule="auto"/>
        <w:rPr>
          <w:rFonts w:ascii="宋体" w:hAnsi="宋体" w:cs="宋体"/>
        </w:rPr>
      </w:pPr>
      <w:r>
        <w:rPr>
          <w:rFonts w:hint="eastAsia" w:ascii="宋体" w:hAnsi="宋体" w:cs="宋体"/>
          <w:szCs w:val="21"/>
        </w:rPr>
        <w:t>初步评审标准表</w:t>
      </w:r>
    </w:p>
    <w:tbl>
      <w:tblPr>
        <w:tblStyle w:val="32"/>
        <w:tblW w:w="9667" w:type="dxa"/>
        <w:jc w:val="center"/>
        <w:tblLayout w:type="fixed"/>
        <w:tblCellMar>
          <w:top w:w="0" w:type="dxa"/>
          <w:left w:w="108" w:type="dxa"/>
          <w:bottom w:w="0" w:type="dxa"/>
          <w:right w:w="108" w:type="dxa"/>
        </w:tblCellMar>
      </w:tblPr>
      <w:tblGrid>
        <w:gridCol w:w="816"/>
        <w:gridCol w:w="1194"/>
        <w:gridCol w:w="2571"/>
        <w:gridCol w:w="5086"/>
      </w:tblGrid>
      <w:tr>
        <w:tblPrEx>
          <w:tblCellMar>
            <w:top w:w="0" w:type="dxa"/>
            <w:left w:w="108" w:type="dxa"/>
            <w:bottom w:w="0" w:type="dxa"/>
            <w:right w:w="108" w:type="dxa"/>
          </w:tblCellMar>
        </w:tblPrEx>
        <w:trPr>
          <w:trHeight w:val="567" w:hRule="atLeast"/>
          <w:jc w:val="center"/>
        </w:trPr>
        <w:tc>
          <w:tcPr>
            <w:tcW w:w="2010" w:type="dxa"/>
            <w:gridSpan w:val="2"/>
            <w:tcBorders>
              <w:top w:val="single" w:color="auto" w:sz="8" w:space="0"/>
              <w:left w:val="single" w:color="auto" w:sz="8"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条款号</w:t>
            </w: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评审因素</w:t>
            </w:r>
          </w:p>
        </w:tc>
        <w:tc>
          <w:tcPr>
            <w:tcW w:w="5086"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评审标准</w:t>
            </w:r>
          </w:p>
        </w:tc>
      </w:tr>
      <w:tr>
        <w:tblPrEx>
          <w:tblCellMar>
            <w:top w:w="0" w:type="dxa"/>
            <w:left w:w="108" w:type="dxa"/>
            <w:bottom w:w="0" w:type="dxa"/>
            <w:right w:w="108" w:type="dxa"/>
          </w:tblCellMar>
        </w:tblPrEx>
        <w:trPr>
          <w:trHeight w:val="567" w:hRule="atLeast"/>
          <w:jc w:val="center"/>
        </w:trPr>
        <w:tc>
          <w:tcPr>
            <w:tcW w:w="816" w:type="dxa"/>
            <w:vMerge w:val="restart"/>
            <w:tcBorders>
              <w:top w:val="nil"/>
              <w:left w:val="single" w:color="auto" w:sz="8" w:space="0"/>
              <w:bottom w:val="nil"/>
              <w:right w:val="single" w:color="auto" w:sz="8" w:space="0"/>
            </w:tcBorders>
            <w:vAlign w:val="center"/>
          </w:tcPr>
          <w:p>
            <w:pPr>
              <w:widowControl/>
              <w:jc w:val="center"/>
              <w:rPr>
                <w:rFonts w:ascii="宋体" w:hAnsi="宋体" w:cs="宋体"/>
                <w:szCs w:val="21"/>
              </w:rPr>
            </w:pPr>
            <w:r>
              <w:rPr>
                <w:rFonts w:hint="eastAsia" w:ascii="宋体" w:hAnsi="宋体" w:cs="宋体"/>
                <w:szCs w:val="21"/>
              </w:rPr>
              <w:t>4.2.1</w:t>
            </w:r>
          </w:p>
        </w:tc>
        <w:tc>
          <w:tcPr>
            <w:tcW w:w="1194" w:type="dxa"/>
            <w:vMerge w:val="restart"/>
            <w:tcBorders>
              <w:top w:val="nil"/>
              <w:left w:val="single" w:color="auto" w:sz="8" w:space="0"/>
              <w:bottom w:val="nil"/>
              <w:right w:val="single" w:color="auto" w:sz="8" w:space="0"/>
            </w:tcBorders>
            <w:vAlign w:val="center"/>
          </w:tcPr>
          <w:p>
            <w:pPr>
              <w:widowControl/>
              <w:jc w:val="center"/>
              <w:rPr>
                <w:rFonts w:ascii="宋体" w:hAnsi="宋体" w:cs="宋体"/>
                <w:szCs w:val="21"/>
              </w:rPr>
            </w:pPr>
            <w:r>
              <w:rPr>
                <w:rFonts w:hint="eastAsia" w:ascii="宋体" w:hAnsi="宋体" w:cs="宋体"/>
                <w:szCs w:val="21"/>
              </w:rPr>
              <w:t>形式评审标准</w:t>
            </w: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投标人名称</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与营业执照一致</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签字、盖章</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投标文件份数</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投标文件格式</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符合“投标人须知前附表”要求及第五章投标文件格式要求</w:t>
            </w:r>
          </w:p>
        </w:tc>
      </w:tr>
      <w:tr>
        <w:tblPrEx>
          <w:tblCellMar>
            <w:top w:w="0" w:type="dxa"/>
            <w:left w:w="108" w:type="dxa"/>
            <w:bottom w:w="0" w:type="dxa"/>
            <w:right w:w="108" w:type="dxa"/>
          </w:tblCellMar>
        </w:tblPrEx>
        <w:trPr>
          <w:trHeight w:val="567" w:hRule="atLeast"/>
          <w:jc w:val="center"/>
        </w:trPr>
        <w:tc>
          <w:tcPr>
            <w:tcW w:w="816" w:type="dxa"/>
            <w:vMerge w:val="continue"/>
            <w:tcBorders>
              <w:top w:val="nil"/>
              <w:left w:val="single" w:color="auto" w:sz="8" w:space="0"/>
              <w:bottom w:val="nil"/>
              <w:right w:val="single" w:color="auto" w:sz="8" w:space="0"/>
            </w:tcBorders>
            <w:vAlign w:val="center"/>
          </w:tcPr>
          <w:p>
            <w:pPr>
              <w:widowControl/>
              <w:jc w:val="left"/>
              <w:rPr>
                <w:rFonts w:ascii="宋体" w:hAnsi="宋体" w:cs="宋体"/>
                <w:szCs w:val="21"/>
              </w:rPr>
            </w:pPr>
          </w:p>
        </w:tc>
        <w:tc>
          <w:tcPr>
            <w:tcW w:w="1194" w:type="dxa"/>
            <w:vMerge w:val="continue"/>
            <w:tcBorders>
              <w:top w:val="nil"/>
              <w:left w:val="single" w:color="auto" w:sz="8" w:space="0"/>
              <w:bottom w:val="nil"/>
              <w:right w:val="single" w:color="auto" w:sz="8" w:space="0"/>
            </w:tcBorders>
            <w:vAlign w:val="center"/>
          </w:tcPr>
          <w:p>
            <w:pPr>
              <w:widowControl/>
              <w:jc w:val="center"/>
              <w:rPr>
                <w:rFonts w:ascii="宋体" w:hAnsi="宋体" w:cs="宋体"/>
                <w:szCs w:val="21"/>
              </w:rPr>
            </w:pPr>
          </w:p>
        </w:tc>
        <w:tc>
          <w:tcPr>
            <w:tcW w:w="2571" w:type="dxa"/>
            <w:tcBorders>
              <w:top w:val="single" w:color="auto" w:sz="8" w:space="0"/>
              <w:left w:val="nil"/>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装订</w:t>
            </w:r>
          </w:p>
        </w:tc>
        <w:tc>
          <w:tcPr>
            <w:tcW w:w="5086" w:type="dxa"/>
            <w:tcBorders>
              <w:top w:val="single" w:color="auto" w:sz="8" w:space="0"/>
              <w:left w:val="nil"/>
              <w:bottom w:val="single" w:color="auto" w:sz="8" w:space="0"/>
              <w:right w:val="single" w:color="000000" w:sz="8" w:space="0"/>
            </w:tcBorders>
            <w:vAlign w:val="center"/>
          </w:tcPr>
          <w:p>
            <w:pPr>
              <w:widowControl/>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restart"/>
            <w:tcBorders>
              <w:top w:val="single" w:color="auto" w:sz="4" w:space="0"/>
              <w:left w:val="single" w:color="auto" w:sz="4" w:space="0"/>
              <w:right w:val="single" w:color="auto" w:sz="8" w:space="0"/>
            </w:tcBorders>
            <w:vAlign w:val="center"/>
          </w:tcPr>
          <w:p>
            <w:pPr>
              <w:widowControl/>
              <w:jc w:val="center"/>
              <w:rPr>
                <w:rFonts w:ascii="宋体" w:hAnsi="宋体" w:cs="宋体"/>
                <w:szCs w:val="21"/>
              </w:rPr>
            </w:pPr>
            <w:r>
              <w:rPr>
                <w:rFonts w:hint="eastAsia" w:ascii="宋体" w:hAnsi="宋体" w:cs="宋体"/>
                <w:szCs w:val="21"/>
              </w:rPr>
              <w:t>4.2.2</w:t>
            </w:r>
          </w:p>
        </w:tc>
        <w:tc>
          <w:tcPr>
            <w:tcW w:w="1194" w:type="dxa"/>
            <w:vMerge w:val="restart"/>
            <w:tcBorders>
              <w:top w:val="single" w:color="auto" w:sz="4" w:space="0"/>
              <w:left w:val="single" w:color="auto" w:sz="8" w:space="0"/>
              <w:right w:val="single" w:color="auto" w:sz="4" w:space="0"/>
            </w:tcBorders>
            <w:vAlign w:val="center"/>
          </w:tcPr>
          <w:p>
            <w:pPr>
              <w:widowControl/>
              <w:jc w:val="center"/>
              <w:rPr>
                <w:rFonts w:ascii="宋体" w:hAnsi="宋体" w:cs="宋体"/>
                <w:szCs w:val="21"/>
              </w:rPr>
            </w:pPr>
            <w:r>
              <w:rPr>
                <w:rFonts w:hint="eastAsia" w:ascii="宋体" w:hAnsi="宋体" w:cs="宋体"/>
                <w:szCs w:val="21"/>
              </w:rPr>
              <w:t>资格性评审标准</w:t>
            </w: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营业执照</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具备有效的营业执照副本</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bottom w:val="single" w:color="000000" w:sz="8" w:space="0"/>
              <w:right w:val="single" w:color="auto" w:sz="8" w:space="0"/>
            </w:tcBorders>
            <w:vAlign w:val="center"/>
          </w:tcPr>
          <w:p>
            <w:pPr>
              <w:widowControl/>
              <w:jc w:val="center"/>
              <w:rPr>
                <w:rFonts w:ascii="宋体" w:hAnsi="宋体" w:cs="宋体"/>
                <w:szCs w:val="21"/>
              </w:rPr>
            </w:pPr>
          </w:p>
        </w:tc>
        <w:tc>
          <w:tcPr>
            <w:tcW w:w="1194" w:type="dxa"/>
            <w:vMerge w:val="continue"/>
            <w:tcBorders>
              <w:left w:val="single" w:color="auto" w:sz="8" w:space="0"/>
              <w:bottom w:val="single" w:color="000000" w:sz="8" w:space="0"/>
              <w:right w:val="single" w:color="auto" w:sz="4" w:space="0"/>
            </w:tcBorders>
            <w:vAlign w:val="center"/>
          </w:tcPr>
          <w:p>
            <w:pPr>
              <w:widowControl/>
              <w:jc w:val="center"/>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资格条件</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符合第一章招标公告投标人资格要求；</w:t>
            </w:r>
          </w:p>
        </w:tc>
      </w:tr>
      <w:tr>
        <w:tblPrEx>
          <w:tblCellMar>
            <w:top w:w="0" w:type="dxa"/>
            <w:left w:w="108" w:type="dxa"/>
            <w:bottom w:w="0" w:type="dxa"/>
            <w:right w:w="108" w:type="dxa"/>
          </w:tblCellMar>
        </w:tblPrEx>
        <w:trPr>
          <w:trHeight w:val="567" w:hRule="atLeast"/>
          <w:jc w:val="center"/>
        </w:trPr>
        <w:tc>
          <w:tcPr>
            <w:tcW w:w="816" w:type="dxa"/>
            <w:vMerge w:val="restart"/>
            <w:tcBorders>
              <w:top w:val="single" w:color="auto" w:sz="8" w:space="0"/>
              <w:left w:val="single" w:color="auto" w:sz="4" w:space="0"/>
              <w:right w:val="single" w:color="auto" w:sz="8" w:space="0"/>
            </w:tcBorders>
            <w:vAlign w:val="center"/>
          </w:tcPr>
          <w:p>
            <w:pPr>
              <w:widowControl/>
              <w:jc w:val="center"/>
              <w:rPr>
                <w:rFonts w:ascii="宋体" w:hAnsi="宋体" w:cs="宋体"/>
                <w:szCs w:val="21"/>
              </w:rPr>
            </w:pPr>
            <w:r>
              <w:rPr>
                <w:rFonts w:hint="eastAsia" w:ascii="宋体" w:hAnsi="宋体" w:cs="宋体"/>
                <w:szCs w:val="21"/>
              </w:rPr>
              <w:t>4.2.3</w:t>
            </w:r>
          </w:p>
        </w:tc>
        <w:tc>
          <w:tcPr>
            <w:tcW w:w="1194" w:type="dxa"/>
            <w:vMerge w:val="restart"/>
            <w:tcBorders>
              <w:top w:val="single" w:color="auto" w:sz="8" w:space="0"/>
              <w:left w:val="single" w:color="auto" w:sz="8" w:space="0"/>
              <w:right w:val="single" w:color="auto" w:sz="4" w:space="0"/>
            </w:tcBorders>
            <w:vAlign w:val="center"/>
          </w:tcPr>
          <w:p>
            <w:pPr>
              <w:widowControl/>
              <w:jc w:val="center"/>
              <w:rPr>
                <w:rFonts w:ascii="宋体" w:hAnsi="宋体" w:cs="宋体"/>
                <w:szCs w:val="21"/>
              </w:rPr>
            </w:pPr>
            <w:r>
              <w:rPr>
                <w:rFonts w:hint="eastAsia" w:ascii="宋体" w:hAnsi="宋体" w:cs="宋体"/>
                <w:szCs w:val="21"/>
              </w:rPr>
              <w:t>符合性评审标准</w:t>
            </w: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投标保证金</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符合“投标人须知前附表”要求</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right w:val="single" w:color="auto" w:sz="8" w:space="0"/>
            </w:tcBorders>
            <w:vAlign w:val="center"/>
          </w:tcPr>
          <w:p>
            <w:pPr>
              <w:widowControl/>
              <w:jc w:val="left"/>
              <w:rPr>
                <w:rFonts w:ascii="宋体" w:hAnsi="宋体" w:cs="宋体"/>
                <w:szCs w:val="21"/>
              </w:rPr>
            </w:pPr>
          </w:p>
        </w:tc>
        <w:tc>
          <w:tcPr>
            <w:tcW w:w="1194" w:type="dxa"/>
            <w:vMerge w:val="continue"/>
            <w:tcBorders>
              <w:left w:val="single" w:color="auto" w:sz="8" w:space="0"/>
              <w:right w:val="single" w:color="auto" w:sz="4" w:space="0"/>
            </w:tcBorders>
            <w:vAlign w:val="center"/>
          </w:tcPr>
          <w:p>
            <w:pPr>
              <w:widowControl/>
              <w:jc w:val="left"/>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bCs/>
              </w:rPr>
              <w:t>招标内容和标准及要求</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符合招标文件第五章“</w:t>
            </w:r>
            <w:r>
              <w:rPr>
                <w:rFonts w:hint="eastAsia" w:ascii="宋体" w:hAnsi="宋体" w:cs="宋体"/>
                <w:bCs/>
              </w:rPr>
              <w:t>招标内容和标准及要求</w:t>
            </w:r>
            <w:r>
              <w:rPr>
                <w:rFonts w:hint="eastAsia" w:ascii="宋体" w:hAnsi="宋体" w:cs="宋体"/>
                <w:szCs w:val="21"/>
              </w:rPr>
              <w:t>”规定</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right w:val="single" w:color="auto" w:sz="8" w:space="0"/>
            </w:tcBorders>
            <w:vAlign w:val="center"/>
          </w:tcPr>
          <w:p>
            <w:pPr>
              <w:widowControl/>
              <w:jc w:val="left"/>
              <w:rPr>
                <w:rFonts w:ascii="宋体" w:hAnsi="宋体" w:cs="宋体"/>
                <w:szCs w:val="21"/>
              </w:rPr>
            </w:pPr>
          </w:p>
        </w:tc>
        <w:tc>
          <w:tcPr>
            <w:tcW w:w="1194" w:type="dxa"/>
            <w:vMerge w:val="continue"/>
            <w:tcBorders>
              <w:left w:val="single" w:color="auto" w:sz="8" w:space="0"/>
              <w:right w:val="single" w:color="auto" w:sz="4" w:space="0"/>
            </w:tcBorders>
            <w:vAlign w:val="center"/>
          </w:tcPr>
          <w:p>
            <w:pPr>
              <w:widowControl/>
              <w:jc w:val="left"/>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最高限价</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投标报价（修正价）不得超过“投标人须知前附表”规定的最高限价</w:t>
            </w:r>
          </w:p>
        </w:tc>
      </w:tr>
      <w:tr>
        <w:tblPrEx>
          <w:tblCellMar>
            <w:top w:w="0" w:type="dxa"/>
            <w:left w:w="108" w:type="dxa"/>
            <w:bottom w:w="0" w:type="dxa"/>
            <w:right w:w="108" w:type="dxa"/>
          </w:tblCellMar>
        </w:tblPrEx>
        <w:trPr>
          <w:trHeight w:val="567" w:hRule="atLeast"/>
          <w:jc w:val="center"/>
        </w:trPr>
        <w:tc>
          <w:tcPr>
            <w:tcW w:w="816" w:type="dxa"/>
            <w:vMerge w:val="continue"/>
            <w:tcBorders>
              <w:left w:val="single" w:color="auto" w:sz="4" w:space="0"/>
              <w:bottom w:val="single" w:color="auto" w:sz="4" w:space="0"/>
              <w:right w:val="single" w:color="auto" w:sz="8" w:space="0"/>
            </w:tcBorders>
            <w:vAlign w:val="center"/>
          </w:tcPr>
          <w:p>
            <w:pPr>
              <w:widowControl/>
              <w:jc w:val="left"/>
              <w:rPr>
                <w:rFonts w:ascii="宋体" w:hAnsi="宋体" w:cs="宋体"/>
                <w:szCs w:val="21"/>
              </w:rPr>
            </w:pPr>
          </w:p>
        </w:tc>
        <w:tc>
          <w:tcPr>
            <w:tcW w:w="1194"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宋体"/>
                <w:szCs w:val="21"/>
              </w:rPr>
            </w:pPr>
          </w:p>
        </w:tc>
        <w:tc>
          <w:tcPr>
            <w:tcW w:w="2571" w:type="dxa"/>
            <w:tcBorders>
              <w:top w:val="single" w:color="auto" w:sz="8" w:space="0"/>
              <w:left w:val="single" w:color="auto" w:sz="4" w:space="0"/>
              <w:bottom w:val="single" w:color="auto" w:sz="8" w:space="0"/>
              <w:right w:val="single" w:color="000000" w:sz="8" w:space="0"/>
            </w:tcBorders>
            <w:vAlign w:val="center"/>
          </w:tcPr>
          <w:p>
            <w:pPr>
              <w:widowControl/>
              <w:jc w:val="center"/>
              <w:rPr>
                <w:rFonts w:ascii="宋体" w:hAnsi="宋体" w:cs="宋体"/>
                <w:szCs w:val="21"/>
              </w:rPr>
            </w:pPr>
            <w:r>
              <w:rPr>
                <w:rFonts w:hint="eastAsia" w:ascii="宋体" w:hAnsi="宋体" w:cs="宋体"/>
                <w:szCs w:val="21"/>
              </w:rPr>
              <w:t>其他</w:t>
            </w:r>
          </w:p>
        </w:tc>
        <w:tc>
          <w:tcPr>
            <w:tcW w:w="5086" w:type="dxa"/>
            <w:tcBorders>
              <w:top w:val="single" w:color="auto" w:sz="8" w:space="0"/>
              <w:left w:val="nil"/>
              <w:bottom w:val="single" w:color="auto" w:sz="8" w:space="0"/>
              <w:right w:val="single" w:color="000000" w:sz="8" w:space="0"/>
            </w:tcBorders>
            <w:vAlign w:val="center"/>
          </w:tcPr>
          <w:p>
            <w:pPr>
              <w:widowControl/>
              <w:jc w:val="left"/>
              <w:rPr>
                <w:rFonts w:ascii="宋体" w:hAnsi="宋体" w:cs="宋体"/>
                <w:szCs w:val="21"/>
              </w:rPr>
            </w:pPr>
            <w:r>
              <w:rPr>
                <w:rFonts w:hint="eastAsia" w:ascii="宋体" w:hAnsi="宋体" w:cs="宋体"/>
                <w:szCs w:val="21"/>
              </w:rPr>
              <w:t>招标文件规定的其他无效投标情形</w:t>
            </w:r>
          </w:p>
        </w:tc>
      </w:tr>
    </w:tbl>
    <w:p>
      <w:pPr>
        <w:pStyle w:val="15"/>
        <w:rPr>
          <w:rFonts w:ascii="宋体" w:hAnsi="宋体" w:cs="宋体"/>
          <w:szCs w:val="21"/>
        </w:rPr>
      </w:pPr>
    </w:p>
    <w:p>
      <w:pPr>
        <w:spacing w:line="360" w:lineRule="exact"/>
        <w:rPr>
          <w:rFonts w:ascii="宋体" w:hAnsi="宋体" w:cs="宋体"/>
          <w:b/>
          <w:bCs/>
          <w:szCs w:val="21"/>
        </w:rPr>
      </w:pPr>
      <w:r>
        <w:rPr>
          <w:rFonts w:hint="eastAsia" w:ascii="宋体" w:hAnsi="宋体" w:cs="宋体"/>
          <w:b/>
          <w:bCs/>
          <w:szCs w:val="21"/>
        </w:rPr>
        <w:t xml:space="preserve">4．2  重大偏差  </w:t>
      </w:r>
    </w:p>
    <w:p>
      <w:pPr>
        <w:spacing w:line="360" w:lineRule="exact"/>
        <w:ind w:left="420" w:hanging="420" w:hangingChars="200"/>
        <w:rPr>
          <w:rFonts w:ascii="宋体" w:hAnsi="宋体" w:cs="宋体"/>
          <w:szCs w:val="21"/>
        </w:rPr>
      </w:pPr>
      <w:r>
        <w:rPr>
          <w:rFonts w:hint="eastAsia" w:ascii="宋体" w:hAnsi="宋体" w:cs="宋体"/>
          <w:szCs w:val="21"/>
        </w:rPr>
        <w:t xml:space="preserve">    在评标过程中若发现投标人所递交的投标文件出现下列情况之一的，将被认为是对招标文件的非实质性响应，属于重大偏差，其投标文件将被作为废标处理：</w:t>
      </w:r>
    </w:p>
    <w:p>
      <w:pPr>
        <w:spacing w:line="360" w:lineRule="exact"/>
        <w:ind w:left="422" w:hanging="422" w:hangingChars="200"/>
        <w:rPr>
          <w:rFonts w:ascii="宋体" w:hAnsi="宋体" w:cs="宋体"/>
          <w:b/>
          <w:bCs/>
          <w:szCs w:val="21"/>
        </w:rPr>
      </w:pPr>
      <w:r>
        <w:rPr>
          <w:rFonts w:hint="eastAsia" w:ascii="宋体" w:hAnsi="宋体" w:cs="宋体"/>
          <w:b/>
          <w:bCs/>
          <w:szCs w:val="21"/>
        </w:rPr>
        <w:t>(1) 评标委员会认为投标文件没有按照招标文件要求内容编制或者按要求编制但是所提供文件不齐全，严重影响评标结果的；</w:t>
      </w:r>
    </w:p>
    <w:p>
      <w:pPr>
        <w:spacing w:line="360" w:lineRule="exact"/>
        <w:rPr>
          <w:rFonts w:ascii="宋体" w:hAnsi="宋体" w:cs="宋体"/>
          <w:b/>
          <w:bCs/>
          <w:szCs w:val="21"/>
        </w:rPr>
      </w:pPr>
      <w:r>
        <w:rPr>
          <w:rFonts w:hint="eastAsia" w:ascii="宋体" w:hAnsi="宋体" w:cs="宋体"/>
          <w:b/>
          <w:bCs/>
          <w:szCs w:val="21"/>
        </w:rPr>
        <w:t>(2)  投标文件未按招标文件要求由投标人法定代表人或其委托代理人签字或加盖公章的；</w:t>
      </w:r>
    </w:p>
    <w:p>
      <w:pPr>
        <w:spacing w:line="360" w:lineRule="exact"/>
        <w:rPr>
          <w:rFonts w:ascii="宋体" w:hAnsi="宋体" w:cs="宋体"/>
          <w:b/>
          <w:bCs/>
          <w:szCs w:val="21"/>
        </w:rPr>
      </w:pPr>
      <w:r>
        <w:rPr>
          <w:rFonts w:hint="eastAsia" w:ascii="宋体" w:hAnsi="宋体" w:cs="宋体"/>
          <w:b/>
          <w:bCs/>
          <w:szCs w:val="21"/>
        </w:rPr>
        <w:t>(3)  投标人不接受评标委员会按本评标标准和评标办法所做出的修正的；</w:t>
      </w:r>
    </w:p>
    <w:p>
      <w:pPr>
        <w:spacing w:line="360" w:lineRule="exact"/>
        <w:rPr>
          <w:rFonts w:ascii="宋体" w:hAnsi="宋体" w:cs="宋体"/>
          <w:b/>
          <w:bCs/>
          <w:szCs w:val="21"/>
        </w:rPr>
      </w:pPr>
      <w:r>
        <w:rPr>
          <w:rFonts w:hint="eastAsia" w:ascii="宋体" w:hAnsi="宋体" w:cs="宋体"/>
          <w:b/>
          <w:bCs/>
          <w:szCs w:val="21"/>
        </w:rPr>
        <w:t>(4)  投标文件附有招标人不能接受的条件的。</w:t>
      </w:r>
    </w:p>
    <w:p>
      <w:pPr>
        <w:spacing w:line="360" w:lineRule="exact"/>
        <w:rPr>
          <w:rFonts w:ascii="宋体" w:hAnsi="宋体" w:cs="宋体"/>
          <w:b/>
          <w:bCs/>
          <w:szCs w:val="21"/>
        </w:rPr>
      </w:pPr>
      <w:r>
        <w:rPr>
          <w:rFonts w:hint="eastAsia" w:ascii="宋体" w:hAnsi="宋体" w:cs="宋体"/>
          <w:b/>
          <w:bCs/>
          <w:szCs w:val="21"/>
        </w:rPr>
        <w:t>(5)  其他未实际响应招标人要求，招标人认为影响评标结果或损害招标人利益。</w:t>
      </w:r>
    </w:p>
    <w:p>
      <w:pPr>
        <w:spacing w:line="360" w:lineRule="exact"/>
        <w:rPr>
          <w:rFonts w:ascii="宋体" w:hAnsi="宋体" w:cs="宋体"/>
          <w:szCs w:val="21"/>
        </w:rPr>
      </w:pPr>
      <w:r>
        <w:rPr>
          <w:rFonts w:hint="eastAsia" w:ascii="宋体" w:hAnsi="宋体" w:cs="宋体"/>
          <w:szCs w:val="21"/>
        </w:rPr>
        <w:t>4．3  细微偏差</w:t>
      </w:r>
    </w:p>
    <w:p>
      <w:pPr>
        <w:spacing w:line="360" w:lineRule="exact"/>
        <w:ind w:left="420" w:hanging="420" w:hangingChars="200"/>
        <w:rPr>
          <w:rFonts w:ascii="宋体" w:hAnsi="宋体" w:cs="宋体"/>
          <w:szCs w:val="21"/>
        </w:rPr>
      </w:pPr>
      <w:r>
        <w:rPr>
          <w:rFonts w:hint="eastAsia" w:ascii="宋体" w:hAnsi="宋体" w:cs="宋体"/>
          <w:szCs w:val="21"/>
        </w:rPr>
        <w:t xml:space="preserve">    重大偏差之外的偏差为细微偏差。细微偏差不影响投标文件的有效性。</w:t>
      </w:r>
    </w:p>
    <w:p>
      <w:pPr>
        <w:spacing w:line="360" w:lineRule="exact"/>
        <w:ind w:left="420" w:hanging="420" w:hangingChars="200"/>
        <w:rPr>
          <w:rFonts w:ascii="宋体" w:hAnsi="宋体" w:cs="宋体"/>
          <w:szCs w:val="21"/>
        </w:rPr>
      </w:pPr>
      <w:r>
        <w:rPr>
          <w:rFonts w:hint="eastAsia" w:ascii="宋体" w:hAnsi="宋体" w:cs="宋体"/>
          <w:szCs w:val="21"/>
        </w:rPr>
        <w:t>(1)  细微偏差是指投标文件在实质上响应招标文件要求，但在个别地方存在漏项或者提供了不完整的技术信息和数据等情况，并且补正这些遗漏或者不完整不会对其他投标人造成不公平的结果；</w:t>
      </w:r>
    </w:p>
    <w:p>
      <w:pPr>
        <w:spacing w:line="360" w:lineRule="exact"/>
        <w:rPr>
          <w:rFonts w:ascii="宋体" w:hAnsi="宋体" w:cs="宋体"/>
          <w:szCs w:val="21"/>
        </w:rPr>
      </w:pPr>
      <w:r>
        <w:rPr>
          <w:rFonts w:hint="eastAsia" w:ascii="宋体" w:hAnsi="宋体" w:cs="宋体"/>
          <w:szCs w:val="21"/>
        </w:rPr>
        <w:t>(2)  招标人将根据情况，书面要求存在细微偏差的投标人在评标结束前予以补正。</w:t>
      </w:r>
    </w:p>
    <w:p>
      <w:pPr>
        <w:spacing w:line="360" w:lineRule="exact"/>
        <w:rPr>
          <w:rFonts w:ascii="宋体" w:hAnsi="宋体" w:cs="宋体"/>
          <w:szCs w:val="21"/>
        </w:rPr>
      </w:pPr>
      <w:r>
        <w:rPr>
          <w:rFonts w:hint="eastAsia" w:ascii="宋体" w:hAnsi="宋体" w:cs="宋体"/>
          <w:szCs w:val="21"/>
        </w:rPr>
        <w:t>4．4  在评标、决标及履行合同过程中，有下列情况之一的，也将作废标处理：</w:t>
      </w:r>
    </w:p>
    <w:p>
      <w:pPr>
        <w:spacing w:line="360" w:lineRule="exact"/>
        <w:ind w:left="420" w:hanging="420" w:hangingChars="200"/>
        <w:rPr>
          <w:rFonts w:ascii="宋体" w:hAnsi="宋体" w:cs="宋体"/>
          <w:szCs w:val="21"/>
        </w:rPr>
      </w:pPr>
      <w:r>
        <w:rPr>
          <w:rFonts w:hint="eastAsia" w:ascii="宋体" w:hAnsi="宋体" w:cs="宋体"/>
          <w:szCs w:val="21"/>
        </w:rPr>
        <w:t>(1)  评标委员会发现投标人以他人的名义投标、串通投标、以行贿手段谋取中标或者以其他弄虚作假方式投标的，将作废标、收回中标资格或清退出场处理。并保留对因此给招标人造成的损失进行索赔和追究法律责任的权力；</w:t>
      </w:r>
    </w:p>
    <w:p>
      <w:pPr>
        <w:spacing w:line="360" w:lineRule="exact"/>
        <w:ind w:left="420" w:hanging="420" w:hangingChars="200"/>
        <w:rPr>
          <w:rFonts w:ascii="宋体" w:hAnsi="宋体" w:cs="宋体"/>
          <w:szCs w:val="21"/>
        </w:rPr>
      </w:pPr>
      <w:r>
        <w:rPr>
          <w:rFonts w:hint="eastAsia" w:ascii="宋体" w:hAnsi="宋体" w:cs="宋体"/>
          <w:szCs w:val="21"/>
        </w:rPr>
        <w:t>(2)  评标委员会发现投标人的报价明显低于其他投标报价的平均价，使得其投标报价可能低于其实际成本的，在要求该投标人做出书面说明并提供相关证明材料后仍不能证明其投标报价未低于成本价的，评标委员会将通过集体表决的方式，确定该投标人是否以低于成本报价竞标。</w:t>
      </w:r>
    </w:p>
    <w:p>
      <w:pPr>
        <w:spacing w:line="360" w:lineRule="exact"/>
        <w:ind w:left="422" w:hanging="422" w:hangingChars="200"/>
        <w:rPr>
          <w:rFonts w:ascii="宋体" w:hAnsi="宋体" w:cs="宋体"/>
          <w:szCs w:val="21"/>
        </w:rPr>
      </w:pPr>
      <w:r>
        <w:rPr>
          <w:rFonts w:hint="eastAsia" w:ascii="宋体" w:hAnsi="宋体" w:cs="宋体"/>
          <w:b/>
          <w:bCs/>
          <w:szCs w:val="21"/>
        </w:rPr>
        <w:t xml:space="preserve">5  澄清及错误的修改 </w:t>
      </w:r>
    </w:p>
    <w:p>
      <w:pPr>
        <w:spacing w:line="360" w:lineRule="exact"/>
        <w:ind w:left="559" w:hanging="558" w:hangingChars="266"/>
        <w:rPr>
          <w:rFonts w:ascii="宋体" w:hAnsi="宋体" w:cs="宋体"/>
          <w:szCs w:val="21"/>
        </w:rPr>
      </w:pPr>
      <w:r>
        <w:rPr>
          <w:rFonts w:hint="eastAsia" w:ascii="宋体" w:hAnsi="宋体" w:cs="宋体"/>
          <w:szCs w:val="21"/>
        </w:rPr>
        <w:t>5．1  为有助于对投标文件进行审查、评估和比较，在评标期间招标人可以请投标人澄清其投标内容，有关澄清的要求与答复均应以书面形式提交，或按投标人通知的时间、地点指派专人进行答疑和澄清。除了根据5．3条对报价的错误进行的修正外，不允许其他任何对投标文件的实质性修改。</w:t>
      </w:r>
    </w:p>
    <w:p>
      <w:pPr>
        <w:spacing w:line="360" w:lineRule="exact"/>
        <w:ind w:left="604" w:hanging="603" w:hangingChars="293"/>
        <w:rPr>
          <w:rFonts w:ascii="宋体" w:hAnsi="宋体" w:cs="宋体"/>
          <w:szCs w:val="21"/>
        </w:rPr>
      </w:pPr>
      <w:r>
        <w:rPr>
          <w:rFonts w:hint="eastAsia" w:ascii="宋体" w:hAnsi="宋体" w:cs="宋体"/>
          <w:spacing w:val="-2"/>
          <w:szCs w:val="21"/>
        </w:rPr>
        <w:t>5．2  初评后，由评标委员会主持讨论对投标文件中含义不明确的内容、单价的合理性等提出是否需要澄清的问题，澄清问题的清单由评标委员会主任签字后以书面形式发出。有关澄清说明与答复，投标人应以书面形式按招标文件中规定的数量、签署等规定进行，并提供相应的电子文档，但对投标报价和实质性的内容不得更改。澄清问题作为投标文件的组成部</w:t>
      </w:r>
      <w:r>
        <w:rPr>
          <w:rFonts w:hint="eastAsia" w:ascii="宋体" w:hAnsi="宋体" w:cs="宋体"/>
          <w:szCs w:val="21"/>
        </w:rPr>
        <w:t>分。</w:t>
      </w:r>
    </w:p>
    <w:p>
      <w:pPr>
        <w:spacing w:line="360" w:lineRule="exact"/>
        <w:ind w:left="630" w:hanging="630" w:hangingChars="300"/>
        <w:rPr>
          <w:rFonts w:ascii="宋体" w:hAnsi="宋体" w:cs="宋体"/>
          <w:szCs w:val="21"/>
        </w:rPr>
      </w:pPr>
      <w:r>
        <w:rPr>
          <w:rFonts w:hint="eastAsia" w:ascii="宋体" w:hAnsi="宋体" w:cs="宋体"/>
          <w:szCs w:val="21"/>
        </w:rPr>
        <w:t>5．3  评标委员会将对确定为实质上响应招标文件要求的投标文件进行校核，看其是否有计算上、累计上的错误，修正错误的原则如下：</w:t>
      </w:r>
    </w:p>
    <w:p>
      <w:pPr>
        <w:spacing w:line="360" w:lineRule="exact"/>
        <w:ind w:firstLine="210" w:firstLineChars="100"/>
        <w:rPr>
          <w:rFonts w:ascii="宋体" w:hAnsi="宋体" w:cs="宋体"/>
          <w:szCs w:val="21"/>
        </w:rPr>
      </w:pPr>
      <w:r>
        <w:rPr>
          <w:rFonts w:hint="eastAsia" w:ascii="宋体" w:hAnsi="宋体" w:cs="宋体"/>
          <w:szCs w:val="21"/>
        </w:rPr>
        <w:t>(1) 如果数字表示的金额和用文字表示的金额不一致时，应以文字表示的金额为准；</w:t>
      </w:r>
    </w:p>
    <w:p>
      <w:pPr>
        <w:spacing w:line="360" w:lineRule="exact"/>
        <w:ind w:left="630" w:leftChars="100" w:hanging="420" w:hangingChars="200"/>
        <w:rPr>
          <w:rFonts w:ascii="宋体" w:hAnsi="宋体" w:cs="宋体"/>
          <w:szCs w:val="21"/>
        </w:rPr>
      </w:pPr>
      <w:r>
        <w:rPr>
          <w:rFonts w:hint="eastAsia" w:ascii="宋体" w:hAnsi="宋体" w:cs="宋体"/>
          <w:szCs w:val="21"/>
        </w:rPr>
        <w:t>(2) 当单价与数量的乘积与合价不一致时，以单价为准，除非评标委员会确认单价有明显的小数点错误，此时应以标出的合价为准，并相应修改单价；</w:t>
      </w:r>
    </w:p>
    <w:p>
      <w:pPr>
        <w:spacing w:line="360" w:lineRule="exact"/>
        <w:ind w:left="618" w:hanging="618" w:hangingChars="300"/>
        <w:rPr>
          <w:rFonts w:ascii="宋体" w:hAnsi="宋体" w:cs="宋体"/>
          <w:spacing w:val="-2"/>
          <w:szCs w:val="21"/>
        </w:rPr>
      </w:pPr>
      <w:r>
        <w:rPr>
          <w:rFonts w:hint="eastAsia" w:ascii="宋体" w:hAnsi="宋体" w:cs="宋体"/>
          <w:spacing w:val="-2"/>
          <w:szCs w:val="21"/>
        </w:rPr>
        <w:t xml:space="preserve">  (3) 当投标函中的投标报价数字与投标报价不一致时，以投标函中的投标报价数字为准。但投标人必须补交与投标函中的投标报价相一致的投标报价的主要分项报价清单汇总表；</w:t>
      </w:r>
    </w:p>
    <w:p>
      <w:pPr>
        <w:spacing w:line="360" w:lineRule="exact"/>
        <w:ind w:left="573" w:leftChars="73" w:hanging="420" w:hangingChars="200"/>
        <w:rPr>
          <w:rFonts w:ascii="宋体" w:hAnsi="宋体" w:cs="宋体"/>
          <w:szCs w:val="21"/>
        </w:rPr>
      </w:pPr>
      <w:r>
        <w:rPr>
          <w:rFonts w:hint="eastAsia" w:ascii="宋体" w:hAnsi="宋体" w:cs="宋体"/>
          <w:szCs w:val="21"/>
        </w:rPr>
        <w:t>（4）对于投标人未按招标文件规定而漏报的报价项目，在评标时将把所有投标人对该项目的最高报价加在其评标总报价上。</w:t>
      </w:r>
    </w:p>
    <w:p>
      <w:pPr>
        <w:snapToGrid w:val="0"/>
        <w:spacing w:line="360" w:lineRule="exact"/>
        <w:rPr>
          <w:rFonts w:ascii="宋体" w:hAnsi="宋体" w:cs="宋体"/>
          <w:szCs w:val="21"/>
        </w:rPr>
      </w:pPr>
      <w:r>
        <w:rPr>
          <w:rFonts w:hint="eastAsia" w:ascii="宋体" w:hAnsi="宋体" w:cs="宋体"/>
          <w:szCs w:val="21"/>
        </w:rPr>
        <w:t>5．4  按上述修正错误的原则及方法调整或修正投标文件的投标报价，投标人同意后，该投标报价对投标人起约束作用。</w:t>
      </w:r>
    </w:p>
    <w:p>
      <w:pPr>
        <w:snapToGrid w:val="0"/>
        <w:spacing w:line="360" w:lineRule="exact"/>
        <w:rPr>
          <w:rFonts w:ascii="宋体" w:hAnsi="宋体" w:cs="宋体"/>
          <w:szCs w:val="21"/>
        </w:rPr>
      </w:pPr>
      <w:r>
        <w:rPr>
          <w:rFonts w:hint="eastAsia" w:ascii="宋体" w:hAnsi="宋体" w:cs="宋体"/>
          <w:b/>
          <w:bCs/>
          <w:szCs w:val="21"/>
        </w:rPr>
        <w:t>6  详细评审</w:t>
      </w:r>
    </w:p>
    <w:p>
      <w:pPr>
        <w:snapToGrid w:val="0"/>
        <w:spacing w:line="360" w:lineRule="exact"/>
        <w:rPr>
          <w:rFonts w:ascii="宋体" w:hAnsi="宋体" w:cs="宋体"/>
          <w:szCs w:val="21"/>
        </w:rPr>
      </w:pPr>
      <w:r>
        <w:rPr>
          <w:rFonts w:hint="eastAsia" w:ascii="宋体" w:hAnsi="宋体" w:cs="宋体"/>
          <w:szCs w:val="21"/>
        </w:rPr>
        <w:t>6．1澄清结束后，评标委员会仅对通过初步审查的投标文件进行详细审查。详细评审将对各投标文件进行全面的审查、澄清、评估和比较，对投标文件详细评分。</w:t>
      </w:r>
    </w:p>
    <w:p>
      <w:pPr>
        <w:pStyle w:val="15"/>
        <w:rPr>
          <w:rFonts w:ascii="宋体" w:hAnsi="宋体"/>
        </w:rPr>
      </w:pPr>
    </w:p>
    <w:p>
      <w:pPr>
        <w:snapToGrid w:val="0"/>
        <w:spacing w:line="360" w:lineRule="auto"/>
        <w:jc w:val="center"/>
        <w:rPr>
          <w:rFonts w:ascii="宋体" w:hAnsi="宋体"/>
          <w:b/>
          <w:bCs/>
          <w:sz w:val="24"/>
        </w:rPr>
      </w:pPr>
      <w:r>
        <w:rPr>
          <w:rFonts w:hint="eastAsia" w:ascii="宋体" w:hAnsi="宋体"/>
          <w:b/>
          <w:bCs/>
          <w:sz w:val="24"/>
        </w:rPr>
        <w:t>综合评分表</w:t>
      </w:r>
    </w:p>
    <w:p>
      <w:pPr>
        <w:spacing w:line="360" w:lineRule="exact"/>
        <w:ind w:left="630" w:hanging="630" w:hangingChars="300"/>
        <w:rPr>
          <w:rFonts w:ascii="宋体" w:hAnsi="宋体" w:cs="宋体"/>
          <w:szCs w:val="21"/>
        </w:rPr>
      </w:pPr>
    </w:p>
    <w:tbl>
      <w:tblPr>
        <w:tblStyle w:val="32"/>
        <w:tblpPr w:leftFromText="180" w:rightFromText="180" w:vertAnchor="text" w:horzAnchor="page" w:tblpX="1029" w:tblpY="464"/>
        <w:tblOverlap w:val="never"/>
        <w:tblW w:w="10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212"/>
        <w:gridCol w:w="1934"/>
        <w:gridCol w:w="1034"/>
        <w:gridCol w:w="4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172" w:type="dxa"/>
            <w:gridSpan w:val="2"/>
            <w:vAlign w:val="center"/>
          </w:tcPr>
          <w:p>
            <w:r>
              <w:t>1</w:t>
            </w:r>
          </w:p>
        </w:tc>
        <w:tc>
          <w:tcPr>
            <w:tcW w:w="2968" w:type="dxa"/>
            <w:gridSpan w:val="2"/>
            <w:vAlign w:val="center"/>
          </w:tcPr>
          <w:p>
            <w:r>
              <w:rPr>
                <w:rFonts w:hint="eastAsia"/>
              </w:rPr>
              <w:t>分值构成</w:t>
            </w:r>
          </w:p>
        </w:tc>
        <w:tc>
          <w:tcPr>
            <w:tcW w:w="4898" w:type="dxa"/>
            <w:vAlign w:val="center"/>
          </w:tcPr>
          <w:p>
            <w:r>
              <w:rPr>
                <w:rFonts w:hint="eastAsia"/>
              </w:rPr>
              <w:t>满分</w:t>
            </w:r>
            <w:r>
              <w:t>100</w:t>
            </w:r>
            <w:r>
              <w:rPr>
                <w:rFonts w:hint="eastAsia"/>
              </w:rPr>
              <w:t>分，其中投标报价部分：</w:t>
            </w:r>
            <w:r>
              <w:t>30</w:t>
            </w:r>
            <w:r>
              <w:rPr>
                <w:rFonts w:hint="eastAsia"/>
              </w:rPr>
              <w:t>分；技术部分：</w:t>
            </w:r>
            <w:r>
              <w:t>38</w:t>
            </w:r>
            <w:r>
              <w:rPr>
                <w:rFonts w:hint="eastAsia"/>
              </w:rPr>
              <w:t>分；商务部分：</w:t>
            </w:r>
            <w:r>
              <w:t>32</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72" w:type="dxa"/>
            <w:gridSpan w:val="2"/>
            <w:vAlign w:val="center"/>
          </w:tcPr>
          <w:p>
            <w:r>
              <w:rPr>
                <w:rFonts w:hint="eastAsia"/>
              </w:rPr>
              <w:t>条款号</w:t>
            </w:r>
          </w:p>
        </w:tc>
        <w:tc>
          <w:tcPr>
            <w:tcW w:w="1934" w:type="dxa"/>
            <w:vAlign w:val="center"/>
          </w:tcPr>
          <w:p>
            <w:r>
              <w:rPr>
                <w:rFonts w:hint="eastAsia"/>
              </w:rPr>
              <w:t>评审因素及分值</w:t>
            </w:r>
          </w:p>
        </w:tc>
        <w:tc>
          <w:tcPr>
            <w:tcW w:w="5932" w:type="dxa"/>
            <w:gridSpan w:val="2"/>
            <w:vAlign w:val="center"/>
          </w:tcPr>
          <w:p>
            <w:r>
              <w:rPr>
                <w:rFonts w:hint="eastAsi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60" w:type="dxa"/>
            <w:vAlign w:val="center"/>
          </w:tcPr>
          <w:p>
            <w:r>
              <w:t>2.1</w:t>
            </w:r>
          </w:p>
        </w:tc>
        <w:tc>
          <w:tcPr>
            <w:tcW w:w="1212" w:type="dxa"/>
            <w:vAlign w:val="center"/>
          </w:tcPr>
          <w:p>
            <w:r>
              <w:rPr>
                <w:rFonts w:hint="eastAsia"/>
              </w:rPr>
              <w:t>投标报价部分评审（</w:t>
            </w:r>
            <w:r>
              <w:t>30</w:t>
            </w:r>
            <w:r>
              <w:rPr>
                <w:rFonts w:hint="eastAsia"/>
              </w:rPr>
              <w:t>分）</w:t>
            </w:r>
          </w:p>
        </w:tc>
        <w:tc>
          <w:tcPr>
            <w:tcW w:w="1934" w:type="dxa"/>
            <w:vAlign w:val="center"/>
          </w:tcPr>
          <w:p>
            <w:r>
              <w:rPr>
                <w:rFonts w:hint="eastAsia"/>
              </w:rPr>
              <w:t>投标报价</w:t>
            </w:r>
          </w:p>
          <w:p>
            <w:r>
              <w:rPr>
                <w:rFonts w:hint="eastAsia"/>
              </w:rPr>
              <w:t>（单价）</w:t>
            </w:r>
          </w:p>
          <w:p>
            <w:r>
              <w:rPr>
                <w:rFonts w:hint="eastAsia"/>
              </w:rPr>
              <w:t>（</w:t>
            </w:r>
            <w:r>
              <w:t>30</w:t>
            </w:r>
            <w:r>
              <w:rPr>
                <w:rFonts w:hint="eastAsia"/>
              </w:rPr>
              <w:t>分）</w:t>
            </w:r>
          </w:p>
        </w:tc>
        <w:tc>
          <w:tcPr>
            <w:tcW w:w="5932" w:type="dxa"/>
            <w:gridSpan w:val="2"/>
            <w:vAlign w:val="center"/>
          </w:tcPr>
          <w:p>
            <w:pPr>
              <w:snapToGrid w:val="0"/>
              <w:spacing w:line="276" w:lineRule="auto"/>
              <w:jc w:val="left"/>
              <w:rPr>
                <w:rFonts w:ascii="宋体" w:hAnsi="宋体" w:cs="宋体"/>
                <w:kern w:val="0"/>
                <w:szCs w:val="21"/>
              </w:rPr>
            </w:pPr>
            <w:r>
              <w:rPr>
                <w:rFonts w:ascii="宋体" w:hAnsi="宋体" w:cs="宋体"/>
                <w:kern w:val="0"/>
                <w:szCs w:val="21"/>
              </w:rPr>
              <w:t>1.</w:t>
            </w:r>
            <w:r>
              <w:rPr>
                <w:rFonts w:hint="eastAsia" w:ascii="宋体" w:hAnsi="宋体" w:cs="宋体"/>
                <w:kern w:val="0"/>
                <w:szCs w:val="21"/>
              </w:rPr>
              <w:t>以所有投标人有效投标报价的平均值*0.95做为基准价（有效投标人数量大于等于</w:t>
            </w:r>
            <w:r>
              <w:rPr>
                <w:rFonts w:ascii="宋体" w:hAnsi="宋体" w:cs="宋体"/>
                <w:kern w:val="0"/>
                <w:szCs w:val="21"/>
              </w:rPr>
              <w:t>5时，去掉一个最低报价和一个最高报价进行平均；有效投标人数量小于5时，完全平均），等于基准价的投标总报价得满分30分。每高于基准价1％扣2</w:t>
            </w:r>
            <w:r>
              <w:rPr>
                <w:rFonts w:hint="eastAsia" w:ascii="宋体" w:hAnsi="宋体" w:cs="宋体"/>
                <w:kern w:val="0"/>
                <w:szCs w:val="21"/>
              </w:rPr>
              <w:t>分，每低于基准价</w:t>
            </w:r>
            <w:r>
              <w:rPr>
                <w:rFonts w:ascii="宋体" w:hAnsi="宋体" w:cs="宋体"/>
                <w:kern w:val="0"/>
                <w:szCs w:val="21"/>
              </w:rPr>
              <w:t>1％扣1</w:t>
            </w:r>
            <w:r>
              <w:rPr>
                <w:rFonts w:hint="eastAsia" w:ascii="宋体" w:hAnsi="宋体" w:cs="宋体"/>
                <w:kern w:val="0"/>
                <w:szCs w:val="21"/>
              </w:rPr>
              <w:t>分，最多扣</w:t>
            </w:r>
            <w:r>
              <w:rPr>
                <w:rFonts w:ascii="宋体" w:hAnsi="宋体" w:cs="宋体"/>
                <w:kern w:val="0"/>
                <w:szCs w:val="21"/>
              </w:rPr>
              <w:t>5</w:t>
            </w:r>
            <w:r>
              <w:rPr>
                <w:rFonts w:hint="eastAsia" w:ascii="宋体" w:hAnsi="宋体" w:cs="宋体"/>
                <w:kern w:val="0"/>
                <w:szCs w:val="21"/>
              </w:rPr>
              <w:t>分</w:t>
            </w:r>
            <w:r>
              <w:rPr>
                <w:rFonts w:ascii="宋体" w:hAnsi="宋体" w:cs="宋体"/>
                <w:kern w:val="0"/>
                <w:szCs w:val="21"/>
              </w:rPr>
              <w:t>。</w:t>
            </w:r>
          </w:p>
          <w:p>
            <w:r>
              <w:rPr>
                <w:rFonts w:ascii="宋体" w:hAnsi="宋体" w:cs="宋体"/>
                <w:kern w:val="0"/>
                <w:szCs w:val="21"/>
              </w:rPr>
              <w:t>2.得分保留小数点后两位。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960" w:type="dxa"/>
            <w:vMerge w:val="restart"/>
            <w:vAlign w:val="center"/>
          </w:tcPr>
          <w:p>
            <w:r>
              <w:t>2.2</w:t>
            </w:r>
          </w:p>
        </w:tc>
        <w:tc>
          <w:tcPr>
            <w:tcW w:w="1212" w:type="dxa"/>
            <w:vMerge w:val="restart"/>
            <w:vAlign w:val="center"/>
          </w:tcPr>
          <w:p>
            <w:bookmarkStart w:id="9" w:name="_Hlk89964723"/>
            <w:r>
              <w:rPr>
                <w:rFonts w:hint="eastAsia"/>
              </w:rPr>
              <w:t>技术部分</w:t>
            </w:r>
            <w:bookmarkEnd w:id="9"/>
            <w:r>
              <w:rPr>
                <w:rFonts w:hint="eastAsia"/>
              </w:rPr>
              <w:t>评审（</w:t>
            </w:r>
            <w:r>
              <w:t>38</w:t>
            </w:r>
            <w:r>
              <w:rPr>
                <w:rFonts w:hint="eastAsia"/>
              </w:rPr>
              <w:t>分）</w:t>
            </w:r>
          </w:p>
        </w:tc>
        <w:tc>
          <w:tcPr>
            <w:tcW w:w="1934" w:type="dxa"/>
            <w:vAlign w:val="center"/>
          </w:tcPr>
          <w:p>
            <w:r>
              <w:rPr>
                <w:rFonts w:hint="eastAsia"/>
              </w:rPr>
              <w:t>生产能力</w:t>
            </w:r>
          </w:p>
          <w:p>
            <w:r>
              <w:rPr>
                <w:rFonts w:hint="eastAsia"/>
              </w:rPr>
              <w:t>（</w:t>
            </w:r>
            <w:r>
              <w:t>10</w:t>
            </w:r>
            <w:r>
              <w:rPr>
                <w:rFonts w:hint="eastAsia"/>
              </w:rPr>
              <w:t>分）</w:t>
            </w:r>
          </w:p>
        </w:tc>
        <w:tc>
          <w:tcPr>
            <w:tcW w:w="5932" w:type="dxa"/>
            <w:gridSpan w:val="2"/>
            <w:vAlign w:val="center"/>
          </w:tcPr>
          <w:p>
            <w:r>
              <w:rPr>
                <w:rFonts w:hint="eastAsia"/>
              </w:rPr>
              <w:t>从生产能力承诺能否满足项目的质量、规模、期限等采购需求、能否提供相应证明材料并详细说明实现该承诺的基本条件、能否提出实现该承诺的产能和质量保障措施、措施是否合理可行等方面，结合投标人提供的视频、图文等形式资料进行综合评价。优得</w:t>
            </w:r>
            <w:r>
              <w:t>7-10</w:t>
            </w:r>
            <w:r>
              <w:rPr>
                <w:rFonts w:hint="eastAsia"/>
              </w:rPr>
              <w:t>分；良得</w:t>
            </w:r>
            <w:r>
              <w:t>4-6</w:t>
            </w:r>
            <w:r>
              <w:rPr>
                <w:rFonts w:hint="eastAsia"/>
              </w:rPr>
              <w:t>分；一般得</w:t>
            </w:r>
            <w:r>
              <w:t>0-3</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设备整体评价</w:t>
            </w:r>
          </w:p>
          <w:p>
            <w:r>
              <w:rPr>
                <w:rFonts w:hint="eastAsia"/>
              </w:rPr>
              <w:t>（</w:t>
            </w:r>
            <w:r>
              <w:t>10</w:t>
            </w:r>
            <w:r>
              <w:rPr>
                <w:rFonts w:hint="eastAsia"/>
              </w:rPr>
              <w:t>分）</w:t>
            </w:r>
          </w:p>
        </w:tc>
        <w:tc>
          <w:tcPr>
            <w:tcW w:w="5932" w:type="dxa"/>
            <w:gridSpan w:val="2"/>
            <w:vAlign w:val="center"/>
          </w:tcPr>
          <w:p>
            <w:r>
              <w:rPr>
                <w:rFonts w:hint="eastAsia"/>
              </w:rPr>
              <w:t>根据投标人提供的投标文件中的图文描述等，对所投产品、设施的整体设计及外观、制造加工工艺、先进性、可靠性、稳定性、耐用性、安全性、安装维修是否方便、设备自动化程度等进行综合打分。优得</w:t>
            </w:r>
            <w:r>
              <w:t>7-10</w:t>
            </w:r>
            <w:r>
              <w:rPr>
                <w:rFonts w:hint="eastAsia"/>
              </w:rPr>
              <w:t>分；良得</w:t>
            </w:r>
            <w:r>
              <w:t>4-6</w:t>
            </w:r>
            <w:r>
              <w:rPr>
                <w:rFonts w:hint="eastAsia"/>
              </w:rPr>
              <w:t>分；差得</w:t>
            </w:r>
            <w:r>
              <w:t>0-3</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主要部件</w:t>
            </w:r>
          </w:p>
          <w:p>
            <w:r>
              <w:rPr>
                <w:rFonts w:hint="eastAsia"/>
              </w:rPr>
              <w:t>（</w:t>
            </w:r>
            <w:r>
              <w:t>7</w:t>
            </w:r>
            <w:r>
              <w:rPr>
                <w:rFonts w:hint="eastAsia"/>
              </w:rPr>
              <w:t>分）</w:t>
            </w:r>
          </w:p>
        </w:tc>
        <w:tc>
          <w:tcPr>
            <w:tcW w:w="5932" w:type="dxa"/>
            <w:gridSpan w:val="2"/>
            <w:vAlign w:val="center"/>
          </w:tcPr>
          <w:p>
            <w:r>
              <w:rPr>
                <w:rFonts w:hint="eastAsia"/>
              </w:rPr>
              <w:t>根据投标人提供的投标文件中的图文描述等，对所投产品、设施设备主要部件和易损耗部件的材质、材料厚度、技术参数的响应情况、质量是否可靠、使用寿命周期、是否易于更换等方面进行综合打分。优得</w:t>
            </w:r>
            <w:r>
              <w:t>5-7</w:t>
            </w:r>
            <w:r>
              <w:rPr>
                <w:rFonts w:hint="eastAsia"/>
              </w:rPr>
              <w:t>分；良得</w:t>
            </w:r>
            <w:r>
              <w:t>2-4</w:t>
            </w:r>
            <w:r>
              <w:rPr>
                <w:rFonts w:hint="eastAsia"/>
              </w:rPr>
              <w:t>分；差得</w:t>
            </w:r>
            <w:r>
              <w:t>0-1</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售后服务</w:t>
            </w:r>
          </w:p>
          <w:p>
            <w:r>
              <w:rPr>
                <w:rFonts w:hint="eastAsia"/>
              </w:rPr>
              <w:t>（</w:t>
            </w:r>
            <w:r>
              <w:t>8</w:t>
            </w:r>
            <w:r>
              <w:rPr>
                <w:rFonts w:hint="eastAsia"/>
              </w:rPr>
              <w:t>分）</w:t>
            </w:r>
          </w:p>
        </w:tc>
        <w:tc>
          <w:tcPr>
            <w:tcW w:w="5932" w:type="dxa"/>
            <w:gridSpan w:val="2"/>
            <w:vAlign w:val="center"/>
          </w:tcPr>
          <w:p>
            <w:r>
              <w:rPr>
                <w:rFonts w:hint="eastAsia"/>
              </w:rPr>
              <w:t>（</w:t>
            </w:r>
            <w:r>
              <w:t>1</w:t>
            </w:r>
            <w:r>
              <w:rPr>
                <w:rFonts w:hint="eastAsia"/>
              </w:rPr>
              <w:t>）总体服务方案：根据投标人提供售后服务方案，从排产供货方案、运输方案、安装调试方案、运行维护方案、烘烤前后设备检修计划、设备故障应急处理方案、培训方案等方面进行评价，根据方案内容的具体性、完整性、操作性、针对性等，给</w:t>
            </w:r>
            <w:r>
              <w:t>0-5</w:t>
            </w:r>
            <w:r>
              <w:rPr>
                <w:rFonts w:hint="eastAsia"/>
              </w:rPr>
              <w:t>分；</w:t>
            </w:r>
          </w:p>
          <w:p>
            <w:r>
              <w:rPr>
                <w:rFonts w:hint="eastAsia"/>
              </w:rPr>
              <w:t>（</w:t>
            </w:r>
            <w:r>
              <w:t>2</w:t>
            </w:r>
            <w:r>
              <w:rPr>
                <w:rFonts w:hint="eastAsia"/>
              </w:rPr>
              <w:t>）晾晒期驻点服务：根据投标人提供的晾晒期驻点人员计划安排和服务方案横向比较，给</w:t>
            </w:r>
            <w:r>
              <w:t>0-3</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备件保障</w:t>
            </w:r>
          </w:p>
          <w:p>
            <w:r>
              <w:rPr>
                <w:rFonts w:hint="eastAsia"/>
              </w:rPr>
              <w:t>（</w:t>
            </w:r>
            <w:r>
              <w:t>3</w:t>
            </w:r>
            <w:r>
              <w:rPr>
                <w:rFonts w:hint="eastAsia"/>
              </w:rPr>
              <w:t>分）</w:t>
            </w:r>
          </w:p>
        </w:tc>
        <w:tc>
          <w:tcPr>
            <w:tcW w:w="5932" w:type="dxa"/>
            <w:gridSpan w:val="2"/>
            <w:vAlign w:val="center"/>
          </w:tcPr>
          <w:p>
            <w:r>
              <w:rPr>
                <w:rFonts w:hint="eastAsia"/>
              </w:rPr>
              <w:t>根据在省内已有的备品备件库数量及分布情况，以及以县为单位配备易损件和常用零配件备件供应方案及保障措施情况，后续补充是否有保障，存放地点和取用手续是否便捷等，进行综合评价，给</w:t>
            </w:r>
            <w:r>
              <w:t>0-3</w:t>
            </w:r>
            <w:r>
              <w:rPr>
                <w:rFonts w:hint="eastAsia"/>
              </w:rPr>
              <w:t>分。</w:t>
            </w:r>
          </w:p>
          <w:p>
            <w:r>
              <w:rPr>
                <w:rFonts w:hint="eastAsia"/>
              </w:rPr>
              <w:t>须提供已有的备件库具体地址、房屋租赁协议、固定办公电话、常驻服务人员名单等有效证明材料。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1" w:hRule="atLeast"/>
        </w:trPr>
        <w:tc>
          <w:tcPr>
            <w:tcW w:w="960" w:type="dxa"/>
            <w:vMerge w:val="restart"/>
            <w:vAlign w:val="center"/>
          </w:tcPr>
          <w:p>
            <w:r>
              <w:rPr>
                <w:rFonts w:hint="eastAsia"/>
              </w:rPr>
              <w:t>2.3</w:t>
            </w:r>
          </w:p>
        </w:tc>
        <w:tc>
          <w:tcPr>
            <w:tcW w:w="1212" w:type="dxa"/>
            <w:vMerge w:val="restart"/>
            <w:vAlign w:val="center"/>
          </w:tcPr>
          <w:p>
            <w:r>
              <w:rPr>
                <w:rFonts w:hint="eastAsia"/>
              </w:rPr>
              <w:t>商务部分评审（</w:t>
            </w:r>
            <w:r>
              <w:t>32</w:t>
            </w:r>
            <w:r>
              <w:rPr>
                <w:rFonts w:hint="eastAsia"/>
              </w:rPr>
              <w:t>分）</w:t>
            </w:r>
          </w:p>
        </w:tc>
        <w:tc>
          <w:tcPr>
            <w:tcW w:w="1934" w:type="dxa"/>
            <w:vAlign w:val="center"/>
          </w:tcPr>
          <w:p>
            <w:r>
              <w:rPr>
                <w:rFonts w:hint="eastAsia"/>
              </w:rPr>
              <w:t>认证证书</w:t>
            </w:r>
          </w:p>
          <w:p>
            <w:r>
              <w:rPr>
                <w:rFonts w:hint="eastAsia"/>
              </w:rPr>
              <w:t>（</w:t>
            </w:r>
            <w:r>
              <w:t>16</w:t>
            </w:r>
            <w:r>
              <w:rPr>
                <w:rFonts w:hint="eastAsia"/>
              </w:rPr>
              <w:t>分）</w:t>
            </w:r>
          </w:p>
        </w:tc>
        <w:tc>
          <w:tcPr>
            <w:tcW w:w="5932" w:type="dxa"/>
            <w:gridSpan w:val="2"/>
            <w:vAlign w:val="center"/>
          </w:tcPr>
          <w:p>
            <w:r>
              <w:t>1</w:t>
            </w:r>
            <w:r>
              <w:rPr>
                <w:rFonts w:hint="eastAsia"/>
              </w:rPr>
              <w:t>.投标人具有有效质量管理体系认证证书、环境管理体系认证证书、职业健康管理体系认证证书、信息安全管理体系认证证书，售后服务工程师证书两个以上、售后服务管理证书、两化融合管理证书、省级知识产权优势企业、省级专精特新企业、省级高新技术企业等证书每个</w:t>
            </w:r>
            <w:r>
              <w:t>0</w:t>
            </w:r>
            <w:r>
              <w:rPr>
                <w:rFonts w:hint="eastAsia"/>
              </w:rPr>
              <w:t>.</w:t>
            </w:r>
            <w:r>
              <w:t>5</w:t>
            </w:r>
            <w:r>
              <w:rPr>
                <w:rFonts w:hint="eastAsia"/>
              </w:rPr>
              <w:t>分</w:t>
            </w:r>
            <w:r>
              <w:t>；</w:t>
            </w:r>
          </w:p>
          <w:p>
            <w:r>
              <w:t>2</w:t>
            </w:r>
            <w:r>
              <w:rPr>
                <w:rFonts w:hint="eastAsia"/>
              </w:rPr>
              <w:t>.投标人具有（或</w:t>
            </w:r>
            <w:r>
              <w:t>经著作权人许可使用，提供许可使用合同）</w:t>
            </w:r>
            <w:r>
              <w:rPr>
                <w:rFonts w:hint="eastAsia"/>
              </w:rPr>
              <w:t>：</w:t>
            </w:r>
            <w:r>
              <w:rPr>
                <w:rFonts w:hint="eastAsia"/>
                <w:szCs w:val="24"/>
              </w:rPr>
              <w:t>国家知识产权局颁发的有</w:t>
            </w:r>
            <w:r>
              <w:rPr>
                <w:szCs w:val="24"/>
              </w:rPr>
              <w:t>效的</w:t>
            </w:r>
            <w:r>
              <w:rPr>
                <w:rFonts w:hint="eastAsia"/>
                <w:szCs w:val="24"/>
              </w:rPr>
              <w:t>智能烘干管理类</w:t>
            </w:r>
            <w:r>
              <w:rPr>
                <w:szCs w:val="24"/>
              </w:rPr>
              <w:t>且与项目相关的</w:t>
            </w:r>
            <w:r>
              <w:rPr>
                <w:rFonts w:hint="eastAsia"/>
                <w:szCs w:val="24"/>
              </w:rPr>
              <w:t>信息系统计算机软件著作权登记证书、雪茄烟叶智慧晾晒房管理类</w:t>
            </w:r>
            <w:r>
              <w:rPr>
                <w:szCs w:val="24"/>
              </w:rPr>
              <w:t>且与项目相关的</w:t>
            </w:r>
            <w:r>
              <w:rPr>
                <w:rFonts w:hint="eastAsia"/>
                <w:szCs w:val="24"/>
              </w:rPr>
              <w:t>信息系统软件著作权登记证书、高温热泵烟草类烘干机中国节能认证证书、高温热泵烟草类烘干机</w:t>
            </w:r>
            <w:r>
              <w:rPr>
                <w:szCs w:val="24"/>
              </w:rPr>
              <w:t>CQC</w:t>
            </w:r>
            <w:r>
              <w:rPr>
                <w:rFonts w:hint="eastAsia"/>
                <w:szCs w:val="24"/>
              </w:rPr>
              <w:t>产品认证证书</w:t>
            </w:r>
            <w:r>
              <w:rPr>
                <w:szCs w:val="24"/>
              </w:rPr>
              <w:t>，</w:t>
            </w:r>
            <w:r>
              <w:rPr>
                <w:rFonts w:hint="eastAsia"/>
              </w:rPr>
              <w:t>每个证书</w:t>
            </w:r>
            <w:r>
              <w:t>1</w:t>
            </w:r>
            <w:r>
              <w:rPr>
                <w:rFonts w:hint="eastAsia"/>
              </w:rPr>
              <w:t>分</w:t>
            </w:r>
            <w:r>
              <w:t>；</w:t>
            </w:r>
          </w:p>
          <w:p>
            <w:pPr>
              <w:rPr>
                <w:szCs w:val="24"/>
              </w:rPr>
            </w:pPr>
            <w:r>
              <w:rPr>
                <w:szCs w:val="24"/>
              </w:rPr>
              <w:t>3</w:t>
            </w:r>
            <w:r>
              <w:rPr>
                <w:rFonts w:hint="eastAsia"/>
                <w:szCs w:val="24"/>
              </w:rPr>
              <w:t>.投标人具有现</w:t>
            </w:r>
            <w:r>
              <w:rPr>
                <w:szCs w:val="24"/>
              </w:rPr>
              <w:t>行有效</w:t>
            </w:r>
            <w:r>
              <w:rPr>
                <w:rFonts w:hint="eastAsia"/>
                <w:szCs w:val="24"/>
              </w:rPr>
              <w:t>雪茄烟叶晾制相关专利证书</w:t>
            </w:r>
            <w:r>
              <w:rPr>
                <w:rFonts w:hint="eastAsia"/>
              </w:rPr>
              <w:t>（或经专利</w:t>
            </w:r>
            <w:r>
              <w:t>权人许可</w:t>
            </w:r>
            <w:r>
              <w:rPr>
                <w:rFonts w:hint="eastAsia"/>
              </w:rPr>
              <w:t>使用，</w:t>
            </w:r>
            <w:r>
              <w:t>提供许可使用合同）</w:t>
            </w:r>
            <w:r>
              <w:rPr>
                <w:szCs w:val="24"/>
              </w:rPr>
              <w:t>，</w:t>
            </w:r>
            <w:r>
              <w:rPr>
                <w:rFonts w:hint="eastAsia"/>
                <w:szCs w:val="24"/>
              </w:rPr>
              <w:t>每</w:t>
            </w:r>
            <w:r>
              <w:rPr>
                <w:szCs w:val="24"/>
              </w:rPr>
              <w:t>个计</w:t>
            </w:r>
            <w:r>
              <w:rPr>
                <w:rFonts w:hint="eastAsia"/>
                <w:szCs w:val="24"/>
              </w:rPr>
              <w:t>1分</w:t>
            </w:r>
            <w:r>
              <w:rPr>
                <w:szCs w:val="24"/>
              </w:rPr>
              <w:t>，</w:t>
            </w:r>
            <w:r>
              <w:t>8</w:t>
            </w:r>
            <w:r>
              <w:rPr>
                <w:rFonts w:hint="eastAsia"/>
              </w:rPr>
              <w:t>个以上得</w:t>
            </w:r>
            <w:r>
              <w:t>7</w:t>
            </w:r>
            <w:r>
              <w:rPr>
                <w:rFonts w:hint="eastAsia"/>
              </w:rPr>
              <w:t>分</w:t>
            </w:r>
            <w:r>
              <w:t>；</w:t>
            </w:r>
          </w:p>
          <w:p>
            <w:pPr>
              <w:rPr>
                <w:szCs w:val="24"/>
              </w:rPr>
            </w:pPr>
            <w:r>
              <w:rPr>
                <w:rFonts w:hint="eastAsia"/>
                <w:szCs w:val="24"/>
              </w:rPr>
              <w:t>本项共计</w:t>
            </w:r>
            <w:r>
              <w:rPr>
                <w:szCs w:val="24"/>
              </w:rPr>
              <w:t>16</w:t>
            </w:r>
            <w:r>
              <w:rPr>
                <w:rFonts w:hint="eastAsia"/>
                <w:szCs w:val="24"/>
              </w:rPr>
              <w:t>分。</w:t>
            </w:r>
          </w:p>
          <w:p>
            <w:r>
              <w:rPr>
                <w:rFonts w:hint="eastAsia"/>
                <w:szCs w:val="24"/>
              </w:rPr>
              <w:t>注</w:t>
            </w:r>
            <w:r>
              <w:rPr>
                <w:szCs w:val="24"/>
              </w:rPr>
              <w:t>：</w:t>
            </w:r>
            <w:r>
              <w:rPr>
                <w:rFonts w:hint="eastAsia"/>
                <w:szCs w:val="24"/>
              </w:rPr>
              <w:t>同时提供加盖公章的证书原件扫描件及全国认证认可信息公共服务平台网站查询截图</w:t>
            </w:r>
            <w:r>
              <w:rPr>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业绩</w:t>
            </w:r>
          </w:p>
          <w:p>
            <w:r>
              <w:rPr>
                <w:rFonts w:hint="eastAsia"/>
              </w:rPr>
              <w:t>（</w:t>
            </w:r>
            <w:r>
              <w:t>12</w:t>
            </w:r>
            <w:r>
              <w:rPr>
                <w:rFonts w:hint="eastAsia"/>
              </w:rPr>
              <w:t>分）</w:t>
            </w:r>
          </w:p>
        </w:tc>
        <w:tc>
          <w:tcPr>
            <w:tcW w:w="5932" w:type="dxa"/>
            <w:gridSpan w:val="2"/>
            <w:vAlign w:val="center"/>
          </w:tcPr>
          <w:p>
            <w:pPr>
              <w:numPr>
                <w:ilvl w:val="0"/>
                <w:numId w:val="7"/>
              </w:numPr>
            </w:pPr>
            <w:bookmarkStart w:id="10" w:name="_Toc98781624"/>
            <w:bookmarkStart w:id="11" w:name="_Toc98937401"/>
            <w:bookmarkStart w:id="12" w:name="_Toc99614672"/>
            <w:bookmarkStart w:id="13" w:name="_Toc98953155"/>
            <w:r>
              <w:rPr>
                <w:rFonts w:hint="eastAsia"/>
              </w:rPr>
              <w:t>投标人近三年（</w:t>
            </w:r>
            <w:r>
              <w:t>2020</w:t>
            </w:r>
            <w:r>
              <w:rPr>
                <w:rFonts w:hint="eastAsia"/>
              </w:rPr>
              <w:t>年</w:t>
            </w:r>
            <w:r>
              <w:t>1</w:t>
            </w:r>
            <w:r>
              <w:rPr>
                <w:rFonts w:hint="eastAsia"/>
              </w:rPr>
              <w:t>月</w:t>
            </w:r>
            <w:r>
              <w:t>1</w:t>
            </w:r>
            <w:r>
              <w:rPr>
                <w:rFonts w:hint="eastAsia"/>
              </w:rPr>
              <w:t>日至投标截止日期，以合同签订时间为准）具有的成套烟叶烘烤类设备供货业绩，</w:t>
            </w:r>
            <w:bookmarkEnd w:id="10"/>
            <w:bookmarkEnd w:id="11"/>
            <w:bookmarkEnd w:id="12"/>
            <w:bookmarkEnd w:id="13"/>
            <w:r>
              <w:rPr>
                <w:rFonts w:hint="eastAsia"/>
              </w:rPr>
              <w:t>合计超过</w:t>
            </w:r>
            <w:r>
              <w:t>5000</w:t>
            </w:r>
            <w:r>
              <w:rPr>
                <w:rFonts w:hint="eastAsia"/>
              </w:rPr>
              <w:t>套以上的，得</w:t>
            </w:r>
            <w:r>
              <w:t>2</w:t>
            </w:r>
            <w:r>
              <w:rPr>
                <w:rFonts w:hint="eastAsia"/>
              </w:rPr>
              <w:t>分；</w:t>
            </w:r>
          </w:p>
          <w:p>
            <w:pPr>
              <w:numPr>
                <w:ilvl w:val="0"/>
                <w:numId w:val="7"/>
              </w:numPr>
            </w:pPr>
            <w:r>
              <w:rPr>
                <w:rFonts w:hint="eastAsia"/>
              </w:rPr>
              <w:t>投标人近三年（</w:t>
            </w:r>
            <w:r>
              <w:t>2020</w:t>
            </w:r>
            <w:r>
              <w:rPr>
                <w:rFonts w:hint="eastAsia"/>
              </w:rPr>
              <w:t>年</w:t>
            </w:r>
            <w:r>
              <w:t>1</w:t>
            </w:r>
            <w:r>
              <w:rPr>
                <w:rFonts w:hint="eastAsia"/>
              </w:rPr>
              <w:t>月</w:t>
            </w:r>
            <w:r>
              <w:t>1</w:t>
            </w:r>
            <w:r>
              <w:rPr>
                <w:rFonts w:hint="eastAsia"/>
              </w:rPr>
              <w:t>日至投标截止日期，以合同签订时间为准）具有承揽板房建设类业绩，合计</w:t>
            </w:r>
            <w:r>
              <w:t>500</w:t>
            </w:r>
            <w:r>
              <w:rPr>
                <w:rFonts w:hint="eastAsia"/>
              </w:rPr>
              <w:t>套以上得</w:t>
            </w:r>
            <w:r>
              <w:t>4</w:t>
            </w:r>
            <w:r>
              <w:rPr>
                <w:rFonts w:hint="eastAsia"/>
              </w:rPr>
              <w:t>分；</w:t>
            </w:r>
          </w:p>
          <w:p>
            <w:pPr>
              <w:numPr>
                <w:ilvl w:val="0"/>
                <w:numId w:val="7"/>
              </w:numPr>
            </w:pPr>
            <w:r>
              <w:rPr>
                <w:rFonts w:hint="eastAsia"/>
              </w:rPr>
              <w:t>有雪茄烟晾制科研合作项目和相关业绩，凭研发协议或研发合同，每个业绩计</w:t>
            </w:r>
            <w:r>
              <w:t>1</w:t>
            </w:r>
            <w:r>
              <w:rPr>
                <w:rFonts w:hint="eastAsia"/>
              </w:rPr>
              <w:t>分，最多</w:t>
            </w:r>
            <w:r>
              <w:t>6</w:t>
            </w:r>
            <w:r>
              <w:rPr>
                <w:rFonts w:hint="eastAsia"/>
              </w:rPr>
              <w:t>分；</w:t>
            </w:r>
          </w:p>
          <w:p>
            <w:r>
              <w:rPr>
                <w:rFonts w:hint="eastAsia"/>
              </w:rPr>
              <w:t>注：所有业绩应附中标通知书或研发</w:t>
            </w:r>
            <w:r>
              <w:t>/</w:t>
            </w:r>
            <w:r>
              <w:rPr>
                <w:rFonts w:hint="eastAsia"/>
              </w:rPr>
              <w:t>合同协议书复印件。投标人提供的业绩证明文件应能够证明该业绩符合本次招标评标要求，否则该业绩将不被确认。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960" w:type="dxa"/>
            <w:vMerge w:val="continue"/>
            <w:vAlign w:val="center"/>
          </w:tcPr>
          <w:p/>
        </w:tc>
        <w:tc>
          <w:tcPr>
            <w:tcW w:w="1212" w:type="dxa"/>
            <w:vMerge w:val="continue"/>
            <w:vAlign w:val="center"/>
          </w:tcPr>
          <w:p/>
        </w:tc>
        <w:tc>
          <w:tcPr>
            <w:tcW w:w="1934" w:type="dxa"/>
            <w:vAlign w:val="center"/>
          </w:tcPr>
          <w:p>
            <w:r>
              <w:rPr>
                <w:rFonts w:hint="eastAsia"/>
              </w:rPr>
              <w:t>综合实力</w:t>
            </w:r>
          </w:p>
          <w:p>
            <w:r>
              <w:rPr>
                <w:rFonts w:hint="eastAsia"/>
              </w:rPr>
              <w:t>（</w:t>
            </w:r>
            <w:r>
              <w:t>4</w:t>
            </w:r>
            <w:r>
              <w:rPr>
                <w:rFonts w:hint="eastAsia"/>
              </w:rPr>
              <w:t>分）</w:t>
            </w:r>
          </w:p>
        </w:tc>
        <w:tc>
          <w:tcPr>
            <w:tcW w:w="5932" w:type="dxa"/>
            <w:gridSpan w:val="2"/>
            <w:vAlign w:val="center"/>
          </w:tcPr>
          <w:p>
            <w:r>
              <w:rPr>
                <w:rFonts w:hint="eastAsia"/>
              </w:rPr>
              <w:t>根据投标人提供的投标文件和视频资料，对投标人研发能力、技术人员情况、财务状况等进行综合评价，得</w:t>
            </w:r>
            <w:r>
              <w:t>0-4</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960" w:type="dxa"/>
            <w:vAlign w:val="center"/>
          </w:tcPr>
          <w:p>
            <w:r>
              <w:t>2.4</w:t>
            </w:r>
          </w:p>
        </w:tc>
        <w:tc>
          <w:tcPr>
            <w:tcW w:w="1212" w:type="dxa"/>
            <w:vAlign w:val="center"/>
          </w:tcPr>
          <w:p>
            <w:r>
              <w:rPr>
                <w:rFonts w:hint="eastAsia"/>
              </w:rPr>
              <w:t>其他因素评分标准</w:t>
            </w:r>
          </w:p>
        </w:tc>
        <w:tc>
          <w:tcPr>
            <w:tcW w:w="1934" w:type="dxa"/>
            <w:vAlign w:val="center"/>
          </w:tcPr>
          <w:p>
            <w:r>
              <w:rPr>
                <w:rFonts w:hint="eastAsia"/>
              </w:rPr>
              <w:t>其他因素评分标准</w:t>
            </w:r>
          </w:p>
        </w:tc>
        <w:tc>
          <w:tcPr>
            <w:tcW w:w="5932" w:type="dxa"/>
            <w:gridSpan w:val="2"/>
            <w:vAlign w:val="center"/>
          </w:tcPr>
          <w:p>
            <w:r>
              <w:rPr>
                <w:rFonts w:hint="eastAsia"/>
              </w:rPr>
              <w:t>无</w:t>
            </w:r>
          </w:p>
        </w:tc>
      </w:tr>
    </w:tbl>
    <w:p>
      <w:pPr>
        <w:snapToGrid w:val="0"/>
        <w:spacing w:line="360" w:lineRule="auto"/>
        <w:rPr>
          <w:rFonts w:ascii="宋体" w:hAnsi="宋体"/>
          <w:b/>
          <w:bCs/>
          <w:sz w:val="24"/>
        </w:rPr>
      </w:pPr>
    </w:p>
    <w:p>
      <w:pPr>
        <w:spacing w:before="120" w:beforeLines="50" w:line="360" w:lineRule="auto"/>
        <w:rPr>
          <w:rFonts w:ascii="宋体" w:hAnsi="宋体" w:cs="宋体"/>
          <w:b/>
          <w:bCs/>
          <w:szCs w:val="21"/>
        </w:rPr>
      </w:pPr>
      <w:r>
        <w:rPr>
          <w:rFonts w:hint="eastAsia" w:ascii="宋体" w:hAnsi="宋体" w:cs="宋体"/>
          <w:b/>
          <w:bCs/>
          <w:szCs w:val="21"/>
        </w:rPr>
        <w:t>以上证明文件获得时间截止于发布公告日之前有效。</w:t>
      </w:r>
    </w:p>
    <w:p>
      <w:pPr>
        <w:pStyle w:val="15"/>
        <w:rPr>
          <w:rFonts w:ascii="宋体" w:hAnsi="宋体"/>
        </w:rPr>
      </w:pPr>
    </w:p>
    <w:p>
      <w:pPr>
        <w:spacing w:line="360" w:lineRule="auto"/>
        <w:rPr>
          <w:rFonts w:ascii="宋体" w:hAnsi="宋体" w:cs="宋体"/>
          <w:b/>
          <w:bCs/>
          <w:szCs w:val="21"/>
        </w:rPr>
      </w:pPr>
      <w:r>
        <w:rPr>
          <w:rFonts w:hint="eastAsia" w:ascii="宋体" w:hAnsi="宋体" w:cs="宋体"/>
          <w:b/>
          <w:bCs/>
          <w:szCs w:val="21"/>
        </w:rPr>
        <w:t xml:space="preserve">7  评标报告    </w:t>
      </w:r>
    </w:p>
    <w:p>
      <w:pPr>
        <w:spacing w:line="360" w:lineRule="auto"/>
        <w:ind w:left="420" w:hanging="420" w:hangingChars="200"/>
        <w:rPr>
          <w:rFonts w:ascii="宋体" w:hAnsi="宋体" w:cs="宋体"/>
          <w:szCs w:val="21"/>
        </w:rPr>
      </w:pPr>
      <w:r>
        <w:rPr>
          <w:rFonts w:hint="eastAsia" w:ascii="宋体" w:hAnsi="宋体" w:cs="宋体"/>
          <w:szCs w:val="21"/>
        </w:rPr>
        <w:t xml:space="preserve">    评标委员会通过评标报告向招标人推荐标有排序的中标候选人，同时报告评标过程中的其它事宜，评标报告由评标委员会全体成员签字。对评标结论持有异议的评标委员可以书面方式阐述其不同意见和理由。评标委员会成员拒绝在评标报告上签字且不陈述其不同意见和理由的，视为同意评标结论。评标委员会应当对此做出书面说明并记录在案。</w:t>
      </w:r>
    </w:p>
    <w:p>
      <w:pPr>
        <w:spacing w:line="360" w:lineRule="auto"/>
        <w:rPr>
          <w:rFonts w:ascii="宋体" w:hAnsi="宋体" w:cs="宋体"/>
          <w:b/>
          <w:bCs/>
          <w:szCs w:val="21"/>
        </w:rPr>
      </w:pPr>
      <w:r>
        <w:rPr>
          <w:rFonts w:hint="eastAsia" w:ascii="宋体" w:hAnsi="宋体" w:cs="宋体"/>
          <w:b/>
          <w:bCs/>
          <w:szCs w:val="21"/>
        </w:rPr>
        <w:t>8  附则</w:t>
      </w:r>
    </w:p>
    <w:p>
      <w:pPr>
        <w:spacing w:line="360" w:lineRule="auto"/>
        <w:ind w:firstLine="315" w:firstLineChars="150"/>
        <w:rPr>
          <w:rFonts w:ascii="宋体" w:hAnsi="宋体" w:cs="宋体"/>
          <w:szCs w:val="21"/>
        </w:rPr>
      </w:pPr>
      <w:r>
        <w:rPr>
          <w:rFonts w:hint="eastAsia" w:ascii="宋体" w:hAnsi="宋体" w:cs="宋体"/>
          <w:szCs w:val="21"/>
        </w:rPr>
        <w:t>未尽事宜参照合同及有关规定执行。</w:t>
      </w: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rPr>
          <w:rFonts w:ascii="黑体" w:hAnsi="黑体"/>
          <w:b/>
        </w:rPr>
      </w:pPr>
    </w:p>
    <w:p>
      <w:pPr>
        <w:pStyle w:val="17"/>
        <w:adjustRightInd w:val="0"/>
        <w:snapToGrid w:val="0"/>
        <w:spacing w:line="360" w:lineRule="auto"/>
        <w:outlineLvl w:val="0"/>
        <w:rPr>
          <w:rFonts w:hAnsi="宋体" w:cs="宋体"/>
          <w:b/>
          <w:bCs/>
          <w:sz w:val="28"/>
          <w:szCs w:val="28"/>
        </w:rPr>
      </w:pPr>
      <w:r>
        <w:rPr>
          <w:rFonts w:hint="eastAsia" w:hAnsi="宋体" w:cs="宋体"/>
          <w:b/>
          <w:bCs/>
          <w:sz w:val="28"/>
          <w:szCs w:val="28"/>
        </w:rPr>
        <w:t>附表1</w:t>
      </w:r>
      <w:bookmarkEnd w:id="8"/>
      <w:r>
        <w:rPr>
          <w:rFonts w:hint="eastAsia" w:hAnsi="宋体" w:cs="宋体"/>
          <w:b/>
          <w:bCs/>
          <w:sz w:val="28"/>
          <w:szCs w:val="28"/>
        </w:rPr>
        <w:t>：</w:t>
      </w:r>
    </w:p>
    <w:p>
      <w:pPr>
        <w:adjustRightInd w:val="0"/>
        <w:snapToGrid w:val="0"/>
        <w:spacing w:line="360" w:lineRule="auto"/>
        <w:jc w:val="center"/>
        <w:rPr>
          <w:rFonts w:ascii="黑体" w:hAnsi="黑体" w:eastAsia="黑体"/>
          <w:b/>
          <w:sz w:val="28"/>
          <w:szCs w:val="28"/>
        </w:rPr>
      </w:pPr>
      <w:r>
        <w:rPr>
          <w:rFonts w:hint="eastAsia" w:ascii="黑体" w:hAnsi="黑体" w:eastAsia="黑体"/>
          <w:b/>
          <w:sz w:val="28"/>
          <w:szCs w:val="28"/>
        </w:rPr>
        <w:t>符合性审查结果一览表</w:t>
      </w:r>
    </w:p>
    <w:p>
      <w:pPr>
        <w:adjustRightInd w:val="0"/>
        <w:snapToGrid w:val="0"/>
        <w:spacing w:line="360" w:lineRule="auto"/>
        <w:rPr>
          <w:rFonts w:ascii="宋体" w:hAnsi="宋体"/>
          <w:szCs w:val="21"/>
        </w:rPr>
      </w:pPr>
      <w:r>
        <w:rPr>
          <w:rFonts w:hint="eastAsia" w:ascii="宋体" w:hAnsi="宋体"/>
          <w:szCs w:val="21"/>
        </w:rPr>
        <w:t xml:space="preserve">项目名称：                                            </w:t>
      </w:r>
      <w:r>
        <w:rPr>
          <w:rFonts w:hint="eastAsia" w:ascii="宋体" w:hAnsi="宋体"/>
          <w:szCs w:val="21"/>
          <w:lang w:eastAsia="zh-CN"/>
        </w:rPr>
        <w:t>委托</w:t>
      </w:r>
      <w:r>
        <w:rPr>
          <w:rFonts w:hint="eastAsia" w:ascii="宋体" w:hAnsi="宋体"/>
          <w:szCs w:val="21"/>
        </w:rPr>
        <w:t>代理编号：</w:t>
      </w:r>
    </w:p>
    <w:tbl>
      <w:tblPr>
        <w:tblStyle w:val="32"/>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7"/>
        <w:gridCol w:w="2963"/>
        <w:gridCol w:w="2439"/>
        <w:gridCol w:w="296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vAlign w:val="center"/>
          </w:tcPr>
          <w:p>
            <w:pPr>
              <w:jc w:val="center"/>
              <w:rPr>
                <w:rFonts w:ascii="宋体" w:hAnsi="宋体"/>
                <w:b/>
                <w:kern w:val="0"/>
                <w:szCs w:val="21"/>
              </w:rPr>
            </w:pPr>
            <w:r>
              <w:rPr>
                <w:rFonts w:hint="eastAsia" w:ascii="宋体" w:hAnsi="宋体"/>
                <w:b/>
                <w:kern w:val="0"/>
                <w:szCs w:val="21"/>
              </w:rPr>
              <w:t>序号</w:t>
            </w:r>
          </w:p>
        </w:tc>
        <w:tc>
          <w:tcPr>
            <w:tcW w:w="2963" w:type="dxa"/>
            <w:vAlign w:val="center"/>
          </w:tcPr>
          <w:p>
            <w:pPr>
              <w:jc w:val="center"/>
              <w:rPr>
                <w:rFonts w:ascii="宋体" w:hAnsi="宋体"/>
                <w:b/>
                <w:kern w:val="0"/>
                <w:szCs w:val="21"/>
              </w:rPr>
            </w:pPr>
            <w:r>
              <w:rPr>
                <w:rFonts w:hint="eastAsia" w:ascii="宋体" w:hAnsi="宋体"/>
                <w:b/>
                <w:kern w:val="0"/>
                <w:szCs w:val="21"/>
              </w:rPr>
              <w:t>投标人名称</w:t>
            </w:r>
          </w:p>
        </w:tc>
        <w:tc>
          <w:tcPr>
            <w:tcW w:w="2439" w:type="dxa"/>
            <w:vAlign w:val="center"/>
          </w:tcPr>
          <w:p>
            <w:pPr>
              <w:jc w:val="center"/>
              <w:rPr>
                <w:rFonts w:ascii="宋体" w:hAnsi="宋体"/>
                <w:b/>
                <w:kern w:val="0"/>
                <w:szCs w:val="21"/>
              </w:rPr>
            </w:pPr>
            <w:r>
              <w:rPr>
                <w:rFonts w:hint="eastAsia" w:ascii="宋体" w:hAnsi="宋体"/>
                <w:b/>
                <w:kern w:val="0"/>
                <w:szCs w:val="21"/>
              </w:rPr>
              <w:t>符合性审查结果</w:t>
            </w:r>
          </w:p>
          <w:p>
            <w:pPr>
              <w:jc w:val="center"/>
              <w:rPr>
                <w:rFonts w:ascii="宋体" w:hAnsi="宋体"/>
                <w:b/>
                <w:kern w:val="0"/>
                <w:szCs w:val="21"/>
              </w:rPr>
            </w:pPr>
            <w:r>
              <w:rPr>
                <w:rFonts w:hint="eastAsia" w:ascii="宋体" w:hAnsi="宋体"/>
                <w:b/>
                <w:kern w:val="0"/>
                <w:szCs w:val="21"/>
              </w:rPr>
              <w:t>（合格/不合格）</w:t>
            </w:r>
          </w:p>
        </w:tc>
        <w:tc>
          <w:tcPr>
            <w:tcW w:w="2961" w:type="dxa"/>
            <w:vAlign w:val="center"/>
          </w:tcPr>
          <w:p>
            <w:pPr>
              <w:jc w:val="center"/>
              <w:rPr>
                <w:rFonts w:ascii="宋体" w:hAnsi="宋体"/>
                <w:b/>
                <w:kern w:val="0"/>
                <w:szCs w:val="21"/>
              </w:rPr>
            </w:pPr>
            <w:r>
              <w:rPr>
                <w:rFonts w:hint="eastAsia" w:ascii="宋体" w:hAnsi="宋体"/>
                <w:b/>
                <w:kern w:val="0"/>
                <w:szCs w:val="21"/>
              </w:rPr>
              <w:t>符合性审查不合格原因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697" w:type="dxa"/>
          </w:tcPr>
          <w:p>
            <w:pPr>
              <w:adjustRightInd w:val="0"/>
              <w:snapToGrid w:val="0"/>
              <w:spacing w:line="360" w:lineRule="auto"/>
              <w:rPr>
                <w:rFonts w:ascii="宋体" w:hAnsi="宋体"/>
                <w:kern w:val="0"/>
                <w:sz w:val="24"/>
              </w:rPr>
            </w:pPr>
          </w:p>
        </w:tc>
        <w:tc>
          <w:tcPr>
            <w:tcW w:w="2963" w:type="dxa"/>
          </w:tcPr>
          <w:p>
            <w:pPr>
              <w:adjustRightInd w:val="0"/>
              <w:snapToGrid w:val="0"/>
              <w:spacing w:line="360" w:lineRule="auto"/>
              <w:rPr>
                <w:rFonts w:ascii="宋体" w:hAnsi="宋体"/>
                <w:kern w:val="0"/>
                <w:sz w:val="24"/>
              </w:rPr>
            </w:pPr>
          </w:p>
        </w:tc>
        <w:tc>
          <w:tcPr>
            <w:tcW w:w="2439" w:type="dxa"/>
          </w:tcPr>
          <w:p>
            <w:pPr>
              <w:adjustRightInd w:val="0"/>
              <w:snapToGrid w:val="0"/>
              <w:spacing w:line="360" w:lineRule="auto"/>
              <w:rPr>
                <w:rFonts w:ascii="宋体" w:hAnsi="宋体"/>
                <w:kern w:val="0"/>
                <w:sz w:val="24"/>
              </w:rPr>
            </w:pPr>
          </w:p>
        </w:tc>
        <w:tc>
          <w:tcPr>
            <w:tcW w:w="2961" w:type="dxa"/>
          </w:tcPr>
          <w:p>
            <w:pPr>
              <w:adjustRightInd w:val="0"/>
              <w:snapToGrid w:val="0"/>
              <w:spacing w:line="360" w:lineRule="auto"/>
              <w:rPr>
                <w:rFonts w:ascii="宋体" w:hAnsi="宋体"/>
                <w:kern w:val="0"/>
                <w:sz w:val="24"/>
              </w:rPr>
            </w:pPr>
          </w:p>
        </w:tc>
      </w:tr>
    </w:tbl>
    <w:p>
      <w:pPr>
        <w:adjustRightInd w:val="0"/>
        <w:snapToGrid w:val="0"/>
        <w:spacing w:line="360" w:lineRule="auto"/>
        <w:rPr>
          <w:rFonts w:ascii="宋体" w:hAnsi="宋体"/>
          <w:szCs w:val="21"/>
        </w:rPr>
      </w:pPr>
      <w:r>
        <w:rPr>
          <w:rFonts w:hint="eastAsia" w:ascii="宋体" w:hAnsi="宋体"/>
          <w:szCs w:val="21"/>
        </w:rPr>
        <w:t xml:space="preserve"> </w:t>
      </w:r>
    </w:p>
    <w:p>
      <w:pPr>
        <w:adjustRightInd w:val="0"/>
        <w:snapToGrid w:val="0"/>
        <w:spacing w:line="360" w:lineRule="auto"/>
        <w:rPr>
          <w:rFonts w:ascii="宋体" w:hAnsi="宋体"/>
          <w:szCs w:val="21"/>
        </w:rPr>
      </w:pPr>
      <w:r>
        <w:rPr>
          <w:rFonts w:hint="eastAsia" w:ascii="宋体" w:hAnsi="宋体"/>
          <w:szCs w:val="21"/>
        </w:rPr>
        <w:t>评标委员会（签字）：</w:t>
      </w:r>
    </w:p>
    <w:p>
      <w:pPr>
        <w:adjustRightInd w:val="0"/>
        <w:snapToGrid w:val="0"/>
        <w:spacing w:line="360" w:lineRule="auto"/>
        <w:rPr>
          <w:rFonts w:ascii="宋体" w:hAnsi="宋体"/>
          <w:szCs w:val="21"/>
        </w:rPr>
      </w:pPr>
      <w:r>
        <w:rPr>
          <w:rFonts w:hint="eastAsia" w:ascii="宋体" w:hAnsi="宋体"/>
          <w:szCs w:val="21"/>
        </w:rPr>
        <w:t>日期：  年    月   日</w:t>
      </w:r>
    </w:p>
    <w:p>
      <w:pPr>
        <w:widowControl/>
        <w:jc w:val="left"/>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30"/>
        <w:ind w:firstLine="240"/>
        <w:rPr>
          <w:rFonts w:ascii="宋体" w:hAnsi="宋体"/>
          <w:sz w:val="24"/>
        </w:rPr>
      </w:pPr>
    </w:p>
    <w:p>
      <w:pPr>
        <w:pStyle w:val="6"/>
        <w:adjustRightInd w:val="0"/>
        <w:snapToGrid w:val="0"/>
        <w:spacing w:before="0" w:after="0" w:line="360" w:lineRule="auto"/>
        <w:rPr>
          <w:rFonts w:ascii="宋体" w:hAnsi="宋体" w:cs="宋体"/>
        </w:rPr>
      </w:pPr>
      <w:bookmarkStart w:id="14" w:name="_Toc2096"/>
      <w:r>
        <w:rPr>
          <w:rFonts w:hint="eastAsia" w:ascii="宋体" w:hAnsi="宋体" w:cs="宋体"/>
        </w:rPr>
        <w:t>附表2</w:t>
      </w:r>
      <w:bookmarkEnd w:id="14"/>
      <w:r>
        <w:rPr>
          <w:rFonts w:hint="eastAsia" w:ascii="宋体" w:hAnsi="宋体" w:cs="宋体"/>
        </w:rPr>
        <w:t>：</w:t>
      </w:r>
    </w:p>
    <w:p>
      <w:pPr>
        <w:adjustRightInd w:val="0"/>
        <w:snapToGrid w:val="0"/>
        <w:spacing w:line="360" w:lineRule="auto"/>
        <w:jc w:val="center"/>
        <w:rPr>
          <w:rFonts w:ascii="黑体" w:hAnsi="黑体" w:eastAsia="黑体"/>
          <w:b/>
          <w:sz w:val="28"/>
          <w:szCs w:val="28"/>
        </w:rPr>
      </w:pPr>
      <w:r>
        <w:rPr>
          <w:rFonts w:hint="eastAsia" w:ascii="黑体" w:hAnsi="黑体" w:eastAsia="黑体"/>
          <w:b/>
          <w:sz w:val="28"/>
          <w:szCs w:val="28"/>
        </w:rPr>
        <w:t>符合性审查合格投标人名单</w:t>
      </w:r>
    </w:p>
    <w:p>
      <w:pPr>
        <w:adjustRightInd w:val="0"/>
        <w:snapToGrid w:val="0"/>
        <w:spacing w:line="360" w:lineRule="auto"/>
        <w:rPr>
          <w:rFonts w:ascii="华文中宋" w:hAnsi="华文中宋" w:eastAsia="华文中宋"/>
          <w:sz w:val="32"/>
          <w:szCs w:val="32"/>
        </w:rPr>
      </w:pPr>
      <w:r>
        <w:rPr>
          <w:rFonts w:hint="eastAsia" w:ascii="宋体" w:hAnsi="宋体"/>
          <w:szCs w:val="21"/>
        </w:rPr>
        <w:t xml:space="preserve">项目名称：                                        </w:t>
      </w:r>
      <w:r>
        <w:rPr>
          <w:rFonts w:hint="eastAsia" w:ascii="宋体" w:hAnsi="宋体"/>
          <w:szCs w:val="21"/>
          <w:lang w:eastAsia="zh-CN"/>
        </w:rPr>
        <w:t>委托</w:t>
      </w:r>
      <w:r>
        <w:rPr>
          <w:rFonts w:hint="eastAsia" w:ascii="宋体" w:hAnsi="宋体"/>
          <w:szCs w:val="21"/>
        </w:rPr>
        <w:t>代理编号：</w:t>
      </w:r>
    </w:p>
    <w:tbl>
      <w:tblPr>
        <w:tblStyle w:val="32"/>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3"/>
        <w:gridCol w:w="779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vAlign w:val="center"/>
          </w:tcPr>
          <w:p>
            <w:pPr>
              <w:jc w:val="center"/>
              <w:rPr>
                <w:b/>
                <w:kern w:val="0"/>
                <w:szCs w:val="21"/>
              </w:rPr>
            </w:pPr>
            <w:r>
              <w:rPr>
                <w:rFonts w:hint="eastAsia"/>
                <w:b/>
                <w:kern w:val="0"/>
                <w:szCs w:val="21"/>
              </w:rPr>
              <w:t>序号</w:t>
            </w:r>
          </w:p>
        </w:tc>
        <w:tc>
          <w:tcPr>
            <w:tcW w:w="7796" w:type="dxa"/>
            <w:vAlign w:val="center"/>
          </w:tcPr>
          <w:p>
            <w:pPr>
              <w:jc w:val="center"/>
              <w:rPr>
                <w:b/>
                <w:kern w:val="0"/>
                <w:szCs w:val="21"/>
              </w:rPr>
            </w:pPr>
            <w:r>
              <w:rPr>
                <w:rFonts w:hint="eastAsia"/>
                <w:b/>
                <w:kern w:val="0"/>
                <w:szCs w:val="21"/>
              </w:rPr>
              <w:t>合格投标人名称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Cs w:val="21"/>
              </w:rPr>
            </w:pPr>
          </w:p>
        </w:tc>
        <w:tc>
          <w:tcPr>
            <w:tcW w:w="7796" w:type="dxa"/>
          </w:tcPr>
          <w:p>
            <w:pPr>
              <w:adjustRightInd w:val="0"/>
              <w:snapToGrid w:val="0"/>
              <w:spacing w:line="360" w:lineRule="auto"/>
              <w:rPr>
                <w:rFonts w:ascii="宋体" w:hAnsi="宋体"/>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993" w:type="dxa"/>
          </w:tcPr>
          <w:p>
            <w:pPr>
              <w:adjustRightInd w:val="0"/>
              <w:snapToGrid w:val="0"/>
              <w:spacing w:line="360" w:lineRule="auto"/>
              <w:rPr>
                <w:rFonts w:ascii="宋体" w:hAnsi="宋体"/>
                <w:kern w:val="0"/>
                <w:sz w:val="24"/>
              </w:rPr>
            </w:pPr>
          </w:p>
        </w:tc>
        <w:tc>
          <w:tcPr>
            <w:tcW w:w="7796" w:type="dxa"/>
          </w:tcPr>
          <w:p>
            <w:pPr>
              <w:adjustRightInd w:val="0"/>
              <w:snapToGrid w:val="0"/>
              <w:spacing w:line="360" w:lineRule="auto"/>
              <w:rPr>
                <w:rFonts w:ascii="宋体" w:hAnsi="宋体"/>
                <w:kern w:val="0"/>
                <w:sz w:val="24"/>
              </w:rPr>
            </w:pPr>
          </w:p>
        </w:tc>
      </w:tr>
    </w:tbl>
    <w:p>
      <w:pPr>
        <w:adjustRightInd w:val="0"/>
        <w:snapToGrid w:val="0"/>
        <w:spacing w:line="360" w:lineRule="auto"/>
        <w:rPr>
          <w:rFonts w:ascii="宋体" w:hAnsi="宋体"/>
          <w:szCs w:val="21"/>
        </w:rPr>
      </w:pPr>
      <w:r>
        <w:rPr>
          <w:rFonts w:hint="eastAsia" w:ascii="宋体" w:hAnsi="宋体"/>
          <w:szCs w:val="21"/>
        </w:rPr>
        <w:t xml:space="preserve"> </w:t>
      </w:r>
    </w:p>
    <w:p>
      <w:pPr>
        <w:adjustRightInd w:val="0"/>
        <w:snapToGrid w:val="0"/>
        <w:spacing w:line="360" w:lineRule="auto"/>
        <w:rPr>
          <w:rFonts w:ascii="宋体" w:hAnsi="宋体"/>
          <w:szCs w:val="21"/>
        </w:rPr>
      </w:pPr>
      <w:r>
        <w:rPr>
          <w:rFonts w:hint="eastAsia" w:ascii="宋体" w:hAnsi="宋体"/>
          <w:szCs w:val="21"/>
        </w:rPr>
        <w:t>评标委员会（签字）：</w:t>
      </w:r>
    </w:p>
    <w:p>
      <w:pPr>
        <w:pStyle w:val="4"/>
        <w:adjustRightInd w:val="0"/>
        <w:snapToGrid w:val="0"/>
        <w:spacing w:before="120" w:beforeLines="50"/>
        <w:rPr>
          <w:rFonts w:ascii="宋体" w:hAnsi="宋体" w:eastAsia="微软雅黑"/>
          <w:b w:val="0"/>
          <w:bCs w:val="0"/>
          <w:sz w:val="21"/>
          <w:szCs w:val="21"/>
        </w:rPr>
      </w:pPr>
      <w:bookmarkStart w:id="15" w:name="_Toc475"/>
      <w:r>
        <w:rPr>
          <w:rFonts w:hint="eastAsia" w:ascii="宋体" w:hAnsi="宋体" w:eastAsia="微软雅黑"/>
          <w:b w:val="0"/>
          <w:bCs w:val="0"/>
          <w:sz w:val="21"/>
          <w:szCs w:val="21"/>
        </w:rPr>
        <w:t>日期：  年  月  日</w:t>
      </w:r>
      <w:bookmarkEnd w:id="15"/>
    </w:p>
    <w:p>
      <w:pPr>
        <w:adjustRightInd w:val="0"/>
        <w:snapToGrid w:val="0"/>
        <w:spacing w:before="120" w:beforeLines="50" w:line="360" w:lineRule="auto"/>
        <w:rPr>
          <w:rFonts w:ascii="宋体" w:hAnsi="宋体"/>
        </w:rPr>
      </w:pPr>
      <w:r>
        <w:rPr>
          <w:rFonts w:hint="eastAsia" w:ascii="宋体" w:hAnsi="宋体"/>
        </w:rPr>
        <w:t xml:space="preserve">                           </w:t>
      </w:r>
    </w:p>
    <w:p>
      <w:pPr>
        <w:pStyle w:val="5"/>
        <w:spacing w:before="0" w:after="0" w:line="360" w:lineRule="auto"/>
        <w:rPr>
          <w:rFonts w:ascii="宋体" w:hAnsi="宋体" w:cs="宋体"/>
          <w:b w:val="0"/>
          <w:bCs w:val="0"/>
          <w:sz w:val="24"/>
          <w:szCs w:val="24"/>
        </w:rPr>
      </w:pPr>
    </w:p>
    <w:p>
      <w:pPr>
        <w:tabs>
          <w:tab w:val="left" w:pos="0"/>
        </w:tabs>
        <w:adjustRightInd w:val="0"/>
        <w:snapToGrid w:val="0"/>
        <w:spacing w:line="360" w:lineRule="auto"/>
        <w:rPr>
          <w:rFonts w:ascii="宋体" w:hAnsi="宋体" w:cs="宋体"/>
          <w:b/>
          <w:bCs/>
          <w:sz w:val="28"/>
          <w:szCs w:val="28"/>
        </w:rPr>
      </w:pPr>
      <w:r>
        <w:rPr>
          <w:rFonts w:hint="eastAsia" w:ascii="宋体" w:hAnsi="宋体" w:cs="宋体"/>
          <w:b/>
          <w:szCs w:val="21"/>
        </w:rPr>
        <w:br w:type="page"/>
      </w:r>
      <w:r>
        <w:rPr>
          <w:rFonts w:hint="eastAsia" w:ascii="宋体" w:hAnsi="宋体" w:cs="宋体"/>
          <w:b/>
          <w:bCs/>
          <w:sz w:val="28"/>
          <w:szCs w:val="28"/>
        </w:rPr>
        <w:t>附表3：</w:t>
      </w:r>
    </w:p>
    <w:p>
      <w:pPr>
        <w:spacing w:line="360" w:lineRule="auto"/>
        <w:jc w:val="center"/>
        <w:rPr>
          <w:rFonts w:ascii="宋体" w:hAnsi="宋体" w:cs="宋体"/>
          <w:b/>
          <w:sz w:val="28"/>
          <w:szCs w:val="28"/>
        </w:rPr>
      </w:pPr>
      <w:r>
        <w:rPr>
          <w:rFonts w:hint="eastAsia" w:ascii="宋体" w:hAnsi="宋体" w:cs="宋体"/>
          <w:b/>
          <w:sz w:val="28"/>
          <w:szCs w:val="28"/>
        </w:rPr>
        <w:t>投标人得分汇总计算表</w:t>
      </w:r>
    </w:p>
    <w:p>
      <w:pPr>
        <w:adjustRightInd w:val="0"/>
        <w:snapToGrid w:val="0"/>
        <w:spacing w:line="360" w:lineRule="auto"/>
        <w:rPr>
          <w:rFonts w:ascii="宋体" w:hAnsi="宋体" w:cs="宋体"/>
          <w:b/>
          <w:bCs/>
          <w:sz w:val="24"/>
        </w:rPr>
      </w:pPr>
      <w:r>
        <w:rPr>
          <w:rFonts w:hint="eastAsia" w:ascii="宋体" w:hAnsi="宋体" w:cs="宋体"/>
          <w:b/>
          <w:bCs/>
          <w:sz w:val="24"/>
          <w:lang w:eastAsia="zh-CN"/>
        </w:rPr>
        <w:t>委托</w:t>
      </w:r>
      <w:r>
        <w:rPr>
          <w:rFonts w:hint="eastAsia" w:ascii="宋体" w:hAnsi="宋体" w:cs="宋体"/>
          <w:b/>
          <w:bCs/>
          <w:sz w:val="24"/>
        </w:rPr>
        <w:t>代理编号：</w:t>
      </w:r>
      <w:r>
        <w:rPr>
          <w:rFonts w:hint="eastAsia" w:ascii="宋体" w:hAnsi="宋体" w:cs="宋体"/>
          <w:b/>
          <w:bCs/>
          <w:sz w:val="24"/>
          <w:u w:val="single"/>
        </w:rPr>
        <w:t xml:space="preserve">                </w:t>
      </w:r>
      <w:r>
        <w:rPr>
          <w:rFonts w:hint="eastAsia" w:ascii="宋体" w:hAnsi="宋体" w:cs="宋体"/>
          <w:b/>
          <w:bCs/>
          <w:sz w:val="24"/>
        </w:rPr>
        <w:t xml:space="preserve">              </w:t>
      </w:r>
      <w:r>
        <w:rPr>
          <w:rFonts w:hint="eastAsia" w:ascii="宋体" w:hAnsi="宋体" w:cs="宋体"/>
          <w:b/>
          <w:bCs/>
          <w:sz w:val="24"/>
          <w:lang w:val="en-US" w:eastAsia="zh-CN"/>
        </w:rPr>
        <w:t xml:space="preserve"> </w:t>
      </w:r>
      <w:r>
        <w:rPr>
          <w:rFonts w:hint="eastAsia" w:ascii="宋体" w:hAnsi="宋体" w:cs="宋体"/>
          <w:b/>
          <w:bCs/>
          <w:sz w:val="24"/>
        </w:rPr>
        <w:t xml:space="preserve">           日期：  年  月  日</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2365"/>
        <w:gridCol w:w="2423"/>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039" w:type="dxa"/>
            <w:gridSpan w:val="4"/>
            <w:vAlign w:val="center"/>
          </w:tcPr>
          <w:p>
            <w:pPr>
              <w:tabs>
                <w:tab w:val="left" w:pos="6705"/>
              </w:tabs>
              <w:adjustRightInd w:val="0"/>
              <w:snapToGrid w:val="0"/>
              <w:spacing w:line="360" w:lineRule="auto"/>
              <w:jc w:val="left"/>
              <w:rPr>
                <w:rFonts w:ascii="宋体" w:hAnsi="宋体" w:cs="宋体"/>
                <w:sz w:val="24"/>
              </w:rPr>
            </w:pPr>
            <w:r>
              <w:rPr>
                <w:rFonts w:hint="eastAsia" w:ascii="宋体" w:hAnsi="宋体" w:cs="宋体"/>
                <w:sz w:val="24"/>
              </w:rPr>
              <w:t xml:space="preserve">投标人：                     </w:t>
            </w:r>
            <w:r>
              <w:rPr>
                <w:rFonts w:hint="eastAsia" w:ascii="宋体" w:hAnsi="宋体" w:cs="宋体"/>
                <w:sz w:val="24"/>
              </w:rPr>
              <w:tab/>
            </w:r>
            <w:r>
              <w:rPr>
                <w:rFonts w:hint="eastAsia" w:ascii="宋体" w:hAnsi="宋体" w:cs="宋体"/>
                <w:sz w:val="24"/>
              </w:rPr>
              <w:t>总分（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56" w:type="dxa"/>
            <w:vMerge w:val="restart"/>
            <w:vAlign w:val="center"/>
          </w:tcPr>
          <w:p>
            <w:pPr>
              <w:adjustRightInd w:val="0"/>
              <w:snapToGrid w:val="0"/>
              <w:spacing w:line="360" w:lineRule="auto"/>
              <w:jc w:val="center"/>
              <w:rPr>
                <w:rFonts w:ascii="宋体" w:hAnsi="宋体" w:cs="宋体"/>
                <w:sz w:val="24"/>
              </w:rPr>
            </w:pPr>
            <w:r>
              <w:rPr>
                <w:rFonts w:hint="eastAsia" w:ascii="宋体" w:hAnsi="宋体" w:cs="宋体"/>
                <w:sz w:val="24"/>
              </w:rPr>
              <w:t>评委姓名</w:t>
            </w:r>
          </w:p>
        </w:tc>
        <w:tc>
          <w:tcPr>
            <w:tcW w:w="7283" w:type="dxa"/>
            <w:gridSpan w:val="3"/>
            <w:vAlign w:val="center"/>
          </w:tcPr>
          <w:p>
            <w:pPr>
              <w:adjustRightInd w:val="0"/>
              <w:snapToGrid w:val="0"/>
              <w:spacing w:line="360" w:lineRule="auto"/>
              <w:jc w:val="center"/>
              <w:rPr>
                <w:rFonts w:ascii="宋体" w:hAnsi="宋体" w:cs="宋体"/>
                <w:sz w:val="24"/>
              </w:rPr>
            </w:pPr>
            <w:r>
              <w:rPr>
                <w:rFonts w:hint="eastAsia" w:ascii="宋体" w:hAnsi="宋体" w:cs="宋体"/>
                <w:sz w:val="24"/>
              </w:rPr>
              <w:t>单项评分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756" w:type="dxa"/>
            <w:vMerge w:val="continue"/>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技术评分</w:t>
            </w:r>
          </w:p>
        </w:tc>
        <w:tc>
          <w:tcPr>
            <w:tcW w:w="2423"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商务评分</w:t>
            </w:r>
          </w:p>
        </w:tc>
        <w:tc>
          <w:tcPr>
            <w:tcW w:w="2495"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价格评分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平均分</w:t>
            </w: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szCs w:val="22"/>
              </w:rPr>
            </w:pPr>
          </w:p>
        </w:tc>
        <w:tc>
          <w:tcPr>
            <w:tcW w:w="2495" w:type="dxa"/>
            <w:vAlign w:val="center"/>
          </w:tcPr>
          <w:p>
            <w:pPr>
              <w:adjustRightInd w:val="0"/>
              <w:snapToGrid w:val="0"/>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56" w:type="dxa"/>
            <w:vAlign w:val="center"/>
          </w:tcPr>
          <w:p>
            <w:pPr>
              <w:adjustRightInd w:val="0"/>
              <w:snapToGrid w:val="0"/>
              <w:spacing w:line="360" w:lineRule="auto"/>
              <w:jc w:val="center"/>
              <w:rPr>
                <w:rFonts w:ascii="宋体" w:hAnsi="宋体" w:cs="宋体"/>
                <w:sz w:val="24"/>
              </w:rPr>
            </w:pPr>
            <w:r>
              <w:rPr>
                <w:rFonts w:hint="eastAsia" w:ascii="宋体" w:hAnsi="宋体" w:cs="宋体"/>
                <w:sz w:val="24"/>
              </w:rPr>
              <w:t>得分</w:t>
            </w:r>
          </w:p>
        </w:tc>
        <w:tc>
          <w:tcPr>
            <w:tcW w:w="2365" w:type="dxa"/>
            <w:vAlign w:val="center"/>
          </w:tcPr>
          <w:p>
            <w:pPr>
              <w:adjustRightInd w:val="0"/>
              <w:snapToGrid w:val="0"/>
              <w:spacing w:line="360" w:lineRule="auto"/>
              <w:jc w:val="center"/>
              <w:rPr>
                <w:rFonts w:ascii="宋体" w:hAnsi="宋体" w:cs="宋体"/>
                <w:sz w:val="24"/>
              </w:rPr>
            </w:pPr>
          </w:p>
        </w:tc>
        <w:tc>
          <w:tcPr>
            <w:tcW w:w="2423" w:type="dxa"/>
            <w:vAlign w:val="center"/>
          </w:tcPr>
          <w:p>
            <w:pPr>
              <w:adjustRightInd w:val="0"/>
              <w:snapToGrid w:val="0"/>
              <w:spacing w:line="360" w:lineRule="auto"/>
              <w:jc w:val="center"/>
              <w:rPr>
                <w:rFonts w:ascii="宋体" w:hAnsi="宋体" w:cs="宋体"/>
                <w:sz w:val="24"/>
                <w:szCs w:val="22"/>
              </w:rPr>
            </w:pPr>
          </w:p>
        </w:tc>
        <w:tc>
          <w:tcPr>
            <w:tcW w:w="2495" w:type="dxa"/>
            <w:vAlign w:val="center"/>
          </w:tcPr>
          <w:p>
            <w:pPr>
              <w:adjustRightInd w:val="0"/>
              <w:snapToGrid w:val="0"/>
              <w:spacing w:line="360" w:lineRule="auto"/>
              <w:jc w:val="center"/>
              <w:rPr>
                <w:rFonts w:ascii="宋体" w:hAnsi="宋体" w:cs="宋体"/>
                <w:sz w:val="24"/>
              </w:rPr>
            </w:pPr>
          </w:p>
        </w:tc>
      </w:tr>
    </w:tbl>
    <w:p>
      <w:pPr>
        <w:spacing w:line="360" w:lineRule="auto"/>
        <w:ind w:firstLine="470" w:firstLineChars="196"/>
        <w:rPr>
          <w:rFonts w:ascii="宋体" w:hAnsi="宋体" w:cs="宋体"/>
          <w:sz w:val="24"/>
        </w:rPr>
      </w:pPr>
    </w:p>
    <w:p>
      <w:pPr>
        <w:spacing w:line="360" w:lineRule="auto"/>
        <w:ind w:firstLine="470" w:firstLineChars="196"/>
        <w:rPr>
          <w:rFonts w:ascii="宋体" w:hAnsi="宋体" w:cs="宋体"/>
          <w:sz w:val="24"/>
        </w:rPr>
      </w:pPr>
      <w:r>
        <w:rPr>
          <w:rFonts w:hint="eastAsia" w:ascii="宋体" w:hAnsi="宋体" w:cs="宋体"/>
          <w:sz w:val="24"/>
        </w:rPr>
        <w:t>注：1、此表由评标委员会主任负责统计汇总；</w:t>
      </w:r>
    </w:p>
    <w:p>
      <w:pPr>
        <w:spacing w:line="360" w:lineRule="auto"/>
        <w:ind w:firstLine="950" w:firstLineChars="396"/>
        <w:rPr>
          <w:rFonts w:ascii="宋体" w:hAnsi="宋体" w:cs="宋体"/>
          <w:sz w:val="24"/>
        </w:rPr>
      </w:pPr>
      <w:r>
        <w:rPr>
          <w:rFonts w:hint="eastAsia" w:ascii="宋体" w:hAnsi="宋体" w:cs="宋体"/>
          <w:sz w:val="24"/>
        </w:rPr>
        <w:t>2、有下列情形之一的单项评分为无效分：</w:t>
      </w:r>
    </w:p>
    <w:p>
      <w:pPr>
        <w:spacing w:line="360" w:lineRule="auto"/>
        <w:ind w:firstLine="1070" w:firstLineChars="446"/>
        <w:rPr>
          <w:rFonts w:ascii="宋体" w:hAnsi="宋体" w:cs="宋体"/>
          <w:sz w:val="24"/>
        </w:rPr>
      </w:pPr>
      <w:r>
        <w:rPr>
          <w:rFonts w:hint="eastAsia" w:ascii="宋体" w:hAnsi="宋体" w:cs="宋体"/>
          <w:sz w:val="24"/>
        </w:rPr>
        <w:t>（1）评分高出规定最高分或低于规定最低分的；</w:t>
      </w:r>
    </w:p>
    <w:p>
      <w:pPr>
        <w:spacing w:line="360" w:lineRule="auto"/>
        <w:ind w:left="1537" w:leftChars="446" w:hanging="600" w:hangingChars="250"/>
        <w:rPr>
          <w:rFonts w:ascii="宋体" w:hAnsi="宋体" w:cs="宋体"/>
          <w:sz w:val="24"/>
        </w:rPr>
      </w:pPr>
      <w:r>
        <w:rPr>
          <w:rFonts w:hint="eastAsia" w:ascii="宋体" w:hAnsi="宋体" w:cs="宋体"/>
          <w:sz w:val="24"/>
        </w:rPr>
        <w:t>（2）需评委独立评审记分的项目，同一评委对同一投标单位的一个计分内容出现重复计分的。</w:t>
      </w:r>
    </w:p>
    <w:p>
      <w:pPr>
        <w:spacing w:line="360" w:lineRule="auto"/>
        <w:ind w:firstLine="480" w:firstLineChars="200"/>
        <w:rPr>
          <w:rFonts w:ascii="宋体" w:hAnsi="宋体" w:cs="宋体"/>
          <w:sz w:val="24"/>
        </w:rPr>
      </w:pPr>
      <w:r>
        <w:rPr>
          <w:rFonts w:hint="eastAsia" w:ascii="宋体" w:hAnsi="宋体" w:cs="宋体"/>
          <w:sz w:val="24"/>
        </w:rPr>
        <w:t>统计人：                                          复核人：</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评标委员会全体成员签字：                          日  期：</w:t>
      </w:r>
    </w:p>
    <w:p>
      <w:pPr>
        <w:adjustRightInd w:val="0"/>
        <w:snapToGrid w:val="0"/>
        <w:spacing w:line="360" w:lineRule="auto"/>
        <w:rPr>
          <w:rFonts w:ascii="宋体" w:hAnsi="宋体" w:cs="宋体"/>
          <w:b/>
          <w:bCs/>
          <w:sz w:val="28"/>
          <w:szCs w:val="28"/>
        </w:rPr>
        <w:sectPr>
          <w:headerReference r:id="rId9" w:type="default"/>
          <w:footerReference r:id="rId10" w:type="default"/>
          <w:pgSz w:w="11906" w:h="16838"/>
          <w:pgMar w:top="1418" w:right="1531" w:bottom="1418" w:left="1531" w:header="851" w:footer="564" w:gutter="0"/>
          <w:cols w:space="720" w:num="1"/>
          <w:docGrid w:linePitch="312" w:charSpace="0"/>
        </w:sectPr>
      </w:pPr>
    </w:p>
    <w:p>
      <w:pPr>
        <w:adjustRightInd w:val="0"/>
        <w:snapToGrid w:val="0"/>
        <w:spacing w:line="360" w:lineRule="auto"/>
        <w:rPr>
          <w:rFonts w:ascii="宋体" w:hAnsi="宋体" w:cs="宋体"/>
          <w:b/>
          <w:bCs/>
          <w:sz w:val="28"/>
          <w:szCs w:val="28"/>
        </w:rPr>
      </w:pPr>
      <w:r>
        <w:rPr>
          <w:rFonts w:hint="eastAsia" w:ascii="宋体" w:hAnsi="宋体" w:cs="宋体"/>
          <w:b/>
          <w:bCs/>
          <w:sz w:val="28"/>
          <w:szCs w:val="28"/>
        </w:rPr>
        <w:t>附表4：</w:t>
      </w:r>
    </w:p>
    <w:p>
      <w:pPr>
        <w:spacing w:line="360" w:lineRule="auto"/>
        <w:jc w:val="center"/>
        <w:rPr>
          <w:rFonts w:ascii="宋体" w:hAnsi="宋体" w:cs="宋体"/>
          <w:b/>
          <w:sz w:val="28"/>
          <w:szCs w:val="28"/>
        </w:rPr>
      </w:pPr>
      <w:r>
        <w:rPr>
          <w:rFonts w:hint="eastAsia" w:ascii="宋体" w:hAnsi="宋体" w:cs="宋体"/>
          <w:b/>
          <w:sz w:val="28"/>
          <w:szCs w:val="28"/>
        </w:rPr>
        <w:t>经评审的投标人排序表</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1"/>
        <w:gridCol w:w="5423"/>
        <w:gridCol w:w="22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排序</w:t>
            </w:r>
          </w:p>
        </w:tc>
        <w:tc>
          <w:tcPr>
            <w:tcW w:w="5423" w:type="dxa"/>
            <w:vAlign w:val="center"/>
          </w:tcPr>
          <w:p>
            <w:pPr>
              <w:spacing w:line="360" w:lineRule="auto"/>
              <w:jc w:val="center"/>
              <w:rPr>
                <w:rFonts w:ascii="宋体" w:hAnsi="宋体" w:cs="宋体"/>
                <w:sz w:val="24"/>
              </w:rPr>
            </w:pPr>
            <w:r>
              <w:rPr>
                <w:rFonts w:hint="eastAsia" w:ascii="宋体" w:hAnsi="宋体" w:cs="宋体"/>
                <w:sz w:val="24"/>
              </w:rPr>
              <w:t>投    标    人</w:t>
            </w:r>
          </w:p>
        </w:tc>
        <w:tc>
          <w:tcPr>
            <w:tcW w:w="2267" w:type="dxa"/>
            <w:vAlign w:val="center"/>
          </w:tcPr>
          <w:p>
            <w:pPr>
              <w:spacing w:line="360" w:lineRule="auto"/>
              <w:jc w:val="center"/>
              <w:rPr>
                <w:rFonts w:ascii="宋体" w:hAnsi="宋体" w:cs="宋体"/>
                <w:sz w:val="24"/>
              </w:rPr>
            </w:pPr>
            <w:r>
              <w:rPr>
                <w:rFonts w:hint="eastAsia" w:ascii="宋体" w:hAnsi="宋体" w:cs="宋体"/>
                <w:sz w:val="24"/>
              </w:rPr>
              <w:t>得分情况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第一名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第二名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第三名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第四名</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391" w:type="dxa"/>
            <w:vAlign w:val="center"/>
          </w:tcPr>
          <w:p>
            <w:pPr>
              <w:spacing w:line="360" w:lineRule="auto"/>
              <w:jc w:val="center"/>
              <w:rPr>
                <w:rFonts w:ascii="宋体" w:hAnsi="宋体" w:cs="宋体"/>
                <w:sz w:val="24"/>
              </w:rPr>
            </w:pPr>
            <w:r>
              <w:rPr>
                <w:rFonts w:hint="eastAsia" w:ascii="宋体" w:hAnsi="宋体" w:cs="宋体"/>
                <w:sz w:val="24"/>
              </w:rPr>
              <w:t>……</w:t>
            </w:r>
          </w:p>
        </w:tc>
        <w:tc>
          <w:tcPr>
            <w:tcW w:w="5423" w:type="dxa"/>
            <w:vAlign w:val="center"/>
          </w:tcPr>
          <w:p>
            <w:pPr>
              <w:spacing w:line="360" w:lineRule="auto"/>
              <w:jc w:val="center"/>
              <w:rPr>
                <w:rFonts w:ascii="宋体" w:hAnsi="宋体" w:cs="宋体"/>
                <w:sz w:val="24"/>
              </w:rPr>
            </w:pPr>
          </w:p>
        </w:tc>
        <w:tc>
          <w:tcPr>
            <w:tcW w:w="2267" w:type="dxa"/>
            <w:vAlign w:val="center"/>
          </w:tcPr>
          <w:p>
            <w:pPr>
              <w:spacing w:line="360" w:lineRule="auto"/>
              <w:jc w:val="center"/>
              <w:rPr>
                <w:rFonts w:ascii="宋体" w:hAnsi="宋体" w:cs="宋体"/>
                <w:sz w:val="24"/>
              </w:rPr>
            </w:pPr>
          </w:p>
        </w:tc>
      </w:tr>
    </w:tbl>
    <w:p>
      <w:pPr>
        <w:spacing w:line="360" w:lineRule="auto"/>
        <w:ind w:left="480" w:hanging="480" w:hangingChars="200"/>
        <w:rPr>
          <w:rFonts w:ascii="宋体" w:hAnsi="宋体" w:cs="宋体"/>
          <w:sz w:val="24"/>
        </w:rPr>
      </w:pPr>
    </w:p>
    <w:p>
      <w:pPr>
        <w:spacing w:line="360" w:lineRule="auto"/>
        <w:ind w:left="930" w:leftChars="100" w:hanging="720" w:hangingChars="300"/>
        <w:rPr>
          <w:rFonts w:ascii="宋体" w:hAnsi="宋体" w:cs="宋体"/>
          <w:sz w:val="24"/>
        </w:rPr>
      </w:pPr>
      <w:r>
        <w:rPr>
          <w:rFonts w:hint="eastAsia" w:ascii="宋体" w:hAnsi="宋体" w:cs="宋体"/>
          <w:sz w:val="24"/>
        </w:rPr>
        <w:t>排序：得分相同的，按商务评审计分由高到低的顺序排列；得分且商务评审计分都相同的，按技术评审计分由高到低的顺序排列；得分、商务评审计分、技术评审计分均相同的，由评标委员会抽签或投票确定。</w:t>
      </w:r>
    </w:p>
    <w:p>
      <w:pPr>
        <w:spacing w:line="360" w:lineRule="auto"/>
        <w:rPr>
          <w:rFonts w:ascii="宋体" w:hAnsi="宋体" w:cs="宋体"/>
          <w:sz w:val="24"/>
        </w:rPr>
      </w:pPr>
    </w:p>
    <w:p>
      <w:pPr>
        <w:spacing w:line="360" w:lineRule="auto"/>
        <w:rPr>
          <w:rFonts w:ascii="宋体" w:hAnsi="宋体" w:cs="宋体"/>
          <w:b/>
          <w:sz w:val="24"/>
        </w:rPr>
      </w:pPr>
    </w:p>
    <w:p>
      <w:pPr>
        <w:spacing w:line="360" w:lineRule="auto"/>
        <w:ind w:firstLine="120" w:firstLineChars="50"/>
        <w:rPr>
          <w:rFonts w:ascii="宋体" w:hAnsi="宋体" w:cs="宋体"/>
          <w:sz w:val="24"/>
        </w:rPr>
      </w:pPr>
      <w:r>
        <w:rPr>
          <w:rFonts w:hint="eastAsia" w:ascii="宋体" w:hAnsi="宋体" w:cs="宋体"/>
          <w:sz w:val="24"/>
        </w:rPr>
        <w:t>评标委员会全体成员签字：                     日   期：</w:t>
      </w:r>
    </w:p>
    <w:p>
      <w:pPr>
        <w:spacing w:line="600" w:lineRule="exact"/>
        <w:rPr>
          <w:rFonts w:ascii="宋体" w:hAnsi="宋体" w:cs="宋体"/>
          <w:b/>
          <w:sz w:val="28"/>
          <w:szCs w:val="28"/>
        </w:rPr>
      </w:pPr>
    </w:p>
    <w:p>
      <w:pPr>
        <w:spacing w:line="600" w:lineRule="exact"/>
        <w:rPr>
          <w:rFonts w:ascii="宋体" w:hAnsi="宋体" w:cs="宋体"/>
          <w:b/>
          <w:sz w:val="28"/>
          <w:szCs w:val="28"/>
        </w:rPr>
      </w:pPr>
    </w:p>
    <w:p>
      <w:pPr>
        <w:spacing w:line="600" w:lineRule="exact"/>
        <w:rPr>
          <w:rFonts w:ascii="宋体" w:hAnsi="宋体" w:cs="宋体"/>
          <w:b/>
          <w:sz w:val="28"/>
          <w:szCs w:val="28"/>
        </w:rPr>
      </w:pPr>
    </w:p>
    <w:p>
      <w:pPr>
        <w:spacing w:line="600" w:lineRule="exact"/>
        <w:rPr>
          <w:rFonts w:ascii="宋体" w:hAnsi="宋体" w:cs="宋体"/>
          <w:b/>
          <w:sz w:val="28"/>
          <w:szCs w:val="28"/>
        </w:rPr>
      </w:pPr>
    </w:p>
    <w:p>
      <w:pPr>
        <w:spacing w:line="600" w:lineRule="exact"/>
        <w:rPr>
          <w:rFonts w:ascii="宋体" w:hAnsi="宋体" w:cs="宋体"/>
          <w:b/>
          <w:sz w:val="28"/>
          <w:szCs w:val="28"/>
        </w:rPr>
        <w:sectPr>
          <w:pgSz w:w="11906" w:h="16838"/>
          <w:pgMar w:top="1418" w:right="1531" w:bottom="1418" w:left="1531" w:header="851" w:footer="564" w:gutter="0"/>
          <w:cols w:space="720" w:num="1"/>
          <w:docGrid w:linePitch="312" w:charSpace="0"/>
        </w:sectPr>
      </w:pPr>
    </w:p>
    <w:p>
      <w:pPr>
        <w:spacing w:line="600" w:lineRule="exact"/>
        <w:rPr>
          <w:rFonts w:ascii="宋体" w:hAnsi="宋体" w:cs="宋体"/>
          <w:b/>
          <w:sz w:val="28"/>
          <w:szCs w:val="28"/>
        </w:rPr>
      </w:pPr>
      <w:r>
        <w:rPr>
          <w:rFonts w:hint="eastAsia" w:ascii="宋体" w:hAnsi="宋体" w:cs="宋体"/>
          <w:b/>
          <w:sz w:val="28"/>
          <w:szCs w:val="28"/>
        </w:rPr>
        <w:t>附表5：</w:t>
      </w:r>
    </w:p>
    <w:p>
      <w:pPr>
        <w:spacing w:line="600" w:lineRule="exact"/>
        <w:jc w:val="center"/>
        <w:rPr>
          <w:rFonts w:ascii="宋体" w:hAnsi="宋体" w:cs="宋体"/>
          <w:b/>
          <w:sz w:val="32"/>
          <w:szCs w:val="32"/>
        </w:rPr>
      </w:pPr>
    </w:p>
    <w:p>
      <w:pPr>
        <w:spacing w:line="600" w:lineRule="exact"/>
        <w:jc w:val="center"/>
        <w:rPr>
          <w:rFonts w:ascii="宋体" w:hAnsi="宋体" w:cs="宋体"/>
          <w:b/>
          <w:sz w:val="32"/>
          <w:szCs w:val="32"/>
        </w:rPr>
      </w:pPr>
      <w:r>
        <w:rPr>
          <w:rFonts w:hint="eastAsia" w:ascii="宋体" w:hAnsi="宋体" w:cs="宋体"/>
          <w:b/>
          <w:sz w:val="32"/>
          <w:szCs w:val="32"/>
        </w:rPr>
        <w:t>推荐中标候选人名单</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7"/>
        <w:gridCol w:w="5423"/>
        <w:gridCol w:w="2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排序</w:t>
            </w:r>
          </w:p>
        </w:tc>
        <w:tc>
          <w:tcPr>
            <w:tcW w:w="5423" w:type="dxa"/>
            <w:vAlign w:val="center"/>
          </w:tcPr>
          <w:p>
            <w:pPr>
              <w:spacing w:line="600" w:lineRule="exact"/>
              <w:jc w:val="center"/>
              <w:rPr>
                <w:rFonts w:ascii="宋体" w:hAnsi="宋体" w:cs="宋体"/>
                <w:sz w:val="24"/>
              </w:rPr>
            </w:pPr>
            <w:r>
              <w:rPr>
                <w:rFonts w:hint="eastAsia" w:ascii="宋体" w:hAnsi="宋体" w:cs="宋体"/>
                <w:sz w:val="24"/>
              </w:rPr>
              <w:t>中标候选人</w:t>
            </w:r>
          </w:p>
        </w:tc>
        <w:tc>
          <w:tcPr>
            <w:tcW w:w="2357" w:type="dxa"/>
            <w:vAlign w:val="center"/>
          </w:tcPr>
          <w:p>
            <w:pPr>
              <w:spacing w:line="600" w:lineRule="exact"/>
              <w:jc w:val="center"/>
              <w:rPr>
                <w:rFonts w:ascii="宋体" w:hAnsi="宋体" w:cs="宋体"/>
                <w:sz w:val="24"/>
              </w:rPr>
            </w:pPr>
            <w:r>
              <w:rPr>
                <w:rFonts w:hint="eastAsia" w:ascii="宋体" w:hAnsi="宋体" w:cs="宋体"/>
                <w:sz w:val="24"/>
              </w:rPr>
              <w:t>得分情况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第一名</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第二名</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第三名</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1497" w:type="dxa"/>
            <w:vAlign w:val="center"/>
          </w:tcPr>
          <w:p>
            <w:pPr>
              <w:spacing w:line="600" w:lineRule="exact"/>
              <w:jc w:val="center"/>
              <w:rPr>
                <w:rFonts w:ascii="宋体" w:hAnsi="宋体" w:cs="宋体"/>
                <w:sz w:val="24"/>
              </w:rPr>
            </w:pPr>
            <w:r>
              <w:rPr>
                <w:rFonts w:hint="eastAsia" w:ascii="宋体" w:hAnsi="宋体" w:cs="宋体"/>
                <w:sz w:val="24"/>
              </w:rPr>
              <w:t>……</w:t>
            </w:r>
          </w:p>
        </w:tc>
        <w:tc>
          <w:tcPr>
            <w:tcW w:w="5423" w:type="dxa"/>
            <w:vAlign w:val="center"/>
          </w:tcPr>
          <w:p>
            <w:pPr>
              <w:spacing w:line="600" w:lineRule="exact"/>
              <w:jc w:val="center"/>
              <w:rPr>
                <w:rFonts w:ascii="宋体" w:hAnsi="宋体" w:cs="宋体"/>
                <w:sz w:val="24"/>
              </w:rPr>
            </w:pPr>
          </w:p>
        </w:tc>
        <w:tc>
          <w:tcPr>
            <w:tcW w:w="2357" w:type="dxa"/>
            <w:vAlign w:val="center"/>
          </w:tcPr>
          <w:p>
            <w:pPr>
              <w:spacing w:line="600" w:lineRule="exact"/>
              <w:jc w:val="center"/>
              <w:rPr>
                <w:rFonts w:ascii="宋体" w:hAnsi="宋体" w:cs="宋体"/>
                <w:sz w:val="24"/>
              </w:rPr>
            </w:pPr>
          </w:p>
        </w:tc>
      </w:tr>
    </w:tbl>
    <w:p>
      <w:pPr>
        <w:tabs>
          <w:tab w:val="left" w:pos="0"/>
        </w:tabs>
        <w:adjustRightInd w:val="0"/>
        <w:snapToGrid w:val="0"/>
        <w:spacing w:line="600" w:lineRule="exact"/>
        <w:ind w:firstLine="482" w:firstLineChars="200"/>
        <w:rPr>
          <w:rFonts w:ascii="宋体" w:hAnsi="宋体" w:cs="宋体"/>
          <w:b/>
          <w:sz w:val="24"/>
        </w:rPr>
      </w:pPr>
    </w:p>
    <w:p>
      <w:pPr>
        <w:tabs>
          <w:tab w:val="left" w:pos="0"/>
        </w:tabs>
        <w:adjustRightInd w:val="0"/>
        <w:snapToGrid w:val="0"/>
        <w:spacing w:line="600" w:lineRule="exact"/>
        <w:ind w:firstLine="117" w:firstLineChars="49"/>
        <w:rPr>
          <w:rFonts w:ascii="宋体" w:hAnsi="宋体" w:cs="宋体"/>
          <w:sz w:val="24"/>
        </w:rPr>
      </w:pPr>
      <w:r>
        <w:rPr>
          <w:rFonts w:hint="eastAsia" w:ascii="宋体" w:hAnsi="宋体" w:cs="宋体"/>
          <w:sz w:val="24"/>
        </w:rPr>
        <w:t>签订合同前需要处理的事项：</w:t>
      </w:r>
    </w:p>
    <w:p>
      <w:pPr>
        <w:spacing w:line="600" w:lineRule="exact"/>
        <w:ind w:firstLine="120" w:firstLineChars="50"/>
        <w:rPr>
          <w:rFonts w:ascii="宋体" w:hAnsi="宋体" w:cs="宋体"/>
          <w:sz w:val="24"/>
        </w:rPr>
      </w:pPr>
    </w:p>
    <w:p>
      <w:pPr>
        <w:spacing w:line="600" w:lineRule="exact"/>
        <w:ind w:firstLine="120" w:firstLineChars="50"/>
        <w:rPr>
          <w:rFonts w:ascii="宋体" w:hAnsi="宋体" w:cs="宋体"/>
          <w:sz w:val="24"/>
        </w:rPr>
      </w:pPr>
      <w:r>
        <w:rPr>
          <w:rFonts w:hint="eastAsia" w:ascii="宋体" w:hAnsi="宋体" w:cs="宋体"/>
          <w:sz w:val="24"/>
        </w:rPr>
        <w:t>评标委员会全体成员签字：                      日   期：</w:t>
      </w:r>
    </w:p>
    <w:p>
      <w:pPr>
        <w:tabs>
          <w:tab w:val="left" w:pos="0"/>
        </w:tabs>
        <w:adjustRightInd w:val="0"/>
        <w:snapToGrid w:val="0"/>
        <w:spacing w:line="600" w:lineRule="exact"/>
        <w:ind w:firstLine="482" w:firstLineChars="200"/>
        <w:rPr>
          <w:rFonts w:ascii="宋体" w:hAnsi="宋体" w:cs="宋体"/>
          <w:b/>
          <w:sz w:val="24"/>
        </w:rPr>
      </w:pPr>
    </w:p>
    <w:p>
      <w:pPr>
        <w:tabs>
          <w:tab w:val="left" w:pos="0"/>
        </w:tabs>
        <w:adjustRightInd w:val="0"/>
        <w:snapToGrid w:val="0"/>
        <w:spacing w:line="600" w:lineRule="exact"/>
        <w:ind w:firstLine="482" w:firstLineChars="200"/>
        <w:rPr>
          <w:rFonts w:ascii="宋体" w:hAnsi="宋体" w:cs="宋体"/>
          <w:b/>
          <w:sz w:val="24"/>
        </w:rPr>
      </w:pPr>
    </w:p>
    <w:p>
      <w:pPr>
        <w:tabs>
          <w:tab w:val="left" w:pos="0"/>
        </w:tabs>
        <w:adjustRightInd w:val="0"/>
        <w:snapToGrid w:val="0"/>
        <w:spacing w:line="600" w:lineRule="exact"/>
        <w:ind w:firstLine="118" w:firstLineChars="49"/>
        <w:rPr>
          <w:rFonts w:ascii="宋体" w:hAnsi="宋体" w:cs="宋体"/>
          <w:b/>
          <w:sz w:val="24"/>
        </w:rPr>
      </w:pPr>
      <w:r>
        <w:rPr>
          <w:rFonts w:hint="eastAsia" w:ascii="宋体" w:hAnsi="宋体" w:cs="宋体"/>
          <w:b/>
          <w:sz w:val="24"/>
        </w:rPr>
        <w:t>监督人员签字：</w:t>
      </w:r>
    </w:p>
    <w:p>
      <w:pPr>
        <w:tabs>
          <w:tab w:val="left" w:pos="0"/>
        </w:tabs>
        <w:adjustRightInd w:val="0"/>
        <w:snapToGrid w:val="0"/>
        <w:spacing w:line="600" w:lineRule="exact"/>
        <w:ind w:firstLine="103" w:firstLineChars="49"/>
        <w:rPr>
          <w:rFonts w:ascii="宋体" w:hAnsi="宋体" w:cs="宋体"/>
          <w:b/>
          <w:szCs w:val="21"/>
        </w:rPr>
      </w:pPr>
    </w:p>
    <w:p>
      <w:pPr>
        <w:tabs>
          <w:tab w:val="left" w:pos="0"/>
        </w:tabs>
        <w:adjustRightInd w:val="0"/>
        <w:snapToGrid w:val="0"/>
        <w:spacing w:line="600" w:lineRule="exact"/>
        <w:rPr>
          <w:rFonts w:ascii="宋体" w:hAnsi="宋体" w:cs="宋体"/>
          <w:b/>
          <w:szCs w:val="21"/>
        </w:rPr>
      </w:pPr>
    </w:p>
    <w:p>
      <w:pPr>
        <w:tabs>
          <w:tab w:val="left" w:pos="0"/>
        </w:tabs>
        <w:adjustRightInd w:val="0"/>
        <w:snapToGrid w:val="0"/>
        <w:spacing w:line="600" w:lineRule="exact"/>
        <w:ind w:firstLine="103" w:firstLineChars="49"/>
        <w:rPr>
          <w:rFonts w:ascii="宋体" w:hAnsi="宋体" w:cs="宋体"/>
          <w:b/>
          <w:szCs w:val="21"/>
        </w:rPr>
        <w:sectPr>
          <w:pgSz w:w="11906" w:h="16838"/>
          <w:pgMar w:top="1418" w:right="1531" w:bottom="1418" w:left="1531" w:header="851" w:footer="564" w:gutter="0"/>
          <w:cols w:space="720" w:num="1"/>
          <w:docGrid w:linePitch="312" w:charSpace="0"/>
        </w:sectPr>
      </w:pPr>
    </w:p>
    <w:p>
      <w:pPr>
        <w:pStyle w:val="3"/>
        <w:rPr>
          <w:rFonts w:ascii="宋体" w:hAnsi="宋体" w:cs="宋体"/>
          <w:sz w:val="28"/>
          <w:szCs w:val="28"/>
        </w:rPr>
      </w:pPr>
      <w:bookmarkStart w:id="16" w:name="_Toc326586657"/>
      <w:bookmarkStart w:id="17" w:name="_Toc883946"/>
      <w:bookmarkStart w:id="18" w:name="_Toc31018"/>
      <w:r>
        <w:rPr>
          <w:rFonts w:hint="eastAsia" w:ascii="宋体" w:hAnsi="宋体" w:cs="宋体"/>
          <w:sz w:val="28"/>
          <w:szCs w:val="28"/>
        </w:rPr>
        <w:t xml:space="preserve">第四章 </w:t>
      </w:r>
      <w:bookmarkStart w:id="19" w:name="_Toc86360758"/>
      <w:r>
        <w:rPr>
          <w:rFonts w:hint="eastAsia" w:ascii="宋体" w:hAnsi="宋体" w:cs="宋体"/>
          <w:sz w:val="28"/>
          <w:szCs w:val="28"/>
        </w:rPr>
        <w:t>主要合同</w:t>
      </w:r>
      <w:bookmarkEnd w:id="16"/>
      <w:r>
        <w:rPr>
          <w:rFonts w:hint="eastAsia" w:ascii="宋体" w:hAnsi="宋体" w:cs="宋体"/>
          <w:sz w:val="28"/>
          <w:szCs w:val="28"/>
        </w:rPr>
        <w:t>条款</w:t>
      </w:r>
      <w:bookmarkEnd w:id="19"/>
    </w:p>
    <w:p>
      <w:pPr>
        <w:tabs>
          <w:tab w:val="left" w:pos="2296"/>
        </w:tabs>
        <w:spacing w:line="360" w:lineRule="auto"/>
        <w:jc w:val="center"/>
        <w:rPr>
          <w:rFonts w:hint="eastAsia" w:ascii="宋体" w:hAnsi="宋体"/>
          <w:sz w:val="24"/>
          <w:szCs w:val="24"/>
          <w:u w:val="none"/>
          <w:lang w:eastAsia="zh-CN"/>
        </w:rPr>
      </w:pPr>
      <w:r>
        <w:rPr>
          <w:rFonts w:hint="eastAsia" w:ascii="宋体" w:hAnsi="宋体"/>
          <w:sz w:val="24"/>
          <w:szCs w:val="24"/>
          <w:u w:val="none"/>
          <w:lang w:eastAsia="zh-CN"/>
        </w:rPr>
        <w:t>张家界市烟草专卖局（公司）关于2023年雪茄烟晾晒房及配套</w:t>
      </w:r>
    </w:p>
    <w:p>
      <w:pPr>
        <w:tabs>
          <w:tab w:val="left" w:pos="2296"/>
        </w:tabs>
        <w:spacing w:line="360" w:lineRule="auto"/>
        <w:jc w:val="center"/>
        <w:rPr>
          <w:rFonts w:ascii="宋体" w:hAnsi="宋体"/>
          <w:szCs w:val="21"/>
          <w:u w:val="single"/>
        </w:rPr>
      </w:pPr>
      <w:r>
        <w:rPr>
          <w:rFonts w:hint="eastAsia" w:ascii="宋体" w:hAnsi="宋体"/>
          <w:sz w:val="24"/>
          <w:szCs w:val="24"/>
          <w:u w:val="none"/>
          <w:lang w:eastAsia="zh-CN"/>
        </w:rPr>
        <w:t>设施采购项目（第二次）</w:t>
      </w:r>
      <w:r>
        <w:rPr>
          <w:rFonts w:ascii="宋体" w:hAnsi="宋体"/>
          <w:szCs w:val="21"/>
          <w:u w:val="none"/>
        </w:rPr>
        <w:t>合同</w:t>
      </w:r>
    </w:p>
    <w:p>
      <w:pPr>
        <w:tabs>
          <w:tab w:val="left" w:pos="2296"/>
        </w:tabs>
        <w:spacing w:line="360" w:lineRule="auto"/>
        <w:jc w:val="center"/>
        <w:rPr>
          <w:rFonts w:ascii="宋体" w:hAnsi="宋体"/>
          <w:szCs w:val="21"/>
        </w:rPr>
      </w:pPr>
      <w:r>
        <w:rPr>
          <w:rFonts w:hint="eastAsia" w:ascii="宋体" w:hAnsi="宋体"/>
          <w:szCs w:val="21"/>
          <w:u w:val="single"/>
        </w:rPr>
        <w:t>（具体合同内容以甲乙双方约定为准）</w:t>
      </w:r>
    </w:p>
    <w:p>
      <w:pPr>
        <w:spacing w:line="360" w:lineRule="auto"/>
        <w:ind w:firstLine="420" w:firstLineChars="200"/>
        <w:rPr>
          <w:rFonts w:ascii="宋体" w:hAnsi="宋体"/>
          <w:szCs w:val="21"/>
        </w:rPr>
      </w:pPr>
      <w:r>
        <w:rPr>
          <w:rFonts w:hint="eastAsia" w:ascii="宋体" w:hAnsi="宋体"/>
          <w:szCs w:val="21"/>
        </w:rPr>
        <w:t xml:space="preserve">甲方（买方）： </w:t>
      </w:r>
    </w:p>
    <w:p>
      <w:pPr>
        <w:spacing w:line="360" w:lineRule="auto"/>
        <w:ind w:firstLine="420" w:firstLineChars="200"/>
        <w:rPr>
          <w:rFonts w:ascii="宋体" w:hAnsi="宋体"/>
          <w:szCs w:val="21"/>
        </w:rPr>
      </w:pPr>
      <w:r>
        <w:rPr>
          <w:rFonts w:hint="eastAsia" w:ascii="宋体" w:hAnsi="宋体"/>
          <w:szCs w:val="21"/>
        </w:rPr>
        <w:t xml:space="preserve">乙方（卖方）：  </w:t>
      </w:r>
    </w:p>
    <w:p>
      <w:pPr>
        <w:spacing w:line="360" w:lineRule="auto"/>
        <w:ind w:firstLine="420" w:firstLineChars="200"/>
        <w:rPr>
          <w:rFonts w:ascii="宋体" w:hAnsi="宋体"/>
          <w:szCs w:val="21"/>
        </w:rPr>
      </w:pPr>
      <w:r>
        <w:rPr>
          <w:rFonts w:hint="eastAsia" w:ascii="宋体" w:hAnsi="宋体"/>
          <w:szCs w:val="21"/>
        </w:rPr>
        <w:t>合同签订地：</w:t>
      </w:r>
    </w:p>
    <w:p>
      <w:pPr>
        <w:spacing w:line="360" w:lineRule="auto"/>
        <w:ind w:firstLine="420" w:firstLineChars="200"/>
        <w:rPr>
          <w:rFonts w:ascii="宋体" w:hAnsi="宋体"/>
          <w:szCs w:val="21"/>
        </w:rPr>
      </w:pPr>
    </w:p>
    <w:p>
      <w:pPr>
        <w:spacing w:line="360" w:lineRule="auto"/>
        <w:ind w:firstLine="480" w:firstLineChars="200"/>
        <w:rPr>
          <w:rFonts w:ascii="宋体" w:hAnsi="宋体"/>
          <w:sz w:val="24"/>
          <w:szCs w:val="24"/>
        </w:rPr>
      </w:pPr>
      <w:r>
        <w:rPr>
          <w:rFonts w:hint="eastAsia" w:ascii="宋体" w:hAnsi="宋体"/>
          <w:sz w:val="24"/>
          <w:szCs w:val="24"/>
        </w:rPr>
        <w:t>根据《中华人民共和国民法典》有关规定湖南省烟草公司张家界市公司</w:t>
      </w:r>
      <w:r>
        <w:rPr>
          <w:rFonts w:hint="eastAsia" w:ascii="宋体" w:hAnsi="宋体"/>
          <w:sz w:val="24"/>
          <w:szCs w:val="24"/>
          <w:u w:val="single"/>
          <w:lang w:eastAsia="zh-CN"/>
        </w:rPr>
        <w:t>张家界市烟草专卖局（公司）关于2023年雪茄烟晾晒房及配套设施采购项目（第二次）</w:t>
      </w:r>
      <w:r>
        <w:rPr>
          <w:rFonts w:hint="eastAsia" w:ascii="宋体" w:hAnsi="宋体"/>
          <w:sz w:val="24"/>
          <w:szCs w:val="24"/>
          <w:u w:val="single"/>
        </w:rPr>
        <w:t xml:space="preserve">   </w:t>
      </w:r>
      <w:r>
        <w:rPr>
          <w:rFonts w:hint="eastAsia" w:ascii="宋体" w:hAnsi="宋体"/>
          <w:sz w:val="24"/>
          <w:szCs w:val="24"/>
        </w:rPr>
        <w:t>招标文件、乙方投标文件、中标通知书等，甲乙双方经友好协商，特签订本合同，以资共同遵守。</w:t>
      </w:r>
    </w:p>
    <w:p>
      <w:pPr>
        <w:spacing w:line="360" w:lineRule="auto"/>
        <w:ind w:firstLine="482" w:firstLineChars="200"/>
        <w:rPr>
          <w:rFonts w:ascii="宋体" w:hAnsi="宋体"/>
          <w:sz w:val="24"/>
          <w:szCs w:val="24"/>
        </w:rPr>
      </w:pPr>
      <w:r>
        <w:rPr>
          <w:rFonts w:hint="eastAsia" w:ascii="宋体" w:hAnsi="宋体"/>
          <w:b/>
          <w:sz w:val="24"/>
          <w:szCs w:val="24"/>
        </w:rPr>
        <w:t>第一条  合同</w:t>
      </w:r>
      <w:r>
        <w:rPr>
          <w:rFonts w:ascii="宋体" w:hAnsi="宋体"/>
          <w:b/>
          <w:sz w:val="24"/>
          <w:szCs w:val="24"/>
        </w:rPr>
        <w:t>标的</w:t>
      </w:r>
      <w:r>
        <w:rPr>
          <w:rFonts w:hint="eastAsia" w:ascii="宋体" w:hAnsi="宋体"/>
          <w:b/>
          <w:sz w:val="24"/>
          <w:szCs w:val="24"/>
        </w:rPr>
        <w:t>情况</w:t>
      </w:r>
    </w:p>
    <w:p>
      <w:pPr>
        <w:spacing w:line="360" w:lineRule="auto"/>
        <w:ind w:firstLine="480" w:firstLineChars="200"/>
        <w:rPr>
          <w:rFonts w:ascii="宋体" w:hAnsi="宋体"/>
          <w:sz w:val="24"/>
          <w:szCs w:val="24"/>
          <w:u w:val="single"/>
        </w:rPr>
      </w:pPr>
      <w:r>
        <w:rPr>
          <w:rFonts w:hint="eastAsia" w:ascii="宋体" w:hAnsi="宋体"/>
          <w:sz w:val="24"/>
          <w:szCs w:val="24"/>
          <w:u w:val="single"/>
        </w:rPr>
        <w:t>（可按</w:t>
      </w:r>
      <w:r>
        <w:rPr>
          <w:rFonts w:ascii="宋体" w:hAnsi="宋体"/>
          <w:sz w:val="24"/>
          <w:szCs w:val="24"/>
          <w:u w:val="single"/>
        </w:rPr>
        <w:t>招标文件、投标文件</w:t>
      </w:r>
      <w:r>
        <w:rPr>
          <w:rFonts w:hint="eastAsia" w:ascii="宋体" w:hAnsi="宋体"/>
          <w:sz w:val="24"/>
          <w:szCs w:val="24"/>
          <w:u w:val="single"/>
        </w:rPr>
        <w:t>报</w:t>
      </w:r>
      <w:r>
        <w:rPr>
          <w:rFonts w:ascii="宋体" w:hAnsi="宋体"/>
          <w:sz w:val="24"/>
          <w:szCs w:val="24"/>
          <w:u w:val="single"/>
        </w:rPr>
        <w:t>价</w:t>
      </w:r>
      <w:r>
        <w:rPr>
          <w:rFonts w:hint="eastAsia" w:ascii="宋体" w:hAnsi="宋体"/>
          <w:sz w:val="24"/>
          <w:szCs w:val="24"/>
          <w:u w:val="single"/>
        </w:rPr>
        <w:t>和</w:t>
      </w:r>
      <w:r>
        <w:rPr>
          <w:rFonts w:ascii="宋体" w:hAnsi="宋体"/>
          <w:sz w:val="24"/>
          <w:szCs w:val="24"/>
          <w:u w:val="single"/>
        </w:rPr>
        <w:t>产品清单拟定）</w:t>
      </w:r>
    </w:p>
    <w:p>
      <w:pPr>
        <w:spacing w:line="360" w:lineRule="auto"/>
        <w:ind w:firstLine="480" w:firstLineChars="200"/>
        <w:rPr>
          <w:rFonts w:ascii="宋体" w:hAnsi="宋体"/>
          <w:sz w:val="24"/>
          <w:szCs w:val="24"/>
          <w:u w:val="single"/>
        </w:rPr>
      </w:pPr>
      <w:r>
        <w:rPr>
          <w:rFonts w:hint="eastAsia" w:ascii="宋体" w:hAnsi="宋体"/>
          <w:sz w:val="24"/>
          <w:szCs w:val="24"/>
          <w:u w:val="single"/>
        </w:rPr>
        <w:t>以上价款包括但不限于包装、运输、卸车、安装、调试、保险和税金等全部费用。除经双方书面同意外，本合同约定的价款不得随意改变。以上税率如遇国家政策调整，则按相应政策执行。</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第二条  质量标准</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1.乙方须保证本合</w:t>
      </w:r>
      <w:r>
        <w:rPr>
          <w:rFonts w:ascii="宋体" w:hAnsi="宋体" w:cs="宋体"/>
          <w:sz w:val="24"/>
          <w:szCs w:val="24"/>
        </w:rPr>
        <w:t>同项下产品</w:t>
      </w:r>
      <w:r>
        <w:rPr>
          <w:rFonts w:hint="eastAsia" w:ascii="宋体" w:hAnsi="宋体" w:cs="宋体"/>
          <w:sz w:val="24"/>
          <w:szCs w:val="24"/>
        </w:rPr>
        <w:t>是全新、未使用过的，并完全符合国家技术质量标准规范和合同规定的质量、规格、性能和技术规范等的要求。</w:t>
      </w:r>
    </w:p>
    <w:p>
      <w:pPr>
        <w:spacing w:line="360" w:lineRule="auto"/>
        <w:ind w:firstLine="480" w:firstLineChars="200"/>
        <w:rPr>
          <w:rFonts w:ascii="宋体" w:hAnsi="宋体" w:cs="宋体"/>
          <w:sz w:val="24"/>
          <w:szCs w:val="24"/>
        </w:rPr>
      </w:pPr>
      <w:r>
        <w:rPr>
          <w:rFonts w:hint="eastAsia" w:ascii="宋体" w:hAnsi="宋体" w:cs="宋体"/>
          <w:sz w:val="24"/>
          <w:szCs w:val="24"/>
        </w:rPr>
        <w:t>2.乙方须保证所提供的设施经正确安装、正常运转和保养，在其使用寿命期内须具有符合质量要求和产品说明书的性能。在质量保证期之内，乙方须对由于设计、工艺或材料的缺陷而发生的任何不足或故障负责。</w:t>
      </w:r>
    </w:p>
    <w:p>
      <w:pPr>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.涉及安装工程内容，</w:t>
      </w:r>
      <w:r>
        <w:rPr>
          <w:rFonts w:hint="eastAsia" w:ascii="宋体" w:hAnsi="宋体"/>
          <w:sz w:val="24"/>
        </w:rPr>
        <w:t>乙方确保严格按照本合同有关约定（含招标文件及设计图纸规定的质量、规格和性能的要求）、《建设工程质量管理条例》和《湖南省建设工程质量和安全生产管理条例》、《建筑工程施工质量验收统一标准 》（GB50300-2013）、等国家、地方、行业技术标准、规范以及本项目设计图纸，达到合格标准。上述质量标准、规范有修订的，按新修订且有利于项目质量执行。</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采购材料质量：乙方采购材料、设备应是全新的，符合国家、行业关于该产品的技术标准、规范，符合合同及招投标文件规定的质量、规格、性能和技术规范等要求。乙方须保证所提供的货物在其使用寿命期内具有符合质量要求和产品说明书的性能。在货物质量保证期之内，乙方须对由于设计、工艺或材料的缺陷而发生的任何不足或故障负责。</w:t>
      </w:r>
    </w:p>
    <w:p>
      <w:pPr>
        <w:spacing w:line="360" w:lineRule="auto"/>
        <w:ind w:firstLine="480" w:firstLineChars="200"/>
        <w:rPr>
          <w:rFonts w:ascii="宋体" w:hAnsi="宋体" w:cs="宋体"/>
          <w:sz w:val="24"/>
          <w:szCs w:val="24"/>
        </w:rPr>
      </w:pPr>
      <w:r>
        <w:rPr>
          <w:rFonts w:ascii="宋体" w:hAnsi="宋体" w:cs="宋体"/>
          <w:sz w:val="24"/>
          <w:szCs w:val="24"/>
        </w:rPr>
        <w:t>5</w:t>
      </w:r>
      <w:r>
        <w:rPr>
          <w:rFonts w:hint="eastAsia" w:ascii="宋体" w:hAnsi="宋体" w:cs="宋体"/>
          <w:sz w:val="24"/>
          <w:szCs w:val="24"/>
        </w:rPr>
        <w:t xml:space="preserve">.其他质量标准: ________  </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第三条  交货时间、地点及运输风险承担</w:t>
      </w:r>
    </w:p>
    <w:p>
      <w:pPr>
        <w:spacing w:line="360" w:lineRule="auto"/>
        <w:ind w:firstLine="480" w:firstLineChars="200"/>
        <w:rPr>
          <w:rFonts w:ascii="宋体" w:hAnsi="宋体"/>
          <w:sz w:val="24"/>
          <w:szCs w:val="24"/>
        </w:rPr>
      </w:pPr>
      <w:r>
        <w:rPr>
          <w:rFonts w:hint="eastAsia" w:ascii="宋体" w:hAnsi="宋体" w:cs="宋体"/>
          <w:sz w:val="24"/>
          <w:szCs w:val="24"/>
        </w:rPr>
        <w:t>1.交付时间：乙方应在</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月 </w:t>
      </w:r>
      <w:r>
        <w:rPr>
          <w:rFonts w:hint="eastAsia" w:ascii="宋体" w:hAnsi="宋体" w:cs="宋体"/>
          <w:sz w:val="24"/>
          <w:szCs w:val="24"/>
          <w:u w:val="single"/>
        </w:rPr>
        <w:t xml:space="preserve">     </w:t>
      </w:r>
      <w:r>
        <w:rPr>
          <w:rFonts w:hint="eastAsia" w:ascii="宋体" w:hAnsi="宋体" w:cs="宋体"/>
          <w:sz w:val="24"/>
          <w:szCs w:val="24"/>
        </w:rPr>
        <w:t>日前完成全部设施的安装调试、验收合格。</w:t>
      </w:r>
    </w:p>
    <w:p>
      <w:pPr>
        <w:tabs>
          <w:tab w:val="left" w:pos="1120"/>
        </w:tabs>
        <w:spacing w:line="360" w:lineRule="auto"/>
        <w:ind w:firstLine="480" w:firstLineChars="200"/>
        <w:rPr>
          <w:rFonts w:ascii="宋体" w:hAnsi="宋体" w:cs="宋体"/>
          <w:sz w:val="24"/>
          <w:szCs w:val="24"/>
        </w:rPr>
      </w:pPr>
      <w:r>
        <w:rPr>
          <w:rFonts w:hint="eastAsia" w:ascii="宋体" w:hAnsi="宋体" w:cs="宋体"/>
          <w:sz w:val="24"/>
          <w:szCs w:val="24"/>
        </w:rPr>
        <w:t>2.交付地点</w:t>
      </w:r>
      <w:r>
        <w:rPr>
          <w:rFonts w:hint="eastAsia" w:ascii="宋体" w:hAnsi="宋体" w:cs="宋体"/>
          <w:b/>
          <w:sz w:val="24"/>
          <w:szCs w:val="24"/>
        </w:rPr>
        <w:t>：</w:t>
      </w:r>
      <w:r>
        <w:rPr>
          <w:rFonts w:hint="eastAsia" w:ascii="宋体" w:hAnsi="宋体" w:cs="宋体"/>
          <w:sz w:val="24"/>
          <w:szCs w:val="24"/>
        </w:rPr>
        <w:t>甲方指定地点</w:t>
      </w:r>
      <w:r>
        <w:rPr>
          <w:rFonts w:hint="eastAsia" w:ascii="宋体" w:hAnsi="宋体" w:cs="宋体"/>
          <w:sz w:val="24"/>
          <w:szCs w:val="24"/>
          <w:u w:val="single"/>
        </w:rPr>
        <w:t xml:space="preserve">                        （见</w:t>
      </w:r>
      <w:r>
        <w:rPr>
          <w:rFonts w:ascii="宋体" w:hAnsi="宋体" w:cs="宋体"/>
          <w:sz w:val="24"/>
          <w:szCs w:val="24"/>
          <w:u w:val="single"/>
        </w:rPr>
        <w:t>清单）</w:t>
      </w:r>
      <w:r>
        <w:rPr>
          <w:rFonts w:hint="eastAsia" w:ascii="宋体" w:hAnsi="宋体" w:cs="宋体"/>
          <w:sz w:val="24"/>
          <w:szCs w:val="24"/>
        </w:rPr>
        <w:t>。</w:t>
      </w:r>
    </w:p>
    <w:p>
      <w:pPr>
        <w:tabs>
          <w:tab w:val="left" w:pos="1120"/>
        </w:tabs>
        <w:spacing w:line="360" w:lineRule="auto"/>
        <w:ind w:firstLine="480" w:firstLineChars="200"/>
        <w:rPr>
          <w:rFonts w:ascii="宋体" w:hAnsi="宋体" w:cs="宋体"/>
          <w:sz w:val="24"/>
          <w:szCs w:val="24"/>
        </w:rPr>
      </w:pPr>
      <w:r>
        <w:rPr>
          <w:rFonts w:hint="eastAsia" w:ascii="宋体" w:hAnsi="宋体" w:cs="宋体"/>
          <w:sz w:val="24"/>
          <w:szCs w:val="24"/>
        </w:rPr>
        <w:t>3.乙方将产品运输至甲方指定地点并由甲方验收合格视为完成交付，交付前的一切风险由乙方承担。</w:t>
      </w:r>
    </w:p>
    <w:p>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4.乙方交付的产</w:t>
      </w:r>
      <w:r>
        <w:rPr>
          <w:rFonts w:ascii="宋体" w:hAnsi="宋体" w:cs="宋体"/>
          <w:kern w:val="0"/>
          <w:sz w:val="24"/>
          <w:szCs w:val="24"/>
        </w:rPr>
        <w:t>品</w:t>
      </w:r>
      <w:r>
        <w:rPr>
          <w:rFonts w:hint="eastAsia" w:ascii="宋体" w:hAnsi="宋体" w:cs="宋体"/>
          <w:kern w:val="0"/>
          <w:sz w:val="24"/>
          <w:szCs w:val="24"/>
        </w:rPr>
        <w:t>型号、规格、生产厂家、质量等不符合本合同约定的，甲方有权拒收。</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第四条  包装及运输要求</w:t>
      </w:r>
    </w:p>
    <w:p>
      <w:pPr>
        <w:spacing w:line="360" w:lineRule="auto"/>
        <w:ind w:firstLine="480" w:firstLineChars="200"/>
        <w:rPr>
          <w:rFonts w:ascii="宋体" w:hAnsi="宋体" w:cs="宋体"/>
          <w:sz w:val="24"/>
          <w:szCs w:val="24"/>
        </w:rPr>
      </w:pPr>
      <w:r>
        <w:rPr>
          <w:rFonts w:hint="eastAsia" w:ascii="宋体" w:hAnsi="宋体" w:cs="宋体"/>
          <w:sz w:val="24"/>
          <w:szCs w:val="24"/>
        </w:rPr>
        <w:t>乙方提供</w:t>
      </w:r>
      <w:r>
        <w:rPr>
          <w:rFonts w:ascii="宋体" w:hAnsi="宋体" w:cs="宋体"/>
          <w:sz w:val="24"/>
          <w:szCs w:val="24"/>
        </w:rPr>
        <w:t>产品</w:t>
      </w:r>
      <w:r>
        <w:rPr>
          <w:rFonts w:hint="eastAsia" w:ascii="宋体" w:hAnsi="宋体" w:cs="宋体"/>
          <w:sz w:val="24"/>
          <w:szCs w:val="24"/>
        </w:rPr>
        <w:t>均应按标准保护措施进行包装，包装应适应于远距离运输、防潮、防震、防锈和防野蛮装卸等要求，以确保安全无损地运抵指定现场。乙方应当采取足以保护标的物且有利于节约资源、保护生态环境的包装方式。由于包装防护措施不妥而引起的损坏、丢失由乙方负责。</w:t>
      </w:r>
    </w:p>
    <w:p>
      <w:pPr>
        <w:spacing w:line="360" w:lineRule="auto"/>
        <w:ind w:firstLine="482" w:firstLineChars="200"/>
        <w:rPr>
          <w:rFonts w:ascii="宋体" w:hAnsi="宋体" w:cs="宋体"/>
          <w:b/>
          <w:sz w:val="24"/>
          <w:szCs w:val="24"/>
        </w:rPr>
      </w:pPr>
      <w:r>
        <w:rPr>
          <w:rFonts w:hint="eastAsia" w:ascii="宋体" w:hAnsi="宋体" w:cs="宋体"/>
          <w:b/>
          <w:sz w:val="24"/>
          <w:szCs w:val="24"/>
        </w:rPr>
        <w:t>第五条  产</w:t>
      </w:r>
      <w:r>
        <w:rPr>
          <w:rFonts w:ascii="宋体" w:hAnsi="宋体" w:cs="宋体"/>
          <w:b/>
          <w:sz w:val="24"/>
          <w:szCs w:val="24"/>
        </w:rPr>
        <w:t>品</w:t>
      </w:r>
      <w:r>
        <w:rPr>
          <w:rFonts w:hint="eastAsia" w:ascii="宋体" w:hAnsi="宋体" w:cs="宋体"/>
          <w:b/>
          <w:sz w:val="24"/>
          <w:szCs w:val="24"/>
        </w:rPr>
        <w:t>安装</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1.安装和调试：乙方负责派技术人员到现场免费进行安装调试，直至验收合格；乙方应在设施运抵现场 </w:t>
      </w:r>
      <w:r>
        <w:rPr>
          <w:rFonts w:hint="eastAsia" w:ascii="宋体" w:hAnsi="宋体" w:cs="宋体"/>
          <w:sz w:val="24"/>
          <w:szCs w:val="24"/>
          <w:u w:val="single"/>
        </w:rPr>
        <w:t xml:space="preserve">    </w:t>
      </w:r>
      <w:r>
        <w:rPr>
          <w:rFonts w:hint="eastAsia" w:ascii="宋体" w:hAnsi="宋体" w:cs="宋体"/>
          <w:sz w:val="24"/>
          <w:szCs w:val="24"/>
        </w:rPr>
        <w:t>日前，向甲方提供安装调试及运行的进度计划表。</w:t>
      </w:r>
    </w:p>
    <w:p>
      <w:pPr>
        <w:spacing w:line="360" w:lineRule="auto"/>
        <w:ind w:firstLine="480" w:firstLineChars="200"/>
        <w:rPr>
          <w:rFonts w:ascii="宋体" w:hAnsi="宋体" w:cs="宋体"/>
          <w:b/>
          <w:bCs/>
          <w:sz w:val="24"/>
          <w:szCs w:val="24"/>
        </w:rPr>
      </w:pPr>
      <w:r>
        <w:rPr>
          <w:rFonts w:hint="eastAsia" w:ascii="宋体" w:hAnsi="宋体" w:cs="宋体"/>
          <w:sz w:val="24"/>
          <w:szCs w:val="24"/>
        </w:rPr>
        <w:t>2.乙方应在合同规定的时间内按甲方要求完成产品的安装、调试及验收工作。</w:t>
      </w:r>
      <w:r>
        <w:rPr>
          <w:rFonts w:hint="eastAsia" w:ascii="宋体" w:hAnsi="宋体" w:cs="宋体"/>
          <w:bCs/>
          <w:sz w:val="24"/>
          <w:szCs w:val="24"/>
        </w:rPr>
        <w:t>在产品的安装、调试、试运行期间，乙方人员费用自理。</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第六条  合</w:t>
      </w:r>
      <w:r>
        <w:rPr>
          <w:rFonts w:ascii="宋体" w:hAnsi="宋体" w:cs="宋体"/>
          <w:b/>
          <w:bCs/>
          <w:sz w:val="24"/>
          <w:szCs w:val="24"/>
        </w:rPr>
        <w:t>同</w:t>
      </w:r>
      <w:r>
        <w:rPr>
          <w:rFonts w:hint="eastAsia" w:ascii="宋体" w:hAnsi="宋体" w:cs="宋体"/>
          <w:b/>
          <w:bCs/>
          <w:sz w:val="24"/>
          <w:szCs w:val="24"/>
        </w:rPr>
        <w:t>价款及支付</w:t>
      </w:r>
    </w:p>
    <w:p>
      <w:pPr>
        <w:spacing w:line="360" w:lineRule="auto"/>
        <w:ind w:firstLine="480" w:firstLineChars="200"/>
        <w:rPr>
          <w:rFonts w:ascii="宋体" w:hAnsi="宋体"/>
          <w:sz w:val="24"/>
        </w:rPr>
      </w:pPr>
      <w:r>
        <w:rPr>
          <w:rFonts w:hint="eastAsia" w:ascii="宋体" w:hAnsi="宋体"/>
          <w:sz w:val="24"/>
          <w:szCs w:val="24"/>
        </w:rPr>
        <w:t>1.合同总价款合计人民币</w:t>
      </w:r>
      <w:r>
        <w:rPr>
          <w:rFonts w:hint="eastAsia" w:ascii="宋体" w:hAnsi="宋体" w:cs="宋体"/>
          <w:sz w:val="24"/>
          <w:szCs w:val="24"/>
          <w:u w:val="single"/>
        </w:rPr>
        <w:t xml:space="preserve">      </w:t>
      </w:r>
      <w:r>
        <w:rPr>
          <w:rFonts w:hint="eastAsia" w:ascii="宋体" w:hAnsi="宋体"/>
          <w:sz w:val="24"/>
          <w:szCs w:val="24"/>
        </w:rPr>
        <w:t>元（大写</w:t>
      </w:r>
      <w:r>
        <w:rPr>
          <w:rFonts w:hint="eastAsia" w:ascii="宋体" w:hAnsi="宋体" w:cs="宋体"/>
          <w:sz w:val="24"/>
          <w:szCs w:val="24"/>
          <w:u w:val="single"/>
        </w:rPr>
        <w:t xml:space="preserve">      </w:t>
      </w:r>
      <w:r>
        <w:rPr>
          <w:rFonts w:hint="eastAsia" w:ascii="宋体" w:hAnsi="宋体"/>
          <w:sz w:val="24"/>
          <w:szCs w:val="24"/>
        </w:rPr>
        <w:t>元整）。</w:t>
      </w:r>
      <w:r>
        <w:rPr>
          <w:rFonts w:hint="eastAsia" w:ascii="宋体" w:hAnsi="宋体"/>
          <w:sz w:val="24"/>
        </w:rPr>
        <w:t>项目终验合</w:t>
      </w:r>
      <w:r>
        <w:rPr>
          <w:rFonts w:ascii="宋体" w:hAnsi="宋体"/>
          <w:sz w:val="24"/>
        </w:rPr>
        <w:t>格</w:t>
      </w:r>
      <w:r>
        <w:rPr>
          <w:rFonts w:hint="eastAsia" w:ascii="宋体" w:hAnsi="宋体"/>
          <w:sz w:val="24"/>
        </w:rPr>
        <w:t>后，经甲方审计部门或其委托的中介造价咨询机构审核确认最终的项目结算造价作</w:t>
      </w:r>
      <w:r>
        <w:rPr>
          <w:rFonts w:ascii="宋体" w:hAnsi="宋体"/>
          <w:sz w:val="24"/>
        </w:rPr>
        <w:t>为最终结算金额</w:t>
      </w:r>
      <w:r>
        <w:rPr>
          <w:rFonts w:hint="eastAsia" w:ascii="宋体" w:hAnsi="宋体"/>
          <w:sz w:val="24"/>
        </w:rPr>
        <w:t>。上述价格为项目达到验收合格标准的全部价款，包含材料采购、运输、安装、施工、保险、税费等全部费用。</w:t>
      </w:r>
    </w:p>
    <w:p>
      <w:pPr>
        <w:spacing w:line="360" w:lineRule="auto"/>
        <w:ind w:firstLine="480" w:firstLineChars="200"/>
        <w:rPr>
          <w:rFonts w:ascii="宋体"/>
          <w:sz w:val="24"/>
        </w:rPr>
      </w:pPr>
      <w:r>
        <w:rPr>
          <w:rFonts w:hint="eastAsia" w:ascii="宋体" w:hAnsi="宋体"/>
          <w:sz w:val="24"/>
        </w:rPr>
        <w:t>2、在实施过程中，如设计方案或工程量有所调整， 增减项目和工程量</w:t>
      </w:r>
      <w:r>
        <w:rPr>
          <w:rFonts w:hint="eastAsia" w:ascii="宋体"/>
          <w:sz w:val="24"/>
        </w:rPr>
        <w:t>应当按照甲方《张家界市烟草系统基建、改扩建、维修工程项目变更、签证管理办法》（张烟审〔2018〕92号）规定的变更原则和程序实施签证。</w:t>
      </w:r>
    </w:p>
    <w:p>
      <w:pPr>
        <w:pStyle w:val="2"/>
        <w:spacing w:line="360" w:lineRule="auto"/>
        <w:ind w:firstLine="480"/>
        <w:rPr>
          <w:rFonts w:ascii="宋体" w:hAnsi="宋体"/>
          <w:sz w:val="24"/>
          <w:szCs w:val="24"/>
        </w:rPr>
      </w:pPr>
      <w:r>
        <w:rPr>
          <w:rFonts w:hint="eastAsia" w:ascii="宋体" w:hAnsi="宋体"/>
          <w:sz w:val="24"/>
          <w:szCs w:val="24"/>
        </w:rPr>
        <w:t xml:space="preserve">⑴施工中发包人需对原工程设计变更，应提前14天以书面形式向承包人发出变更通知。变更超过原设计标准或批准的建设规模时，发包人应提供变更的相应图纸和说明。承包人按照发包人发出的变更通知及有关要求，进行下列需要的变更： </w:t>
      </w:r>
    </w:p>
    <w:p>
      <w:pPr>
        <w:pStyle w:val="2"/>
        <w:spacing w:line="360" w:lineRule="auto"/>
        <w:ind w:firstLine="480"/>
        <w:rPr>
          <w:rFonts w:ascii="宋体" w:hAnsi="宋体"/>
          <w:sz w:val="24"/>
          <w:szCs w:val="24"/>
        </w:rPr>
      </w:pPr>
      <w:r>
        <w:rPr>
          <w:rFonts w:hint="eastAsia" w:ascii="宋体" w:hAnsi="宋体"/>
          <w:sz w:val="24"/>
          <w:szCs w:val="24"/>
        </w:rPr>
        <w:t xml:space="preserve">① 更改工程有关部分的标高、基线、位置和尺寸； </w:t>
      </w:r>
    </w:p>
    <w:p>
      <w:pPr>
        <w:pStyle w:val="2"/>
        <w:spacing w:line="360" w:lineRule="auto"/>
        <w:ind w:firstLine="480"/>
        <w:rPr>
          <w:rFonts w:ascii="宋体" w:hAnsi="宋体"/>
          <w:sz w:val="24"/>
          <w:szCs w:val="24"/>
        </w:rPr>
      </w:pPr>
      <w:r>
        <w:rPr>
          <w:rFonts w:hint="eastAsia" w:ascii="宋体" w:hAnsi="宋体"/>
          <w:sz w:val="24"/>
          <w:szCs w:val="24"/>
        </w:rPr>
        <w:t xml:space="preserve">② 增减合同中约定的工程量； </w:t>
      </w:r>
    </w:p>
    <w:p>
      <w:pPr>
        <w:pStyle w:val="2"/>
        <w:spacing w:line="360" w:lineRule="auto"/>
        <w:ind w:firstLine="480"/>
        <w:rPr>
          <w:rFonts w:ascii="宋体" w:hAnsi="宋体"/>
          <w:sz w:val="24"/>
          <w:szCs w:val="24"/>
        </w:rPr>
      </w:pPr>
      <w:r>
        <w:rPr>
          <w:rFonts w:hint="eastAsia" w:ascii="宋体" w:hAnsi="宋体"/>
          <w:sz w:val="24"/>
          <w:szCs w:val="24"/>
        </w:rPr>
        <w:t xml:space="preserve">③ 改变有关工程的施工时间和顺序； </w:t>
      </w:r>
    </w:p>
    <w:p>
      <w:pPr>
        <w:pStyle w:val="2"/>
        <w:spacing w:line="360" w:lineRule="auto"/>
        <w:ind w:firstLine="480"/>
        <w:rPr>
          <w:rFonts w:ascii="宋体" w:hAnsi="宋体"/>
          <w:sz w:val="24"/>
          <w:szCs w:val="24"/>
        </w:rPr>
      </w:pPr>
      <w:r>
        <w:rPr>
          <w:rFonts w:hint="eastAsia" w:ascii="宋体" w:hAnsi="宋体"/>
          <w:sz w:val="24"/>
          <w:szCs w:val="24"/>
        </w:rPr>
        <w:t xml:space="preserve">④ 其他有关工程变更需要的附加工作。 </w:t>
      </w:r>
    </w:p>
    <w:p>
      <w:pPr>
        <w:pStyle w:val="2"/>
        <w:spacing w:line="360" w:lineRule="auto"/>
        <w:ind w:firstLine="480"/>
        <w:rPr>
          <w:rFonts w:ascii="宋体" w:hAnsi="宋体"/>
          <w:sz w:val="24"/>
          <w:szCs w:val="24"/>
        </w:rPr>
      </w:pPr>
      <w:r>
        <w:rPr>
          <w:rFonts w:hint="eastAsia" w:ascii="宋体" w:hAnsi="宋体"/>
          <w:sz w:val="24"/>
          <w:szCs w:val="24"/>
        </w:rPr>
        <w:t xml:space="preserve">因变更导致合同价款的增减，由发包人承担，延误的工期相应顺延。 </w:t>
      </w:r>
    </w:p>
    <w:p>
      <w:pPr>
        <w:pStyle w:val="2"/>
        <w:spacing w:line="360" w:lineRule="auto"/>
        <w:ind w:firstLine="480"/>
        <w:rPr>
          <w:rFonts w:ascii="宋体" w:hAnsi="宋体"/>
          <w:sz w:val="24"/>
          <w:szCs w:val="24"/>
        </w:rPr>
      </w:pPr>
      <w:r>
        <w:rPr>
          <w:rFonts w:hint="eastAsia" w:ascii="宋体" w:hAnsi="宋体"/>
          <w:sz w:val="24"/>
          <w:szCs w:val="24"/>
        </w:rPr>
        <w:t xml:space="preserve">⑵施工中承包人不得对原工程设计进行变更。因承包人擅自变更设计发生的费用和由此导致发包人的直接损失，由承包人承担，延误的工期不予顺延。 </w:t>
      </w:r>
    </w:p>
    <w:p>
      <w:pPr>
        <w:pStyle w:val="2"/>
        <w:spacing w:line="360" w:lineRule="auto"/>
        <w:ind w:firstLine="480"/>
        <w:rPr>
          <w:rFonts w:ascii="宋体" w:hAnsi="宋体"/>
          <w:sz w:val="24"/>
          <w:szCs w:val="24"/>
        </w:rPr>
      </w:pPr>
      <w:r>
        <w:rPr>
          <w:rFonts w:hint="eastAsia" w:ascii="宋体" w:hAnsi="宋体"/>
          <w:sz w:val="24"/>
          <w:szCs w:val="24"/>
        </w:rPr>
        <w:t xml:space="preserve">⑶承包人在施工中提出的合理化建议涉及到对设计图纸或施工组织设计的更改及对材料、设备的换用，须经发包人同意。未经同意擅自更改或换用时，承包人承担由此发生的费用，并赔偿发包人的有关损失，延误的工期不予顺延。 </w:t>
      </w:r>
    </w:p>
    <w:p>
      <w:pPr>
        <w:pStyle w:val="2"/>
        <w:spacing w:line="360" w:lineRule="auto"/>
        <w:ind w:firstLine="480"/>
        <w:rPr>
          <w:rFonts w:ascii="宋体" w:hAnsi="宋体"/>
          <w:sz w:val="24"/>
          <w:szCs w:val="24"/>
        </w:rPr>
      </w:pPr>
      <w:r>
        <w:rPr>
          <w:rFonts w:hint="eastAsia" w:ascii="宋体" w:hAnsi="宋体"/>
          <w:sz w:val="24"/>
          <w:szCs w:val="24"/>
        </w:rPr>
        <w:t xml:space="preserve">⑷其他变更 </w:t>
      </w:r>
    </w:p>
    <w:p>
      <w:pPr>
        <w:pStyle w:val="2"/>
        <w:spacing w:line="360" w:lineRule="auto"/>
        <w:ind w:firstLine="480"/>
        <w:rPr>
          <w:rFonts w:ascii="宋体" w:hAnsi="宋体"/>
          <w:sz w:val="24"/>
          <w:szCs w:val="24"/>
        </w:rPr>
      </w:pPr>
      <w:r>
        <w:rPr>
          <w:rFonts w:hint="eastAsia" w:ascii="宋体" w:hAnsi="宋体"/>
          <w:sz w:val="24"/>
          <w:szCs w:val="24"/>
        </w:rPr>
        <w:t xml:space="preserve">合同履行中发包人要求变更工程质量标准及发生其他实质性变更，由双方协商解决。 </w:t>
      </w:r>
    </w:p>
    <w:p>
      <w:pPr>
        <w:pStyle w:val="2"/>
        <w:spacing w:line="360" w:lineRule="auto"/>
        <w:ind w:firstLine="480"/>
        <w:rPr>
          <w:rFonts w:ascii="宋体" w:hAnsi="宋体"/>
          <w:sz w:val="24"/>
          <w:szCs w:val="24"/>
        </w:rPr>
      </w:pPr>
      <w:r>
        <w:rPr>
          <w:rFonts w:hint="eastAsia" w:ascii="宋体" w:hAnsi="宋体"/>
          <w:sz w:val="24"/>
          <w:szCs w:val="24"/>
        </w:rPr>
        <w:t>⑸变更程序</w:t>
      </w:r>
    </w:p>
    <w:p>
      <w:pPr>
        <w:pStyle w:val="2"/>
        <w:spacing w:line="360" w:lineRule="auto"/>
        <w:ind w:firstLine="480"/>
        <w:rPr>
          <w:rFonts w:ascii="宋体" w:hAnsi="宋体"/>
          <w:sz w:val="24"/>
          <w:szCs w:val="24"/>
        </w:rPr>
      </w:pPr>
      <w:r>
        <w:rPr>
          <w:rFonts w:hint="eastAsia" w:ascii="宋体" w:hAnsi="宋体"/>
          <w:sz w:val="24"/>
          <w:szCs w:val="24"/>
        </w:rPr>
        <w:t>①由承包人、发包人提出，经发包人审查，发包人确认的设计变更；承包人提出的设计变更属于合理化建议的，发包人不进行奖励；</w:t>
      </w:r>
    </w:p>
    <w:p>
      <w:pPr>
        <w:pStyle w:val="2"/>
        <w:spacing w:line="360" w:lineRule="auto"/>
        <w:ind w:firstLine="480"/>
        <w:rPr>
          <w:rFonts w:ascii="宋体" w:hAnsi="宋体"/>
          <w:sz w:val="24"/>
          <w:szCs w:val="24"/>
        </w:rPr>
      </w:pPr>
      <w:r>
        <w:rPr>
          <w:rFonts w:hint="eastAsia" w:ascii="宋体" w:hAnsi="宋体"/>
          <w:sz w:val="24"/>
          <w:szCs w:val="24"/>
        </w:rPr>
        <w:t>变更发生前承包人必须申报，其中主材价格投标时没有的由承包人报发包人工程师和发包人审计审核同意后作为计价依据。</w:t>
      </w:r>
    </w:p>
    <w:p>
      <w:pPr>
        <w:pStyle w:val="2"/>
        <w:spacing w:line="360" w:lineRule="auto"/>
        <w:ind w:firstLine="480"/>
        <w:rPr>
          <w:rFonts w:ascii="宋体" w:hAnsi="宋体"/>
          <w:sz w:val="24"/>
          <w:szCs w:val="24"/>
        </w:rPr>
      </w:pPr>
      <w:r>
        <w:rPr>
          <w:rFonts w:hint="eastAsia" w:ascii="宋体" w:hAnsi="宋体"/>
          <w:sz w:val="24"/>
          <w:szCs w:val="24"/>
        </w:rPr>
        <w:t>②现场签证事项发生时，需通知发包人的工程师、发包人审计人员现场确认，计价方式同工程变更。</w:t>
      </w:r>
    </w:p>
    <w:p>
      <w:pPr>
        <w:pStyle w:val="2"/>
        <w:spacing w:line="360" w:lineRule="auto"/>
        <w:ind w:firstLine="480"/>
        <w:rPr>
          <w:rFonts w:ascii="宋体" w:hAnsi="宋体"/>
          <w:sz w:val="24"/>
          <w:szCs w:val="24"/>
        </w:rPr>
      </w:pPr>
      <w:r>
        <w:rPr>
          <w:rFonts w:hint="eastAsia" w:ascii="宋体" w:hAnsi="宋体"/>
          <w:sz w:val="24"/>
          <w:szCs w:val="24"/>
        </w:rPr>
        <w:t>（6）工程签证费用估算在3万元以上，10万元（含10万元）以下的，由发包人基建、财务、审计、经济运行等相关部门共同签证；工程签证费用估算在10万元以上的，经发包人管委会审议通过后才能变更和签证。</w:t>
      </w:r>
    </w:p>
    <w:p>
      <w:pPr>
        <w:pStyle w:val="2"/>
        <w:spacing w:line="360" w:lineRule="auto"/>
        <w:ind w:firstLine="480"/>
        <w:rPr>
          <w:rFonts w:ascii="宋体" w:hAnsi="宋体"/>
          <w:sz w:val="24"/>
          <w:szCs w:val="24"/>
        </w:rPr>
      </w:pPr>
      <w:r>
        <w:rPr>
          <w:rFonts w:hint="eastAsia" w:ascii="宋体" w:hAnsi="宋体"/>
          <w:sz w:val="24"/>
          <w:szCs w:val="24"/>
        </w:rPr>
        <w:t>（7）所有经双方（承包人、发包人）确认的工程变更必须在变更确认后十日内办理相关手续，变更签证需一式五份并编号存档（其中一份送发包人现场审计人员），竣工结算时所有与发包人编号存档的变更（现场技术人员、现场审计人员）不相符的部分不予结算。</w:t>
      </w:r>
    </w:p>
    <w:p>
      <w:pPr>
        <w:pStyle w:val="2"/>
        <w:spacing w:line="360" w:lineRule="auto"/>
        <w:ind w:firstLine="480"/>
        <w:rPr>
          <w:rFonts w:ascii="宋体" w:hAnsi="宋体"/>
          <w:sz w:val="24"/>
          <w:szCs w:val="24"/>
        </w:rPr>
      </w:pPr>
      <w:r>
        <w:rPr>
          <w:rFonts w:hint="eastAsia" w:ascii="宋体" w:hAnsi="宋体"/>
          <w:sz w:val="24"/>
          <w:szCs w:val="24"/>
        </w:rPr>
        <w:t>（8）所有涉及土石方工程签证须提供经发包人确认的签证事项发生前及结束时方格网图或纵横断面图（路基土方）或基坑断面图（基坑土方），图上应标注土质成份和实际的土石分界线。</w:t>
      </w:r>
    </w:p>
    <w:p>
      <w:pPr>
        <w:pStyle w:val="2"/>
        <w:spacing w:line="360" w:lineRule="auto"/>
        <w:ind w:firstLine="480"/>
        <w:rPr>
          <w:rFonts w:ascii="宋体" w:hAnsi="宋体"/>
          <w:sz w:val="24"/>
        </w:rPr>
      </w:pPr>
      <w:r>
        <w:rPr>
          <w:rFonts w:hint="eastAsia" w:ascii="宋体" w:hAnsi="宋体"/>
          <w:sz w:val="24"/>
          <w:szCs w:val="24"/>
        </w:rPr>
        <w:t>（9）</w:t>
      </w:r>
      <w:r>
        <w:rPr>
          <w:rFonts w:hint="eastAsia" w:ascii="宋体" w:hAnsi="宋体"/>
          <w:sz w:val="24"/>
        </w:rPr>
        <w:t>签订计价原则如下： ①变更的工程量、现场签证，投标或报价清单中已有相同或相近综合单价的，参照中标方报价清单中相同或相近产品报价。 ②当变更的工程量、现场签证、投标清单中无相应的综合单价的变更部分按投标时的人工单价、材料单价、取费按《湖南省建设工程计价办法》附件五表2《施工企业计费费率参考表》中利润、安全文明措施费、税金的相关费率计算，不再计算施工措施费。无材料投标单价按当期张家界造价信息发布价，无发布价的按照市场价。</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项目完工经双方验收合格，甲方凭终验合格报告和竣工结算审计报告，乙方根据竣工结算审计报告和双方确定的合同金额开具增值税专用发票，甲方在收到发票后30个工作日内转账支付合</w:t>
      </w:r>
      <w:r>
        <w:rPr>
          <w:rFonts w:ascii="宋体" w:hAnsi="宋体"/>
          <w:sz w:val="24"/>
        </w:rPr>
        <w:t>同总</w:t>
      </w:r>
      <w:r>
        <w:rPr>
          <w:rFonts w:hint="eastAsia" w:ascii="宋体" w:hAnsi="宋体"/>
          <w:sz w:val="24"/>
        </w:rPr>
        <w:t>价款的</w:t>
      </w:r>
      <w:r>
        <w:rPr>
          <w:rFonts w:ascii="宋体" w:hAnsi="宋体"/>
          <w:sz w:val="24"/>
        </w:rPr>
        <w:t>90</w:t>
      </w:r>
      <w:r>
        <w:rPr>
          <w:rFonts w:hint="eastAsia" w:ascii="宋体" w:hAnsi="宋体"/>
          <w:sz w:val="24"/>
        </w:rPr>
        <w:t>%给乙方，剩余</w:t>
      </w:r>
      <w:r>
        <w:rPr>
          <w:rFonts w:ascii="宋体" w:hAnsi="宋体"/>
          <w:sz w:val="24"/>
        </w:rPr>
        <w:t>10</w:t>
      </w:r>
      <w:r>
        <w:rPr>
          <w:rFonts w:hint="eastAsia" w:ascii="宋体" w:hAnsi="宋体"/>
          <w:sz w:val="24"/>
        </w:rPr>
        <w:t>%作为质量保证金。质保期达到</w:t>
      </w:r>
      <w:r>
        <w:rPr>
          <w:rFonts w:ascii="宋体" w:hAnsi="宋体"/>
          <w:sz w:val="24"/>
        </w:rPr>
        <w:t>1</w:t>
      </w:r>
      <w:r>
        <w:rPr>
          <w:rFonts w:hint="eastAsia" w:ascii="宋体" w:hAnsi="宋体"/>
          <w:sz w:val="24"/>
        </w:rPr>
        <w:t>年后无质量问题，甲方在15个工作日无息支付合</w:t>
      </w:r>
      <w:r>
        <w:rPr>
          <w:rFonts w:ascii="宋体" w:hAnsi="宋体"/>
          <w:sz w:val="24"/>
        </w:rPr>
        <w:t>同总</w:t>
      </w:r>
      <w:r>
        <w:rPr>
          <w:rFonts w:hint="eastAsia" w:ascii="宋体" w:hAnsi="宋体"/>
          <w:sz w:val="24"/>
        </w:rPr>
        <w:t>价款的5%质量保证金。质保期达到</w:t>
      </w:r>
      <w:r>
        <w:rPr>
          <w:rFonts w:ascii="宋体" w:hAnsi="宋体"/>
          <w:sz w:val="24"/>
        </w:rPr>
        <w:t>2</w:t>
      </w:r>
      <w:r>
        <w:rPr>
          <w:rFonts w:hint="eastAsia" w:ascii="宋体" w:hAnsi="宋体"/>
          <w:sz w:val="24"/>
        </w:rPr>
        <w:t>年后无质量问题，甲方在15个工作日无息支付合</w:t>
      </w:r>
      <w:r>
        <w:rPr>
          <w:rFonts w:ascii="宋体" w:hAnsi="宋体"/>
          <w:sz w:val="24"/>
        </w:rPr>
        <w:t>同总</w:t>
      </w:r>
      <w:r>
        <w:rPr>
          <w:rFonts w:hint="eastAsia" w:ascii="宋体" w:hAnsi="宋体"/>
          <w:sz w:val="24"/>
        </w:rPr>
        <w:t>价款的5%质量保证金。如出现质量问题，因维修、赔偿损失所产生的费用从质保金中扣除，不足部分由乙方负责。</w:t>
      </w:r>
    </w:p>
    <w:p>
      <w:pPr>
        <w:adjustRightInd w:val="0"/>
        <w:snapToGrid w:val="0"/>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.双方的账户信息如下：</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（1）甲方账户名称：</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开户行：</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账  号：</w:t>
      </w:r>
      <w:r>
        <w:rPr>
          <w:rFonts w:hint="eastAsia" w:ascii="宋体" w:hAnsi="宋体" w:cs="宋体"/>
          <w:sz w:val="24"/>
          <w:szCs w:val="24"/>
          <w:u w:val="single"/>
        </w:rPr>
        <w:t xml:space="preserve">                      </w:t>
      </w:r>
      <w:r>
        <w:rPr>
          <w:rFonts w:hint="eastAsia" w:ascii="宋体" w:hAnsi="宋体" w:cs="宋体"/>
          <w:sz w:val="24"/>
          <w:szCs w:val="24"/>
        </w:rPr>
        <w:t>税号：</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地址、联系方式：</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（2）乙方账户名称：</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开户行：</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账  号：</w:t>
      </w:r>
      <w:r>
        <w:rPr>
          <w:rFonts w:hint="eastAsia" w:ascii="宋体" w:hAnsi="宋体" w:cs="宋体"/>
          <w:sz w:val="24"/>
          <w:szCs w:val="24"/>
          <w:u w:val="single"/>
        </w:rPr>
        <w:t xml:space="preserve">                      </w:t>
      </w:r>
      <w:r>
        <w:rPr>
          <w:rFonts w:hint="eastAsia" w:ascii="宋体" w:hAnsi="宋体" w:cs="宋体"/>
          <w:sz w:val="24"/>
          <w:szCs w:val="24"/>
        </w:rPr>
        <w:t>税号：</w:t>
      </w:r>
      <w:r>
        <w:rPr>
          <w:rFonts w:hint="eastAsia" w:ascii="宋体" w:hAnsi="宋体" w:cs="宋体"/>
          <w:sz w:val="24"/>
          <w:szCs w:val="24"/>
          <w:u w:val="single"/>
        </w:rPr>
        <w:t xml:space="preserve">                        </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rPr>
        <w:t>地址、联系方式：</w:t>
      </w:r>
      <w:r>
        <w:rPr>
          <w:rFonts w:hint="eastAsia" w:ascii="宋体" w:hAnsi="宋体" w:cs="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（3）甲方应将价款支付至本合同约定的乙方账户，乙方按本合同约定的甲方信息开具合法合规增值税发票。任何一方如需改变上述信息，应在另一方履行本条义务</w:t>
      </w:r>
      <w:r>
        <w:rPr>
          <w:rFonts w:hint="eastAsia" w:ascii="宋体" w:hAnsi="宋体"/>
          <w:sz w:val="24"/>
          <w:szCs w:val="24"/>
          <w:u w:val="single"/>
        </w:rPr>
        <w:t xml:space="preserve">    </w:t>
      </w:r>
      <w:r>
        <w:rPr>
          <w:rFonts w:hint="eastAsia" w:ascii="宋体" w:hAnsi="宋体"/>
          <w:sz w:val="24"/>
          <w:szCs w:val="24"/>
        </w:rPr>
        <w:t>日前以书面形式通知另一方，如果一方未按本合同规定通知而使另一方遭受损失的，应赔偿损失。</w:t>
      </w:r>
    </w:p>
    <w:p>
      <w:pPr>
        <w:widowControl/>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第七条  验收</w:t>
      </w:r>
    </w:p>
    <w:p>
      <w:pPr>
        <w:spacing w:line="360" w:lineRule="auto"/>
        <w:ind w:firstLine="480" w:firstLineChars="200"/>
        <w:rPr>
          <w:rFonts w:ascii="宋体" w:hAnsi="宋体"/>
          <w:sz w:val="24"/>
        </w:rPr>
      </w:pPr>
      <w:r>
        <w:rPr>
          <w:rFonts w:hint="eastAsia" w:ascii="宋体" w:hAnsi="宋体"/>
          <w:sz w:val="24"/>
        </w:rPr>
        <w:t>1、中间验收：具备隐蔽条件或达到中间验收条件，乙方自检合格后，提前24小时以书面形式通知甲方验收。经验收合格并有甲方代表签字后即可进行后序施工。如甲方验收不合格，乙方应在合同约定工期合理时间内返工、重作至合格标准后由甲方重新验收。</w:t>
      </w:r>
    </w:p>
    <w:p>
      <w:pPr>
        <w:spacing w:line="360" w:lineRule="auto"/>
        <w:ind w:firstLine="480" w:firstLineChars="200"/>
        <w:rPr>
          <w:rFonts w:ascii="宋体" w:hAnsi="宋体"/>
          <w:sz w:val="24"/>
        </w:rPr>
      </w:pPr>
      <w:r>
        <w:rPr>
          <w:rFonts w:hint="eastAsia" w:ascii="宋体" w:hAnsi="宋体"/>
          <w:sz w:val="24"/>
        </w:rPr>
        <w:t>2、终验：乙方交</w:t>
      </w:r>
      <w:r>
        <w:rPr>
          <w:rFonts w:ascii="宋体" w:hAnsi="宋体"/>
          <w:sz w:val="24"/>
        </w:rPr>
        <w:t>付全部</w:t>
      </w:r>
      <w:r>
        <w:rPr>
          <w:rFonts w:hint="eastAsia" w:ascii="宋体" w:hAnsi="宋体"/>
          <w:sz w:val="24"/>
        </w:rPr>
        <w:t>（或</w:t>
      </w:r>
      <w:r>
        <w:rPr>
          <w:rFonts w:ascii="宋体" w:hAnsi="宋体"/>
          <w:sz w:val="24"/>
        </w:rPr>
        <w:t>分批）货物并</w:t>
      </w:r>
      <w:r>
        <w:rPr>
          <w:rFonts w:hint="eastAsia" w:ascii="宋体" w:hAnsi="宋体"/>
          <w:sz w:val="24"/>
        </w:rPr>
        <w:t>完成</w:t>
      </w:r>
      <w:r>
        <w:rPr>
          <w:rFonts w:ascii="宋体" w:hAnsi="宋体"/>
          <w:sz w:val="24"/>
        </w:rPr>
        <w:t>安装</w:t>
      </w:r>
      <w:r>
        <w:rPr>
          <w:rFonts w:hint="eastAsia" w:ascii="宋体" w:hAnsi="宋体"/>
          <w:sz w:val="24"/>
        </w:rPr>
        <w:t>，经自检合格在24小时内通知甲方验收。甲方在验收过程中发现的质量、内容方面的问题，乙方须在约定期限内整改、增补或返工后再行验收，直至达到合格标准。如因乙方原因导致终验时间迟于合同约定期限的，视为违约。以最终符合质量标准日期为交</w:t>
      </w:r>
      <w:r>
        <w:rPr>
          <w:rFonts w:ascii="宋体" w:hAnsi="宋体"/>
          <w:sz w:val="24"/>
        </w:rPr>
        <w:t>付</w:t>
      </w:r>
      <w:r>
        <w:rPr>
          <w:rFonts w:hint="eastAsia" w:ascii="宋体" w:hAnsi="宋体"/>
          <w:sz w:val="24"/>
        </w:rPr>
        <w:t>日期。</w:t>
      </w:r>
    </w:p>
    <w:p>
      <w:pPr>
        <w:spacing w:line="360" w:lineRule="auto"/>
        <w:ind w:firstLine="480" w:firstLineChars="200"/>
        <w:rPr>
          <w:rFonts w:ascii="宋体" w:hAnsi="宋体"/>
          <w:sz w:val="24"/>
        </w:rPr>
      </w:pPr>
      <w:r>
        <w:rPr>
          <w:rFonts w:hint="eastAsia" w:ascii="宋体" w:hAnsi="宋体"/>
          <w:sz w:val="24"/>
        </w:rPr>
        <w:t>3、甲方根据图纸、工程量清单、合同约定和签证内容，对工程质量、数量进行验收。若甲方接通知后</w:t>
      </w:r>
      <w:r>
        <w:rPr>
          <w:rFonts w:ascii="宋体" w:hAnsi="宋体"/>
          <w:sz w:val="24"/>
        </w:rPr>
        <w:t>10</w:t>
      </w:r>
      <w:r>
        <w:rPr>
          <w:rFonts w:hint="eastAsia" w:ascii="宋体" w:hAnsi="宋体"/>
          <w:sz w:val="24"/>
        </w:rPr>
        <w:t>日内未到场验收，则视为验收合格。</w:t>
      </w:r>
    </w:p>
    <w:p>
      <w:pPr>
        <w:spacing w:line="360" w:lineRule="auto"/>
        <w:ind w:firstLine="480" w:firstLineChars="200"/>
        <w:rPr>
          <w:rFonts w:ascii="宋体" w:hAnsi="宋体"/>
          <w:sz w:val="24"/>
        </w:rPr>
      </w:pPr>
      <w:r>
        <w:rPr>
          <w:rFonts w:hint="eastAsia" w:ascii="宋体" w:hAnsi="宋体"/>
          <w:sz w:val="24"/>
        </w:rPr>
        <w:t>4、如施工方不按合同要求进行施工，甲方有权要求乙方返工、重作直至合格标准，返工所产生的费用由乙方自行承担。</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乙方应提供的技术文件和资料</w:t>
      </w:r>
    </w:p>
    <w:p>
      <w:pPr>
        <w:spacing w:line="360" w:lineRule="auto"/>
        <w:ind w:firstLine="480" w:firstLineChars="200"/>
        <w:rPr>
          <w:rFonts w:ascii="宋体" w:hAnsi="宋体"/>
          <w:sz w:val="24"/>
        </w:rPr>
      </w:pPr>
      <w:r>
        <w:rPr>
          <w:rFonts w:hint="eastAsia" w:ascii="宋体" w:hAnsi="宋体"/>
          <w:sz w:val="24"/>
        </w:rPr>
        <w:t>（1）产品使用手册、安装调试使用指南、维护维修说明书或服务手册（中文）；</w:t>
      </w:r>
    </w:p>
    <w:p>
      <w:pPr>
        <w:spacing w:line="360" w:lineRule="auto"/>
        <w:ind w:firstLine="480" w:firstLineChars="200"/>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产品技术参数表、产品制造、安装、调试、验收规范；</w:t>
      </w:r>
    </w:p>
    <w:p>
      <w:pPr>
        <w:spacing w:line="360" w:lineRule="auto"/>
        <w:ind w:firstLine="480" w:firstLineChars="200"/>
        <w:rPr>
          <w:rFonts w:ascii="宋体" w:hAnsi="宋体"/>
          <w:sz w:val="24"/>
        </w:rPr>
      </w:pPr>
      <w:r>
        <w:rPr>
          <w:rFonts w:hint="eastAsia" w:ascii="宋体" w:hAnsi="宋体"/>
          <w:sz w:val="24"/>
        </w:rPr>
        <w:t>（3）其他相关技术资料等。</w:t>
      </w:r>
    </w:p>
    <w:p>
      <w:pPr>
        <w:spacing w:line="360" w:lineRule="auto"/>
        <w:ind w:firstLine="482" w:firstLineChars="200"/>
        <w:rPr>
          <w:rFonts w:ascii="宋体" w:hAnsi="宋体"/>
          <w:b/>
          <w:sz w:val="24"/>
        </w:rPr>
      </w:pPr>
      <w:r>
        <w:rPr>
          <w:rFonts w:hint="eastAsia" w:ascii="宋体" w:hAnsi="宋体"/>
          <w:b/>
          <w:sz w:val="24"/>
        </w:rPr>
        <w:t>第八条</w:t>
      </w:r>
      <w:r>
        <w:rPr>
          <w:rFonts w:ascii="宋体" w:hAnsi="宋体"/>
          <w:b/>
          <w:sz w:val="24"/>
        </w:rPr>
        <w:t xml:space="preserve">  </w:t>
      </w:r>
      <w:r>
        <w:rPr>
          <w:rFonts w:hint="eastAsia" w:ascii="宋体" w:hAnsi="宋体"/>
          <w:b/>
          <w:sz w:val="24"/>
        </w:rPr>
        <w:t>甲方权利义务</w:t>
      </w:r>
    </w:p>
    <w:p>
      <w:pPr>
        <w:spacing w:line="360" w:lineRule="auto"/>
        <w:ind w:firstLine="480" w:firstLineChars="200"/>
        <w:rPr>
          <w:rFonts w:ascii="宋体" w:hAnsi="宋体"/>
          <w:sz w:val="24"/>
        </w:rPr>
      </w:pPr>
      <w:r>
        <w:rPr>
          <w:rFonts w:hint="eastAsia" w:ascii="宋体" w:hAnsi="宋体"/>
          <w:sz w:val="24"/>
        </w:rPr>
        <w:t>1、甲方按合同约定期限和金额向乙方支付合同价款。</w:t>
      </w:r>
    </w:p>
    <w:p>
      <w:pPr>
        <w:spacing w:line="360" w:lineRule="auto"/>
        <w:ind w:firstLine="480" w:firstLineChars="200"/>
        <w:rPr>
          <w:rFonts w:ascii="宋体" w:hAnsi="宋体"/>
          <w:sz w:val="24"/>
        </w:rPr>
      </w:pPr>
      <w:r>
        <w:rPr>
          <w:rFonts w:hint="eastAsia" w:ascii="宋体" w:hAnsi="宋体"/>
          <w:sz w:val="24"/>
        </w:rPr>
        <w:t>2、积极履行协助义务：</w:t>
      </w:r>
    </w:p>
    <w:p>
      <w:pPr>
        <w:spacing w:line="360" w:lineRule="auto"/>
        <w:ind w:firstLine="480" w:firstLineChars="200"/>
        <w:rPr>
          <w:rFonts w:ascii="宋体" w:hAnsi="宋体"/>
          <w:sz w:val="24"/>
        </w:rPr>
      </w:pPr>
      <w:r>
        <w:rPr>
          <w:rFonts w:hint="eastAsia" w:ascii="宋体" w:hAnsi="宋体"/>
          <w:sz w:val="24"/>
        </w:rPr>
        <w:t>（1）在开工前保证施工地点通水、电，保证施工需要。</w:t>
      </w:r>
    </w:p>
    <w:p>
      <w:pPr>
        <w:pStyle w:val="2"/>
        <w:spacing w:line="360" w:lineRule="auto"/>
        <w:ind w:firstLine="480"/>
      </w:pPr>
      <w:r>
        <w:rPr>
          <w:rFonts w:hint="eastAsia" w:ascii="宋体"/>
          <w:sz w:val="24"/>
        </w:rPr>
        <w:t>（2）负责协调建设用场地等工作。</w:t>
      </w:r>
    </w:p>
    <w:p>
      <w:pPr>
        <w:spacing w:line="360" w:lineRule="auto"/>
        <w:ind w:firstLine="480" w:firstLineChars="200"/>
        <w:rPr>
          <w:rFonts w:ascii="宋体" w:hAnsi="宋体"/>
          <w:sz w:val="24"/>
          <w:u w:val="single"/>
        </w:rPr>
      </w:pPr>
      <w:r>
        <w:rPr>
          <w:rFonts w:hint="eastAsia" w:ascii="宋体" w:hAnsi="宋体"/>
          <w:sz w:val="24"/>
        </w:rPr>
        <w:t>3、对乙方施工质量、进度等情况进行检查、监督，对项目进行验收。</w:t>
      </w:r>
    </w:p>
    <w:p>
      <w:pPr>
        <w:pStyle w:val="2"/>
        <w:spacing w:line="360" w:lineRule="auto"/>
        <w:ind w:firstLine="480"/>
        <w:rPr>
          <w:rFonts w:ascii="宋体"/>
          <w:sz w:val="24"/>
        </w:rPr>
      </w:pPr>
      <w:r>
        <w:rPr>
          <w:rFonts w:hint="eastAsia" w:ascii="宋体"/>
          <w:sz w:val="24"/>
        </w:rPr>
        <w:t>4、甲方项目负责人：</w:t>
      </w:r>
      <w:r>
        <w:rPr>
          <w:rFonts w:hint="eastAsia" w:ascii="宋体"/>
          <w:sz w:val="24"/>
          <w:u w:val="single"/>
        </w:rPr>
        <w:t xml:space="preserve"> 王振华</w:t>
      </w:r>
      <w:r>
        <w:rPr>
          <w:rFonts w:ascii="宋体"/>
          <w:sz w:val="24"/>
          <w:u w:val="single"/>
        </w:rPr>
        <w:t xml:space="preserve"> </w:t>
      </w:r>
      <w:r>
        <w:rPr>
          <w:rFonts w:hint="eastAsia" w:ascii="宋体"/>
          <w:sz w:val="24"/>
          <w:u w:val="single"/>
        </w:rPr>
        <w:t xml:space="preserve"> </w:t>
      </w:r>
      <w:r>
        <w:rPr>
          <w:rFonts w:hint="eastAsia" w:ascii="宋体"/>
          <w:sz w:val="24"/>
        </w:rPr>
        <w:t>，职务：</w:t>
      </w:r>
      <w:r>
        <w:rPr>
          <w:rFonts w:hint="eastAsia" w:ascii="宋体"/>
          <w:sz w:val="24"/>
          <w:u w:val="single"/>
        </w:rPr>
        <w:t xml:space="preserve"> 高级农艺师 </w:t>
      </w:r>
      <w:r>
        <w:rPr>
          <w:rFonts w:ascii="宋体"/>
          <w:sz w:val="24"/>
          <w:u w:val="single"/>
        </w:rPr>
        <w:t xml:space="preserve">  </w:t>
      </w:r>
      <w:r>
        <w:rPr>
          <w:rFonts w:hint="eastAsia" w:ascii="宋体"/>
          <w:sz w:val="24"/>
          <w:u w:val="single"/>
        </w:rPr>
        <w:t xml:space="preserve">   </w:t>
      </w:r>
      <w:r>
        <w:rPr>
          <w:rFonts w:hint="eastAsia" w:ascii="宋体"/>
          <w:sz w:val="24"/>
        </w:rPr>
        <w:t xml:space="preserve">    </w:t>
      </w:r>
    </w:p>
    <w:p>
      <w:pPr>
        <w:pStyle w:val="2"/>
        <w:spacing w:line="360" w:lineRule="auto"/>
        <w:ind w:firstLine="480"/>
        <w:rPr>
          <w:u w:val="single"/>
        </w:rPr>
      </w:pPr>
      <w:r>
        <w:rPr>
          <w:rFonts w:hint="eastAsia" w:ascii="宋体"/>
          <w:sz w:val="24"/>
        </w:rPr>
        <w:t xml:space="preserve">联系方式： </w:t>
      </w:r>
      <w:r>
        <w:rPr>
          <w:rFonts w:hint="eastAsia" w:ascii="宋体"/>
          <w:sz w:val="24"/>
          <w:u w:val="single"/>
        </w:rPr>
        <w:t xml:space="preserve"> </w:t>
      </w:r>
      <w:r>
        <w:rPr>
          <w:rFonts w:ascii="宋体"/>
          <w:sz w:val="24"/>
          <w:u w:val="single"/>
        </w:rPr>
        <w:t xml:space="preserve">0744-8863129  </w:t>
      </w:r>
      <w:r>
        <w:rPr>
          <w:rFonts w:hint="eastAsia" w:ascii="宋体"/>
          <w:sz w:val="24"/>
          <w:u w:val="single"/>
        </w:rPr>
        <w:t xml:space="preserve"> </w:t>
      </w:r>
    </w:p>
    <w:p>
      <w:pPr>
        <w:spacing w:line="360" w:lineRule="auto"/>
        <w:ind w:firstLine="482" w:firstLineChars="200"/>
        <w:rPr>
          <w:rFonts w:ascii="宋体" w:hAnsi="宋体"/>
          <w:b/>
          <w:sz w:val="24"/>
        </w:rPr>
      </w:pPr>
      <w:r>
        <w:rPr>
          <w:rFonts w:hint="eastAsia" w:ascii="宋体" w:hAnsi="宋体"/>
          <w:b/>
          <w:sz w:val="24"/>
        </w:rPr>
        <w:t>第九条</w:t>
      </w:r>
      <w:r>
        <w:rPr>
          <w:rFonts w:ascii="宋体" w:hAnsi="宋体"/>
          <w:b/>
          <w:sz w:val="24"/>
        </w:rPr>
        <w:t xml:space="preserve">  </w:t>
      </w:r>
      <w:r>
        <w:rPr>
          <w:rFonts w:hint="eastAsia" w:ascii="宋体" w:hAnsi="宋体"/>
          <w:b/>
          <w:sz w:val="24"/>
        </w:rPr>
        <w:t>乙方权利义务</w:t>
      </w:r>
    </w:p>
    <w:p>
      <w:pPr>
        <w:spacing w:line="360" w:lineRule="auto"/>
        <w:ind w:firstLine="480" w:firstLineChars="200"/>
        <w:rPr>
          <w:rFonts w:ascii="宋体" w:hAnsi="宋体"/>
          <w:sz w:val="24"/>
        </w:rPr>
      </w:pPr>
      <w:r>
        <w:rPr>
          <w:rFonts w:hint="eastAsia" w:ascii="宋体" w:hAnsi="宋体"/>
          <w:sz w:val="24"/>
        </w:rPr>
        <w:t>1.严格执行本合同质量标准。按期保质、保量、保安全履行</w:t>
      </w:r>
      <w:r>
        <w:rPr>
          <w:rFonts w:ascii="宋体" w:hAnsi="宋体"/>
          <w:sz w:val="24"/>
        </w:rPr>
        <w:t>合同义务</w:t>
      </w:r>
      <w:r>
        <w:rPr>
          <w:rFonts w:hint="eastAsia" w:ascii="宋体" w:hAnsi="宋体"/>
          <w:sz w:val="24"/>
        </w:rPr>
        <w:t>。承担因质量和安全产生的一切法律责任。</w:t>
      </w:r>
    </w:p>
    <w:p>
      <w:pPr>
        <w:spacing w:line="360" w:lineRule="auto"/>
        <w:ind w:firstLine="480" w:firstLineChars="200"/>
        <w:rPr>
          <w:rFonts w:ascii="宋体" w:hAnsi="宋体"/>
          <w:sz w:val="24"/>
        </w:rPr>
      </w:pPr>
      <w:r>
        <w:rPr>
          <w:rFonts w:hint="eastAsia" w:ascii="宋体" w:hAnsi="宋体"/>
          <w:sz w:val="24"/>
        </w:rPr>
        <w:t>2.乙方必须接受甲方的质量监督。每道工序完工后，报告甲方项目管理人员，经签发下道工序施工通知单后，再进行下道工序施工。</w:t>
      </w:r>
    </w:p>
    <w:p>
      <w:pPr>
        <w:spacing w:line="360" w:lineRule="auto"/>
        <w:ind w:firstLine="480" w:firstLineChars="200"/>
        <w:rPr>
          <w:rFonts w:ascii="宋体" w:hAnsi="宋体"/>
          <w:sz w:val="24"/>
        </w:rPr>
      </w:pPr>
      <w:r>
        <w:rPr>
          <w:rFonts w:hint="eastAsia" w:ascii="宋体" w:hAnsi="宋体"/>
          <w:sz w:val="24"/>
        </w:rPr>
        <w:t>3.乙方必须严格按图纸进行施工，无权更改和变动。基础开挖后如有特殊情况者，必须通知甲方，经甲方、丙方、设计单位、监理人员（如有）现场检查定案签字、拍照后，方可更改图纸，否则增加的工程量和其他一切责任一律由乙方负责。工程因施工质量而造成返工的，损失全部由乙方承担。</w:t>
      </w:r>
    </w:p>
    <w:p>
      <w:pPr>
        <w:spacing w:line="360" w:lineRule="auto"/>
        <w:ind w:firstLine="480" w:firstLineChars="200"/>
        <w:rPr>
          <w:rFonts w:ascii="宋体" w:hAnsi="宋体"/>
          <w:sz w:val="24"/>
        </w:rPr>
      </w:pPr>
      <w:r>
        <w:rPr>
          <w:rFonts w:ascii="宋体" w:hAnsi="宋体"/>
          <w:sz w:val="24"/>
        </w:rPr>
        <w:t>4</w:t>
      </w:r>
      <w:r>
        <w:rPr>
          <w:rFonts w:hint="eastAsia" w:ascii="宋体" w:hAnsi="宋体"/>
          <w:sz w:val="24"/>
        </w:rPr>
        <w:t>.提交工程自检报告，并出具材料出厂合格证和符合国家规定的质量部门检验报告。</w:t>
      </w:r>
    </w:p>
    <w:p>
      <w:pPr>
        <w:spacing w:line="360" w:lineRule="auto"/>
        <w:ind w:firstLine="480" w:firstLineChars="200"/>
        <w:rPr>
          <w:rFonts w:ascii="宋体" w:hAnsi="宋体"/>
          <w:sz w:val="24"/>
        </w:rPr>
      </w:pPr>
      <w:r>
        <w:rPr>
          <w:rFonts w:ascii="宋体" w:hAnsi="宋体"/>
          <w:sz w:val="24"/>
        </w:rPr>
        <w:t>5</w:t>
      </w:r>
      <w:r>
        <w:rPr>
          <w:rFonts w:hint="eastAsia" w:ascii="宋体" w:hAnsi="宋体"/>
          <w:sz w:val="24"/>
        </w:rPr>
        <w:t>.工程完工后必须对建筑物周围弃渣进行清理平整，使建筑物周围整洁，环境优美。</w:t>
      </w:r>
    </w:p>
    <w:p>
      <w:pPr>
        <w:spacing w:line="360" w:lineRule="auto"/>
        <w:ind w:firstLine="480" w:firstLineChars="200"/>
        <w:rPr>
          <w:rFonts w:ascii="宋体" w:hAnsi="宋体"/>
          <w:sz w:val="24"/>
        </w:rPr>
      </w:pPr>
      <w:r>
        <w:rPr>
          <w:rFonts w:ascii="宋体" w:hAnsi="宋体"/>
          <w:sz w:val="24"/>
        </w:rPr>
        <w:t>6</w:t>
      </w:r>
      <w:r>
        <w:rPr>
          <w:rFonts w:hint="eastAsia" w:ascii="宋体" w:hAnsi="宋体"/>
          <w:sz w:val="24"/>
        </w:rPr>
        <w:t>.参与甲方组织的验收，对查出的问题按要求进行整改落实。</w:t>
      </w:r>
    </w:p>
    <w:p>
      <w:pPr>
        <w:spacing w:line="360" w:lineRule="auto"/>
        <w:ind w:firstLine="480" w:firstLineChars="200"/>
        <w:rPr>
          <w:rFonts w:ascii="宋体" w:hAnsi="宋体"/>
          <w:sz w:val="24"/>
        </w:rPr>
      </w:pPr>
      <w:r>
        <w:rPr>
          <w:rFonts w:ascii="宋体" w:hAnsi="宋体"/>
          <w:sz w:val="24"/>
        </w:rPr>
        <w:t>7</w:t>
      </w:r>
      <w:r>
        <w:rPr>
          <w:rFonts w:hint="eastAsia" w:ascii="宋体" w:hAnsi="宋体"/>
          <w:sz w:val="24"/>
        </w:rPr>
        <w:t>.乙方履行合</w:t>
      </w:r>
      <w:r>
        <w:rPr>
          <w:rFonts w:ascii="宋体" w:hAnsi="宋体"/>
          <w:sz w:val="24"/>
        </w:rPr>
        <w:t>同义务</w:t>
      </w:r>
      <w:r>
        <w:rPr>
          <w:rFonts w:hint="eastAsia" w:ascii="宋体" w:hAnsi="宋体"/>
          <w:sz w:val="24"/>
        </w:rPr>
        <w:t>过程中，应保护好非施工区域管线和甲方设施设备，造成损坏的，应负赔偿责任。</w:t>
      </w:r>
    </w:p>
    <w:p>
      <w:pPr>
        <w:spacing w:line="360" w:lineRule="auto"/>
        <w:ind w:firstLine="480" w:firstLineChars="200"/>
        <w:rPr>
          <w:rFonts w:ascii="宋体" w:hAnsi="宋体"/>
          <w:sz w:val="24"/>
        </w:rPr>
      </w:pPr>
      <w:r>
        <w:rPr>
          <w:rFonts w:ascii="宋体" w:hAnsi="宋体"/>
          <w:sz w:val="24"/>
        </w:rPr>
        <w:t>8.</w:t>
      </w:r>
      <w:r>
        <w:rPr>
          <w:rFonts w:hint="eastAsia" w:ascii="宋体" w:hAnsi="宋体"/>
          <w:sz w:val="24"/>
        </w:rPr>
        <w:t>乙方应做好政府部门要求的施工场地交通、施工噪声、环境保护和安全生产管理规定，在竣工交工前清理施工现场符合环境卫生管理规定。</w:t>
      </w:r>
    </w:p>
    <w:p>
      <w:pPr>
        <w:pStyle w:val="2"/>
        <w:spacing w:line="360" w:lineRule="auto"/>
        <w:ind w:firstLine="480"/>
      </w:pPr>
      <w:r>
        <w:rPr>
          <w:rFonts w:ascii="宋体"/>
          <w:sz w:val="24"/>
        </w:rPr>
        <w:t>9.</w:t>
      </w:r>
      <w:r>
        <w:rPr>
          <w:rFonts w:hint="eastAsia" w:ascii="宋体"/>
          <w:sz w:val="24"/>
        </w:rPr>
        <w:t>乙方指派一名项目负责人，负责履行项目合同责任和义务，对本项目施工活动进行组织管理，确保工程质量。上述项目负责人须提供本年度乙方缴纳社保记录或证明。乙方项目负责人姓名：</w:t>
      </w:r>
      <w:r>
        <w:rPr>
          <w:rFonts w:ascii="宋体"/>
          <w:sz w:val="24"/>
          <w:u w:val="single"/>
        </w:rPr>
        <w:t>_______</w:t>
      </w:r>
      <w:r>
        <w:rPr>
          <w:rFonts w:hint="eastAsia" w:ascii="宋体"/>
          <w:sz w:val="24"/>
        </w:rPr>
        <w:t>，联系方式：</w:t>
      </w:r>
      <w:r>
        <w:rPr>
          <w:rFonts w:ascii="宋体"/>
          <w:sz w:val="24"/>
          <w:u w:val="single"/>
        </w:rPr>
        <w:t>_______</w:t>
      </w:r>
      <w:r>
        <w:rPr>
          <w:rFonts w:hint="eastAsia" w:ascii="宋体"/>
          <w:sz w:val="24"/>
        </w:rPr>
        <w:t>。</w:t>
      </w:r>
    </w:p>
    <w:p>
      <w:pPr>
        <w:spacing w:line="360" w:lineRule="auto"/>
        <w:ind w:firstLine="480" w:firstLineChars="200"/>
        <w:rPr>
          <w:rFonts w:ascii="宋体" w:hAnsi="宋体" w:cs="宋体"/>
          <w:b/>
          <w:sz w:val="24"/>
          <w:szCs w:val="24"/>
        </w:rPr>
      </w:pPr>
      <w:r>
        <w:rPr>
          <w:rFonts w:ascii="宋体" w:hAnsi="宋体" w:cs="宋体"/>
          <w:bCs/>
          <w:sz w:val="24"/>
          <w:szCs w:val="24"/>
        </w:rPr>
        <w:t>10.</w:t>
      </w:r>
      <w:r>
        <w:rPr>
          <w:rFonts w:hint="eastAsia" w:ascii="宋体" w:hAnsi="宋体" w:cs="宋体"/>
          <w:bCs/>
          <w:sz w:val="24"/>
          <w:szCs w:val="24"/>
        </w:rPr>
        <w:t>乙方应提供现场技术培训，就安装、检验、调试、使用和维护，培训甲方技术人员，直到甲方工作人员全部掌握运行操作、保养技术，并能达到日常维护、排除一般故障为止。</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第十条  质量保证及售后要求</w:t>
      </w:r>
    </w:p>
    <w:p>
      <w:pPr>
        <w:spacing w:line="360" w:lineRule="auto"/>
        <w:ind w:firstLine="480" w:firstLineChars="200"/>
        <w:rPr>
          <w:rFonts w:ascii="宋体" w:hAnsi="宋体" w:cs="宋体"/>
          <w:bCs/>
          <w:sz w:val="24"/>
          <w:szCs w:val="24"/>
        </w:rPr>
      </w:pPr>
      <w:r>
        <w:rPr>
          <w:rFonts w:hint="eastAsia" w:ascii="宋体" w:hAnsi="宋体" w:cs="宋体"/>
          <w:bCs/>
          <w:sz w:val="24"/>
          <w:szCs w:val="24"/>
        </w:rPr>
        <w:t>1.为了保证设施正常使用，甲方要求整体项目质保期为：验收合格次日起</w:t>
      </w:r>
      <w:r>
        <w:rPr>
          <w:rFonts w:hint="eastAsia" w:ascii="宋体" w:hAnsi="宋体" w:cs="宋体"/>
          <w:bCs/>
          <w:sz w:val="24"/>
          <w:szCs w:val="24"/>
          <w:u w:val="single"/>
        </w:rPr>
        <w:t xml:space="preserve">    </w:t>
      </w:r>
      <w:r>
        <w:rPr>
          <w:rFonts w:hint="eastAsia" w:ascii="宋体" w:hAnsi="宋体" w:cs="宋体"/>
          <w:bCs/>
          <w:sz w:val="24"/>
          <w:szCs w:val="24"/>
        </w:rPr>
        <w:t>年，在产品的质保期内，如有质量问题或质量缺陷，乙方应免费更换、补足</w:t>
      </w:r>
      <w:r>
        <w:rPr>
          <w:rFonts w:ascii="宋体" w:hAnsi="宋体" w:cs="宋体"/>
          <w:bCs/>
          <w:sz w:val="24"/>
          <w:szCs w:val="24"/>
        </w:rPr>
        <w:t>、修复</w:t>
      </w:r>
      <w:r>
        <w:rPr>
          <w:rFonts w:hint="eastAsia" w:ascii="宋体" w:hAnsi="宋体" w:cs="宋体"/>
          <w:bCs/>
          <w:sz w:val="24"/>
          <w:szCs w:val="24"/>
        </w:rPr>
        <w:t>，保证甲方工作及时正常运行。验收合格后</w:t>
      </w:r>
      <w:r>
        <w:rPr>
          <w:rFonts w:hint="eastAsia" w:ascii="宋体" w:hAnsi="宋体" w:cs="宋体"/>
          <w:bCs/>
          <w:sz w:val="24"/>
          <w:szCs w:val="24"/>
          <w:u w:val="single"/>
        </w:rPr>
        <w:t xml:space="preserve">    </w:t>
      </w:r>
      <w:r>
        <w:rPr>
          <w:rFonts w:hint="eastAsia" w:ascii="宋体" w:hAnsi="宋体" w:cs="宋体"/>
          <w:bCs/>
          <w:sz w:val="24"/>
          <w:szCs w:val="24"/>
        </w:rPr>
        <w:t>个月内，如累计出现两次质量问题的，乙方应免费更换符合本合同约定的产品。乙方须在质保期内应免费提供备件。</w:t>
      </w:r>
    </w:p>
    <w:p>
      <w:pPr>
        <w:spacing w:line="360" w:lineRule="auto"/>
        <w:ind w:firstLine="480" w:firstLineChars="200"/>
        <w:rPr>
          <w:rFonts w:ascii="宋体" w:hAnsi="宋体" w:cs="宋体"/>
          <w:bCs/>
          <w:sz w:val="24"/>
          <w:szCs w:val="24"/>
        </w:rPr>
      </w:pPr>
      <w:r>
        <w:rPr>
          <w:rFonts w:hint="eastAsia" w:ascii="宋体" w:hAnsi="宋体" w:cs="宋体"/>
          <w:bCs/>
          <w:sz w:val="24"/>
          <w:szCs w:val="24"/>
        </w:rPr>
        <w:t>2.系统设备发生故障，甲方通知乙方后，主要设备故障</w:t>
      </w:r>
      <w:r>
        <w:rPr>
          <w:rFonts w:hint="eastAsia" w:ascii="宋体" w:hAnsi="宋体" w:cs="宋体"/>
          <w:bCs/>
          <w:sz w:val="24"/>
          <w:szCs w:val="24"/>
          <w:u w:val="single"/>
        </w:rPr>
        <w:t xml:space="preserve">    </w:t>
      </w:r>
      <w:r>
        <w:rPr>
          <w:rFonts w:hint="eastAsia" w:ascii="宋体" w:hAnsi="宋体" w:cs="宋体"/>
          <w:bCs/>
          <w:sz w:val="24"/>
          <w:szCs w:val="24"/>
        </w:rPr>
        <w:t>小时内，其他故障</w:t>
      </w:r>
      <w:r>
        <w:rPr>
          <w:rFonts w:hint="eastAsia" w:ascii="宋体" w:hAnsi="宋体" w:cs="宋体"/>
          <w:bCs/>
          <w:sz w:val="24"/>
          <w:szCs w:val="24"/>
          <w:u w:val="single"/>
        </w:rPr>
        <w:t xml:space="preserve">    </w:t>
      </w:r>
      <w:r>
        <w:rPr>
          <w:rFonts w:hint="eastAsia" w:ascii="宋体" w:hAnsi="宋体" w:cs="宋体"/>
          <w:bCs/>
          <w:sz w:val="24"/>
          <w:szCs w:val="24"/>
        </w:rPr>
        <w:t>小时内修复或更换备件。</w:t>
      </w:r>
    </w:p>
    <w:p>
      <w:pPr>
        <w:spacing w:line="360" w:lineRule="auto"/>
        <w:ind w:firstLine="480" w:firstLineChars="200"/>
        <w:rPr>
          <w:rFonts w:ascii="宋体" w:hAnsi="宋体" w:cs="宋体"/>
          <w:bCs/>
          <w:sz w:val="24"/>
          <w:szCs w:val="24"/>
        </w:rPr>
      </w:pPr>
      <w:r>
        <w:rPr>
          <w:rFonts w:hint="eastAsia" w:ascii="宋体" w:hAnsi="宋体" w:cs="宋体"/>
          <w:bCs/>
          <w:sz w:val="24"/>
          <w:szCs w:val="24"/>
        </w:rPr>
        <w:t>3.除了及时响应甲方系统的故障通知外, 乙方还要定期地派遣工程师前往现场进行设备检修保养服务。</w:t>
      </w:r>
    </w:p>
    <w:p>
      <w:pPr>
        <w:spacing w:line="360" w:lineRule="auto"/>
        <w:ind w:firstLine="480" w:firstLineChars="200"/>
        <w:rPr>
          <w:rFonts w:ascii="宋体" w:hAnsi="宋体" w:cs="宋体"/>
          <w:bCs/>
          <w:sz w:val="24"/>
          <w:szCs w:val="24"/>
        </w:rPr>
      </w:pPr>
      <w:r>
        <w:rPr>
          <w:rFonts w:hint="eastAsia" w:ascii="宋体" w:hAnsi="宋体" w:cs="宋体"/>
          <w:bCs/>
          <w:sz w:val="24"/>
          <w:szCs w:val="24"/>
        </w:rPr>
        <w:t>4.乙方应为甲方提供各种形式的技术咨询服务，确保甲方能够及时掌握合同标的物、使用方法、性能、特征及常见问题的解决。</w:t>
      </w:r>
    </w:p>
    <w:p>
      <w:pPr>
        <w:spacing w:line="360" w:lineRule="auto"/>
        <w:ind w:firstLine="480" w:firstLineChars="200"/>
        <w:rPr>
          <w:rFonts w:ascii="宋体" w:hAnsi="宋体" w:cs="宋体"/>
          <w:sz w:val="24"/>
          <w:szCs w:val="24"/>
        </w:rPr>
      </w:pPr>
      <w:r>
        <w:rPr>
          <w:rFonts w:hint="eastAsia" w:ascii="宋体" w:hAnsi="宋体" w:cs="宋体"/>
          <w:sz w:val="24"/>
          <w:szCs w:val="24"/>
        </w:rPr>
        <w:t>5.甲方在验收合格后，发现设备的数量、质量、规格与合同不符，或者在设备使用过程中发现产品存在缺陷，包括潜在的缺陷或使用不符合要求的材料等，甲方应及时通知乙方，乙方在收到通知后</w:t>
      </w:r>
      <w:r>
        <w:rPr>
          <w:rFonts w:hint="eastAsia" w:ascii="宋体" w:hAnsi="宋体" w:cs="宋体"/>
          <w:sz w:val="24"/>
          <w:szCs w:val="24"/>
          <w:u w:val="single"/>
        </w:rPr>
        <w:t xml:space="preserve">     </w:t>
      </w:r>
      <w:r>
        <w:rPr>
          <w:rFonts w:hint="eastAsia" w:ascii="宋体" w:hAnsi="宋体" w:cs="宋体"/>
          <w:sz w:val="24"/>
          <w:szCs w:val="24"/>
        </w:rPr>
        <w:t>日内应免费维修或更换合格产品。</w:t>
      </w:r>
    </w:p>
    <w:p>
      <w:pPr>
        <w:spacing w:line="360" w:lineRule="auto"/>
        <w:ind w:firstLine="480" w:firstLineChars="200"/>
        <w:rPr>
          <w:rFonts w:ascii="宋体" w:hAnsi="宋体" w:cs="宋体"/>
          <w:bCs/>
          <w:sz w:val="24"/>
          <w:szCs w:val="24"/>
        </w:rPr>
      </w:pPr>
      <w:r>
        <w:rPr>
          <w:rFonts w:hint="eastAsia" w:ascii="宋体" w:hAnsi="宋体" w:cs="宋体"/>
          <w:sz w:val="24"/>
          <w:szCs w:val="24"/>
        </w:rPr>
        <w:t>6.如果乙方在收到通知后</w:t>
      </w:r>
      <w:r>
        <w:rPr>
          <w:rFonts w:hint="eastAsia" w:ascii="宋体" w:hAnsi="宋体" w:cs="宋体"/>
          <w:sz w:val="24"/>
          <w:szCs w:val="24"/>
          <w:u w:val="single"/>
        </w:rPr>
        <w:t xml:space="preserve">     </w:t>
      </w:r>
      <w:r>
        <w:rPr>
          <w:rFonts w:hint="eastAsia" w:ascii="宋体" w:hAnsi="宋体" w:cs="宋体"/>
          <w:sz w:val="24"/>
          <w:szCs w:val="24"/>
        </w:rPr>
        <w:t>日内没有履行质量保证责任的，甲方可采取必要的补救措施，但由此引发的风险和费用由乙方承担。</w:t>
      </w:r>
    </w:p>
    <w:p>
      <w:pPr>
        <w:spacing w:line="360" w:lineRule="auto"/>
        <w:ind w:firstLine="482" w:firstLineChars="200"/>
        <w:rPr>
          <w:rFonts w:ascii="宋体" w:hAnsi="宋体" w:cs="宋体"/>
          <w:b/>
          <w:sz w:val="24"/>
          <w:szCs w:val="24"/>
        </w:rPr>
      </w:pPr>
      <w:r>
        <w:rPr>
          <w:rFonts w:hint="eastAsia" w:ascii="宋体" w:hAnsi="宋体" w:cs="宋体"/>
          <w:b/>
          <w:sz w:val="24"/>
          <w:szCs w:val="24"/>
        </w:rPr>
        <w:t>第十一条  安全及赔付责任</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乙方在安装过程中应严格遵守相关的安全操作规程，派遣具有专业技术的人员对产品进行安装，所造成的一切安全事故均由乙方负责。</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第十二条  违约责任</w:t>
      </w:r>
    </w:p>
    <w:p>
      <w:pPr>
        <w:spacing w:line="360" w:lineRule="auto"/>
        <w:ind w:firstLine="480" w:firstLineChars="200"/>
        <w:rPr>
          <w:rFonts w:ascii="宋体" w:hAnsi="宋体" w:cs="宋体"/>
          <w:sz w:val="24"/>
          <w:szCs w:val="24"/>
        </w:rPr>
      </w:pPr>
      <w:r>
        <w:rPr>
          <w:rFonts w:hint="eastAsia" w:ascii="宋体" w:hAnsi="宋体" w:cs="宋体"/>
          <w:sz w:val="24"/>
          <w:szCs w:val="24"/>
        </w:rPr>
        <w:t>1.乙方延期交货，每延期一日，按延期交付的设备总额千分之</w:t>
      </w:r>
      <w:r>
        <w:rPr>
          <w:rFonts w:hint="eastAsia" w:ascii="宋体" w:hAnsi="宋体" w:cs="宋体"/>
          <w:sz w:val="24"/>
          <w:szCs w:val="24"/>
          <w:u w:val="single"/>
        </w:rPr>
        <w:t xml:space="preserve">    </w:t>
      </w:r>
      <w:r>
        <w:rPr>
          <w:rFonts w:hint="eastAsia" w:ascii="宋体" w:hAnsi="宋体" w:cs="宋体"/>
          <w:sz w:val="24"/>
          <w:szCs w:val="24"/>
        </w:rPr>
        <w:t>向甲方支付违约金，最多不超过延期交付的设备总额的</w:t>
      </w:r>
      <w:r>
        <w:rPr>
          <w:rFonts w:hint="eastAsia" w:ascii="宋体" w:hAnsi="宋体" w:cs="宋体"/>
          <w:sz w:val="24"/>
          <w:szCs w:val="24"/>
          <w:u w:val="single"/>
        </w:rPr>
        <w:t xml:space="preserve">     </w:t>
      </w:r>
      <w:r>
        <w:rPr>
          <w:rFonts w:hint="eastAsia" w:cs="仿宋"/>
        </w:rPr>
        <w:t>％</w:t>
      </w:r>
      <w:r>
        <w:rPr>
          <w:rFonts w:hint="eastAsia" w:ascii="宋体" w:hAnsi="宋体" w:cs="宋体"/>
          <w:sz w:val="24"/>
          <w:szCs w:val="24"/>
        </w:rPr>
        <w:t>。延期超过</w:t>
      </w:r>
      <w:r>
        <w:rPr>
          <w:rFonts w:hint="eastAsia" w:ascii="宋体" w:hAnsi="宋体" w:cs="宋体"/>
          <w:sz w:val="24"/>
          <w:szCs w:val="24"/>
          <w:u w:val="single"/>
        </w:rPr>
        <w:t xml:space="preserve">     </w:t>
      </w:r>
      <w:r>
        <w:rPr>
          <w:rFonts w:hint="eastAsia" w:ascii="宋体" w:hAnsi="宋体" w:cs="宋体"/>
          <w:sz w:val="24"/>
          <w:szCs w:val="24"/>
        </w:rPr>
        <w:t>日，甲方有权单方终止合同，乙方应按合同总价款的</w:t>
      </w:r>
      <w:r>
        <w:rPr>
          <w:rFonts w:hint="eastAsia" w:ascii="宋体" w:hAnsi="宋体" w:cs="宋体"/>
          <w:sz w:val="24"/>
          <w:szCs w:val="24"/>
          <w:u w:val="single"/>
        </w:rPr>
        <w:t xml:space="preserve">     </w:t>
      </w:r>
      <w:r>
        <w:rPr>
          <w:rFonts w:hint="eastAsia" w:cs="仿宋"/>
        </w:rPr>
        <w:t>％</w:t>
      </w:r>
      <w:r>
        <w:rPr>
          <w:rFonts w:hint="eastAsia" w:ascii="宋体" w:hAnsi="宋体" w:cs="宋体"/>
          <w:sz w:val="24"/>
          <w:szCs w:val="24"/>
        </w:rPr>
        <w:t>支付违约金。</w:t>
      </w:r>
    </w:p>
    <w:p>
      <w:pPr>
        <w:spacing w:line="360" w:lineRule="auto"/>
        <w:ind w:firstLine="480" w:firstLineChars="200"/>
        <w:rPr>
          <w:rFonts w:ascii="宋体" w:hAnsi="宋体" w:cs="宋体"/>
          <w:sz w:val="24"/>
          <w:szCs w:val="24"/>
        </w:rPr>
      </w:pPr>
      <w:r>
        <w:rPr>
          <w:rFonts w:hint="eastAsia" w:ascii="宋体" w:hAnsi="宋体" w:cs="宋体"/>
          <w:sz w:val="24"/>
          <w:szCs w:val="24"/>
        </w:rPr>
        <w:t>2.乙方所提供的产品型号、规格、质量等不符合合同规定标准的，应根据甲方的要求，予以更换、退货，甲方也可单方解除合同，乙方应赔偿甲方由此而遭受的损失。</w:t>
      </w:r>
    </w:p>
    <w:p>
      <w:pPr>
        <w:spacing w:line="360" w:lineRule="auto"/>
        <w:ind w:firstLine="480" w:firstLineChars="200"/>
        <w:rPr>
          <w:rFonts w:ascii="宋体" w:hAnsi="宋体" w:cs="宋体"/>
          <w:sz w:val="24"/>
          <w:szCs w:val="24"/>
        </w:rPr>
      </w:pPr>
      <w:r>
        <w:rPr>
          <w:rFonts w:hint="eastAsia" w:ascii="宋体" w:hAnsi="宋体" w:cs="宋体"/>
          <w:sz w:val="24"/>
          <w:szCs w:val="24"/>
        </w:rPr>
        <w:t>3.甲方逾期付款的，每逾期一日，按逾期付款额万分之</w:t>
      </w:r>
      <w:r>
        <w:rPr>
          <w:rFonts w:hint="eastAsia" w:ascii="宋体" w:hAnsi="宋体" w:cs="宋体"/>
          <w:sz w:val="24"/>
          <w:szCs w:val="24"/>
          <w:u w:val="single"/>
        </w:rPr>
        <w:t xml:space="preserve">   </w:t>
      </w:r>
      <w:r>
        <w:rPr>
          <w:rFonts w:hint="eastAsia" w:ascii="宋体" w:hAnsi="宋体" w:cs="宋体"/>
          <w:sz w:val="24"/>
          <w:szCs w:val="24"/>
        </w:rPr>
        <w:t>向乙方支付违约金，最多不超过逾期未付款金额的</w:t>
      </w:r>
      <w:r>
        <w:rPr>
          <w:rFonts w:hint="eastAsia" w:ascii="宋体" w:hAnsi="宋体" w:cs="宋体"/>
          <w:sz w:val="24"/>
          <w:szCs w:val="24"/>
          <w:u w:val="single"/>
        </w:rPr>
        <w:t xml:space="preserve">    </w:t>
      </w:r>
      <w:r>
        <w:rPr>
          <w:rFonts w:hint="eastAsia" w:cs="仿宋"/>
        </w:rPr>
        <w:t>％</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仿宋"/>
          <w:sz w:val="24"/>
          <w:szCs w:val="24"/>
        </w:rPr>
        <w:t>任何一方发生的其他违约情形，违约方应当按当次货款总额</w:t>
      </w:r>
      <w:r>
        <w:rPr>
          <w:rFonts w:hint="eastAsia" w:ascii="宋体" w:hAnsi="宋体" w:cs="仿宋"/>
          <w:sz w:val="24"/>
          <w:szCs w:val="24"/>
          <w:u w:val="single"/>
        </w:rPr>
        <w:t xml:space="preserve">   </w:t>
      </w:r>
      <w:r>
        <w:rPr>
          <w:rFonts w:hint="eastAsia" w:ascii="宋体" w:hAnsi="宋体" w:cs="仿宋"/>
          <w:sz w:val="24"/>
          <w:szCs w:val="24"/>
        </w:rPr>
        <w:t>％的标准向守约方支付违约金</w:t>
      </w:r>
      <w:r>
        <w:rPr>
          <w:rFonts w:hint="eastAsia" w:ascii="宋体" w:hAnsi="宋体" w:cs="宋体"/>
          <w:sz w:val="24"/>
          <w:szCs w:val="24"/>
        </w:rPr>
        <w:t>。</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第十三条  知识产权条款</w:t>
      </w:r>
    </w:p>
    <w:p>
      <w:pPr>
        <w:pStyle w:val="28"/>
        <w:spacing w:before="0" w:beforeAutospacing="0" w:after="0" w:afterAutospacing="0" w:line="360" w:lineRule="auto"/>
        <w:ind w:firstLine="480" w:firstLineChars="200"/>
        <w:rPr>
          <w:rFonts w:hint="default"/>
        </w:rPr>
      </w:pPr>
      <w:r>
        <w:t>1、乙方保证对本合同所交易的产品具有完整的所有权或者经过合法的授权进行处分，甲方是善意的购买该产品及安装和相应的服务，任何第三方对该产品主张权利，均由乙方按甲方要求妥善处理好相关问题，并承担由此导致的法律责任。</w:t>
      </w:r>
    </w:p>
    <w:p>
      <w:pPr>
        <w:pStyle w:val="28"/>
        <w:spacing w:before="0" w:beforeAutospacing="0" w:after="0" w:afterAutospacing="0" w:line="360" w:lineRule="auto"/>
        <w:ind w:firstLine="480" w:firstLineChars="200"/>
        <w:rPr>
          <w:rFonts w:hint="default"/>
        </w:rPr>
      </w:pPr>
      <w:r>
        <w:t>2、乙方保证其产品具有合法知识产权，未侵犯任何第三人的任何知识产权及其他合法权益；如发生涉及知识产权争议或侵犯第三人的合法权益，乙方负责自行处理（第三人起诉，乙方应积极参加诉讼，并独自承担诉讼的全部不利后果），并承担由此引起的全部法律及经济责任；如给应向甲方造成损失的，包括不限于赔偿金、补偿金、律师费等，则乙方还应赔偿由此给甲方造成的全部损失。</w:t>
      </w:r>
    </w:p>
    <w:p>
      <w:pPr>
        <w:pStyle w:val="28"/>
        <w:spacing w:before="0" w:beforeAutospacing="0" w:after="0" w:afterAutospacing="0" w:line="360" w:lineRule="auto"/>
        <w:ind w:firstLine="482" w:firstLineChars="200"/>
        <w:rPr>
          <w:rFonts w:hint="default" w:cs="仿宋"/>
          <w:b/>
          <w:bCs/>
        </w:rPr>
      </w:pPr>
      <w:r>
        <w:rPr>
          <w:rFonts w:cs="仿宋"/>
          <w:b/>
          <w:bCs/>
        </w:rPr>
        <w:t>第十四条  合同变更、解除及终止</w:t>
      </w:r>
    </w:p>
    <w:p>
      <w:pPr>
        <w:spacing w:line="360" w:lineRule="auto"/>
        <w:ind w:firstLine="480" w:firstLineChars="200"/>
        <w:rPr>
          <w:rFonts w:ascii="宋体" w:hAnsi="宋体" w:cs="宋体"/>
          <w:sz w:val="24"/>
          <w:szCs w:val="24"/>
        </w:rPr>
      </w:pPr>
      <w:r>
        <w:rPr>
          <w:rFonts w:hint="eastAsia" w:ascii="宋体" w:hAnsi="宋体" w:cs="宋体"/>
          <w:sz w:val="24"/>
          <w:szCs w:val="24"/>
        </w:rPr>
        <w:t>1.本合同生效后，甲、乙任何一方不得擅自变更、解除本合同。</w:t>
      </w:r>
    </w:p>
    <w:p>
      <w:pPr>
        <w:spacing w:line="360" w:lineRule="auto"/>
        <w:ind w:firstLine="480" w:firstLineChars="200"/>
        <w:rPr>
          <w:rFonts w:ascii="宋体" w:hAnsi="宋体" w:cs="宋体"/>
          <w:sz w:val="24"/>
          <w:szCs w:val="24"/>
        </w:rPr>
      </w:pPr>
      <w:r>
        <w:rPr>
          <w:rFonts w:hint="eastAsia" w:ascii="宋体" w:hAnsi="宋体" w:cs="宋体"/>
          <w:sz w:val="24"/>
          <w:szCs w:val="24"/>
        </w:rPr>
        <w:t>2.对本合同所作任何更改，除非</w:t>
      </w:r>
      <w:r>
        <w:rPr>
          <w:rFonts w:ascii="宋体" w:hAnsi="宋体" w:cs="宋体"/>
          <w:sz w:val="24"/>
          <w:szCs w:val="24"/>
        </w:rPr>
        <w:t>合同另有约定，</w:t>
      </w:r>
      <w:r>
        <w:rPr>
          <w:rFonts w:hint="eastAsia" w:ascii="宋体" w:hAnsi="宋体" w:cs="宋体"/>
          <w:sz w:val="24"/>
          <w:szCs w:val="24"/>
        </w:rPr>
        <w:t>或合同有未尽事宜，应经双方协商一致后签订补充协议，补充协议与本合同具有同等法律效力。</w:t>
      </w:r>
    </w:p>
    <w:p>
      <w:pPr>
        <w:pStyle w:val="28"/>
        <w:spacing w:before="0" w:beforeAutospacing="0" w:after="0" w:afterAutospacing="0" w:line="360" w:lineRule="auto"/>
        <w:ind w:firstLine="480" w:firstLineChars="200"/>
        <w:rPr>
          <w:rFonts w:hint="default"/>
        </w:rPr>
      </w:pPr>
      <w:r>
        <w:rPr>
          <w:rFonts w:hint="default" w:cs="仿宋"/>
        </w:rPr>
        <w:t>3</w:t>
      </w:r>
      <w:r>
        <w:rPr>
          <w:rFonts w:cs="仿宋"/>
        </w:rPr>
        <w:t>.乙方在合同存续期间，有以下情形之一的，甲方</w:t>
      </w:r>
      <w:r>
        <w:t>有权单方解除合同：</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（1）乙方提供货物不符合本合同约定，且未在甲方要求期限内进行更换直至达到验收合格标准，或者连续两次验收不合格的； </w:t>
      </w:r>
    </w:p>
    <w:p>
      <w:pPr>
        <w:spacing w:line="360" w:lineRule="auto"/>
        <w:ind w:firstLine="480" w:firstLineChars="200"/>
        <w:rPr>
          <w:rFonts w:ascii="宋体" w:hAnsi="宋体" w:cs="宋体"/>
          <w:sz w:val="24"/>
          <w:szCs w:val="24"/>
        </w:rPr>
      </w:pPr>
      <w:r>
        <w:rPr>
          <w:rFonts w:hint="eastAsia" w:ascii="宋体" w:hAnsi="宋体" w:cs="宋体"/>
          <w:sz w:val="24"/>
          <w:szCs w:val="24"/>
        </w:rPr>
        <w:t>（2）未经甲方同意，擅自将本合同项下主要义务转包给第三方完成的。</w:t>
      </w:r>
    </w:p>
    <w:p>
      <w:pPr>
        <w:spacing w:line="360" w:lineRule="auto"/>
        <w:ind w:firstLine="480" w:firstLineChars="200"/>
      </w:pPr>
      <w:r>
        <w:rPr>
          <w:rFonts w:hint="eastAsia" w:ascii="宋体" w:hAnsi="宋体" w:cs="宋体"/>
          <w:sz w:val="24"/>
          <w:szCs w:val="24"/>
        </w:rPr>
        <w:t>3.除非基于本合同约定的不可抗力原因，合同一方未能履行本合同主要义务，包括不限于本条第2款内容，均构成实质性违约。一方发生该行为的，守约方有权向违约方发出催告通知，要求在规定期限内履行合同约定义务。守约方也可选择直接解除本合同，解除通知自到达违约方时生效，违约方对此不持异议。</w:t>
      </w:r>
    </w:p>
    <w:p>
      <w:pPr>
        <w:spacing w:line="360" w:lineRule="auto"/>
        <w:ind w:firstLine="482" w:firstLineChars="200"/>
      </w:pPr>
      <w:r>
        <w:rPr>
          <w:rFonts w:hint="eastAsia" w:ascii="宋体" w:hAnsi="宋体" w:cs="宋体"/>
          <w:b/>
          <w:bCs/>
          <w:sz w:val="24"/>
          <w:szCs w:val="24"/>
        </w:rPr>
        <w:t>第十五条  不可抗力</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1.甲乙双方的任何一方由于不可抗力的原因不能履行合同时，应在24小时内向对方通报不能履行或不能完全履行的理由，经对方确认后，允许延期履行、部分履行或者不履行合同，双方对此互不提出赔偿责任。</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2.本合同所称不可抗力是指不能预见、不能克服、不能避免并对一方当事人造成重大影响的客观事件，包括但不限于自然灾害如洪水、地震、火灾和风暴等以及社会事件如战争、动乱、政府行为等。</w:t>
      </w:r>
    </w:p>
    <w:p>
      <w:pPr>
        <w:pStyle w:val="2"/>
        <w:spacing w:line="360" w:lineRule="auto"/>
      </w:pPr>
    </w:p>
    <w:p>
      <w:pPr>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第十六条  通知送达</w:t>
      </w:r>
    </w:p>
    <w:p>
      <w:pPr>
        <w:spacing w:line="360" w:lineRule="auto"/>
        <w:ind w:firstLine="480" w:firstLineChars="200"/>
        <w:rPr>
          <w:rFonts w:ascii="宋体" w:hAnsi="宋体" w:cs="宋体"/>
          <w:sz w:val="24"/>
          <w:szCs w:val="24"/>
        </w:rPr>
      </w:pPr>
      <w:r>
        <w:rPr>
          <w:rFonts w:hint="eastAsia" w:ascii="宋体" w:hAnsi="宋体" w:cs="宋体"/>
          <w:sz w:val="24"/>
          <w:szCs w:val="24"/>
        </w:rPr>
        <w:t>与本合同履行有关的通知和文件应当以书面方式送达对方，送达方式可为邮寄、专人送达、传真、电子邮件等。专人送达的，应由对方联系人签收。</w:t>
      </w:r>
    </w:p>
    <w:p>
      <w:pPr>
        <w:pStyle w:val="28"/>
        <w:spacing w:before="0" w:beforeAutospacing="0" w:after="0" w:afterAutospacing="0" w:line="360" w:lineRule="auto"/>
        <w:ind w:firstLine="480" w:firstLineChars="200"/>
        <w:rPr>
          <w:rFonts w:hint="default" w:cs="仿宋"/>
          <w:bCs/>
        </w:rPr>
      </w:pPr>
      <w:r>
        <w:rPr>
          <w:rFonts w:cs="仿宋"/>
          <w:bCs/>
        </w:rPr>
        <w:t>甲方确定的联系人为：</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电子信箱： </w:t>
      </w:r>
      <w:r>
        <w:rPr>
          <w:rFonts w:cs="仿宋"/>
          <w:u w:val="single"/>
        </w:rPr>
        <w:t xml:space="preserve">            </w:t>
      </w:r>
      <w:r>
        <w:rPr>
          <w:rFonts w:cs="仿宋"/>
          <w:bCs/>
        </w:rPr>
        <w:t xml:space="preserve">       传真：</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联系地址: </w:t>
      </w:r>
      <w:r>
        <w:rPr>
          <w:rFonts w:cs="仿宋"/>
          <w:u w:val="single"/>
        </w:rPr>
        <w:t xml:space="preserve">            </w:t>
      </w:r>
      <w:r>
        <w:rPr>
          <w:rFonts w:cs="仿宋"/>
          <w:bCs/>
        </w:rPr>
        <w:t xml:space="preserve">        邮编：</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乙方确定的联系人为：</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电子信箱： </w:t>
      </w:r>
      <w:r>
        <w:rPr>
          <w:rFonts w:cs="仿宋"/>
          <w:u w:val="single"/>
        </w:rPr>
        <w:t xml:space="preserve">            </w:t>
      </w:r>
      <w:r>
        <w:rPr>
          <w:rFonts w:cs="仿宋"/>
          <w:bCs/>
        </w:rPr>
        <w:t xml:space="preserve">       传真：</w:t>
      </w:r>
      <w:r>
        <w:rPr>
          <w:rFonts w:cs="仿宋"/>
          <w:u w:val="single"/>
        </w:rPr>
        <w:t xml:space="preserve">            </w:t>
      </w:r>
    </w:p>
    <w:p>
      <w:pPr>
        <w:pStyle w:val="28"/>
        <w:spacing w:before="0" w:beforeAutospacing="0" w:after="0" w:afterAutospacing="0" w:line="360" w:lineRule="auto"/>
        <w:ind w:firstLine="480" w:firstLineChars="200"/>
        <w:rPr>
          <w:rFonts w:hint="default" w:cs="仿宋"/>
          <w:bCs/>
        </w:rPr>
      </w:pPr>
      <w:r>
        <w:rPr>
          <w:rFonts w:cs="仿宋"/>
          <w:bCs/>
        </w:rPr>
        <w:t xml:space="preserve">联系地址: </w:t>
      </w:r>
      <w:r>
        <w:rPr>
          <w:rFonts w:cs="仿宋"/>
          <w:u w:val="single"/>
        </w:rPr>
        <w:t xml:space="preserve">            </w:t>
      </w:r>
      <w:r>
        <w:rPr>
          <w:rFonts w:cs="仿宋"/>
          <w:bCs/>
        </w:rPr>
        <w:t xml:space="preserve">        邮编：</w:t>
      </w:r>
      <w:r>
        <w:rPr>
          <w:rFonts w:cs="仿宋"/>
          <w:u w:val="single"/>
        </w:rPr>
        <w:t xml:space="preserve">            </w:t>
      </w:r>
    </w:p>
    <w:p>
      <w:pPr>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第十七条  合同争议解决</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因本合同发生的争议，由双方协商解决，协商不成的，选择以下第</w:t>
      </w:r>
      <w:r>
        <w:rPr>
          <w:rFonts w:hint="eastAsia" w:ascii="宋体" w:hAnsi="宋体" w:cs="宋体"/>
          <w:sz w:val="24"/>
          <w:szCs w:val="24"/>
          <w:u w:val="single"/>
        </w:rPr>
        <w:t xml:space="preserve">     </w:t>
      </w:r>
      <w:r>
        <w:rPr>
          <w:rFonts w:hint="eastAsia" w:ascii="宋体" w:hAnsi="宋体" w:cs="宋体"/>
          <w:sz w:val="24"/>
          <w:szCs w:val="24"/>
        </w:rPr>
        <w:t>种方式解决：</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1.向</w:t>
      </w:r>
      <w:r>
        <w:rPr>
          <w:rFonts w:hint="eastAsia" w:ascii="宋体" w:hAnsi="宋体" w:cs="宋体"/>
          <w:sz w:val="24"/>
          <w:szCs w:val="24"/>
          <w:u w:val="single"/>
        </w:rPr>
        <w:t xml:space="preserve">            </w:t>
      </w:r>
      <w:r>
        <w:rPr>
          <w:rFonts w:hint="eastAsia" w:ascii="宋体" w:hAnsi="宋体" w:cs="宋体"/>
          <w:sz w:val="24"/>
          <w:szCs w:val="24"/>
        </w:rPr>
        <w:t>仲裁委员会提起仲裁；</w:t>
      </w:r>
    </w:p>
    <w:p>
      <w:pPr>
        <w:adjustRightInd w:val="0"/>
        <w:snapToGrid w:val="0"/>
        <w:spacing w:line="360" w:lineRule="auto"/>
        <w:ind w:firstLine="480" w:firstLineChars="200"/>
        <w:rPr>
          <w:rFonts w:ascii="宋体" w:hAnsi="宋体" w:cs="宋体"/>
          <w:b/>
          <w:bCs/>
          <w:sz w:val="24"/>
          <w:szCs w:val="24"/>
        </w:rPr>
      </w:pPr>
      <w:r>
        <w:rPr>
          <w:rFonts w:hint="eastAsia" w:ascii="宋体" w:hAnsi="宋体" w:cs="宋体"/>
          <w:sz w:val="24"/>
          <w:szCs w:val="24"/>
        </w:rPr>
        <w:t>2.向甲方所在地有管辖权的人民法院提起诉讼。</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如发生争议，甲乙双方之间或与第三人之间进行诉讼或仲裁过程中，除争议事项之外，本合同约定的其他事项仍然有效，各方应当继续履行。</w:t>
      </w:r>
    </w:p>
    <w:p>
      <w:pPr>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第十八条  其他</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1.未经对方书面同意，任何一方不得将本合同约定的权利义务转让给第三人。</w:t>
      </w:r>
    </w:p>
    <w:p>
      <w:pPr>
        <w:pStyle w:val="28"/>
        <w:spacing w:before="0" w:beforeAutospacing="0" w:after="0" w:afterAutospacing="0" w:line="360" w:lineRule="auto"/>
        <w:ind w:firstLine="480" w:firstLineChars="200"/>
        <w:rPr>
          <w:rFonts w:hint="default" w:cs="仿宋"/>
        </w:rPr>
      </w:pPr>
      <w:r>
        <w:rPr>
          <w:rFonts w:cs="仿宋"/>
        </w:rPr>
        <w:t>2.本合同经甲乙双方法定代表人或授权代表签字盖章后生效。本合同一式</w:t>
      </w:r>
      <w:r>
        <w:rPr>
          <w:rFonts w:cs="仿宋"/>
          <w:u w:val="single"/>
        </w:rPr>
        <w:t xml:space="preserve">  </w:t>
      </w:r>
      <w:r>
        <w:rPr>
          <w:rFonts w:cs="仿宋"/>
        </w:rPr>
        <w:t>份，甲方执</w:t>
      </w:r>
      <w:r>
        <w:rPr>
          <w:rFonts w:cs="仿宋"/>
          <w:u w:val="single"/>
        </w:rPr>
        <w:t xml:space="preserve">  </w:t>
      </w:r>
      <w:r>
        <w:rPr>
          <w:rFonts w:cs="仿宋"/>
        </w:rPr>
        <w:t>份，乙方执</w:t>
      </w:r>
      <w:r>
        <w:rPr>
          <w:rFonts w:cs="仿宋"/>
          <w:u w:val="single"/>
        </w:rPr>
        <w:t xml:space="preserve">  </w:t>
      </w:r>
      <w:r>
        <w:rPr>
          <w:rFonts w:cs="仿宋"/>
        </w:rPr>
        <w:t xml:space="preserve">份，均具有同等法律效力。　 </w:t>
      </w:r>
    </w:p>
    <w:p>
      <w:pPr>
        <w:pStyle w:val="28"/>
        <w:spacing w:before="0" w:beforeAutospacing="0" w:after="0" w:afterAutospacing="0" w:line="360" w:lineRule="auto"/>
        <w:ind w:firstLine="480" w:firstLineChars="200"/>
        <w:rPr>
          <w:rFonts w:hint="default" w:cs="仿宋"/>
        </w:rPr>
      </w:pPr>
      <w:r>
        <w:rPr>
          <w:rFonts w:cs="仿宋"/>
        </w:rPr>
        <w:t>3.本合同中的附件均为本合同不可分割的部分，与本合同具有同等的法律效力。</w:t>
      </w:r>
    </w:p>
    <w:p>
      <w:pPr>
        <w:spacing w:line="360" w:lineRule="auto"/>
        <w:ind w:firstLine="480" w:firstLineChars="200"/>
        <w:rPr>
          <w:rFonts w:ascii="宋体" w:hAnsi="宋体" w:cs="宋体"/>
          <w:sz w:val="24"/>
          <w:szCs w:val="24"/>
        </w:rPr>
      </w:pPr>
      <w:r>
        <w:rPr>
          <w:rFonts w:hint="eastAsia" w:ascii="宋体" w:hAnsi="宋体" w:cs="宋体"/>
          <w:sz w:val="24"/>
          <w:szCs w:val="24"/>
        </w:rPr>
        <w:t>4.对本合同所作任何更改，或合同有未尽事宜，应经双方协商一致后签订补充协议，补充协议与本合同具有同等法律效力。</w:t>
      </w:r>
    </w:p>
    <w:p>
      <w:pPr>
        <w:spacing w:line="360" w:lineRule="auto"/>
        <w:ind w:firstLine="480" w:firstLineChars="200"/>
        <w:rPr>
          <w:rFonts w:hAnsi="宋体"/>
          <w:sz w:val="24"/>
          <w:szCs w:val="24"/>
        </w:rPr>
      </w:pPr>
      <w:r>
        <w:rPr>
          <w:rFonts w:hint="eastAsia" w:hAnsi="宋体"/>
          <w:sz w:val="24"/>
          <w:szCs w:val="24"/>
        </w:rPr>
        <w:t>5</w:t>
      </w:r>
      <w:r>
        <w:rPr>
          <w:rFonts w:hAnsi="宋体"/>
          <w:sz w:val="24"/>
          <w:szCs w:val="24"/>
        </w:rPr>
        <w:t>.</w:t>
      </w:r>
      <w:r>
        <w:rPr>
          <w:rFonts w:hint="eastAsia" w:hAnsi="宋体"/>
          <w:sz w:val="24"/>
          <w:szCs w:val="24"/>
        </w:rPr>
        <w:t>合同由以下文件构成，如下述文件之间有任何抵触、矛盾或歧义，应按以下顺序解释：（1）合同履行过程中双方协商达成的变更、补充协议；（2）本合同协议书；（3）中标通知书；（4）招标、投标文件；（5）产品国家、行业或地方质量标准、规范及有关技术文件。对于涉及服务方案、服务响应等合同未约定的内容，按投标文件执行。如合同与投标文件约定不一致的，则按照有利于甲方、合同目的原则执行。</w:t>
      </w:r>
    </w:p>
    <w:p>
      <w:pPr>
        <w:pStyle w:val="2"/>
        <w:spacing w:line="360" w:lineRule="auto"/>
        <w:ind w:firstLine="480"/>
        <w:rPr>
          <w:rFonts w:ascii="宋体"/>
          <w:sz w:val="24"/>
          <w:szCs w:val="24"/>
        </w:rPr>
      </w:pPr>
    </w:p>
    <w:p>
      <w:pPr>
        <w:adjustRightInd w:val="0"/>
        <w:snapToGrid w:val="0"/>
        <w:spacing w:line="360" w:lineRule="auto"/>
        <w:ind w:firstLine="480" w:firstLineChars="200"/>
        <w:rPr>
          <w:rFonts w:ascii="宋体" w:hAnsi="宋体" w:cs="宋体"/>
          <w:sz w:val="24"/>
          <w:szCs w:val="24"/>
        </w:rPr>
      </w:pPr>
    </w:p>
    <w:p>
      <w:pPr>
        <w:adjustRightInd w:val="0"/>
        <w:snapToGrid w:val="0"/>
        <w:spacing w:line="360" w:lineRule="auto"/>
        <w:ind w:firstLine="480" w:firstLineChars="200"/>
        <w:rPr>
          <w:rFonts w:ascii="宋体" w:hAnsi="宋体" w:cs="宋体"/>
          <w:sz w:val="24"/>
          <w:szCs w:val="24"/>
        </w:rPr>
      </w:pPr>
    </w:p>
    <w:p>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甲</w:t>
      </w:r>
      <w:r>
        <w:rPr>
          <w:rFonts w:ascii="宋体" w:hAnsi="宋体"/>
          <w:sz w:val="24"/>
          <w:szCs w:val="24"/>
        </w:rPr>
        <w:t xml:space="preserve">  </w:t>
      </w:r>
      <w:r>
        <w:rPr>
          <w:rFonts w:hint="eastAsia" w:ascii="宋体" w:hAnsi="宋体"/>
          <w:sz w:val="24"/>
          <w:szCs w:val="24"/>
        </w:rPr>
        <w:t>方（盖章）：</w:t>
      </w:r>
      <w:r>
        <w:rPr>
          <w:rFonts w:ascii="宋体" w:hAnsi="宋体"/>
          <w:sz w:val="24"/>
          <w:szCs w:val="24"/>
        </w:rPr>
        <w:t xml:space="preserve"> </w:t>
      </w:r>
      <w:r>
        <w:rPr>
          <w:rFonts w:hint="eastAsia" w:ascii="宋体" w:hAnsi="宋体"/>
          <w:sz w:val="24"/>
          <w:szCs w:val="24"/>
        </w:rPr>
        <w:t xml:space="preserve">                    乙</w:t>
      </w:r>
      <w:r>
        <w:rPr>
          <w:rFonts w:ascii="宋体" w:hAnsi="宋体"/>
          <w:sz w:val="24"/>
          <w:szCs w:val="24"/>
        </w:rPr>
        <w:t xml:space="preserve">  </w:t>
      </w:r>
      <w:r>
        <w:rPr>
          <w:rFonts w:hint="eastAsia" w:ascii="宋体" w:hAnsi="宋体"/>
          <w:sz w:val="24"/>
          <w:szCs w:val="24"/>
        </w:rPr>
        <w:t>方（盖章）：</w:t>
      </w:r>
    </w:p>
    <w:p>
      <w:pPr>
        <w:spacing w:line="360" w:lineRule="auto"/>
        <w:ind w:firstLine="480" w:firstLineChars="200"/>
        <w:jc w:val="left"/>
        <w:rPr>
          <w:rFonts w:ascii="宋体" w:hAnsi="宋体"/>
          <w:sz w:val="24"/>
          <w:szCs w:val="24"/>
        </w:rPr>
      </w:pPr>
      <w:r>
        <w:rPr>
          <w:rFonts w:hint="eastAsia" w:ascii="宋体" w:hAnsi="宋体"/>
          <w:sz w:val="24"/>
          <w:szCs w:val="24"/>
        </w:rPr>
        <w:t xml:space="preserve">住  所：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住  所：</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法定代表人：                        法定代表人：</w:t>
      </w:r>
    </w:p>
    <w:p>
      <w:pPr>
        <w:spacing w:line="360" w:lineRule="auto"/>
        <w:ind w:firstLine="480" w:firstLineChars="200"/>
        <w:jc w:val="left"/>
        <w:rPr>
          <w:rFonts w:ascii="宋体" w:hAnsi="宋体"/>
          <w:sz w:val="24"/>
          <w:szCs w:val="24"/>
        </w:rPr>
      </w:pPr>
      <w:r>
        <w:rPr>
          <w:rFonts w:hint="eastAsia" w:ascii="宋体" w:hAnsi="宋体"/>
          <w:sz w:val="24"/>
          <w:szCs w:val="24"/>
        </w:rPr>
        <w:t>委托代理人：</w:t>
      </w:r>
      <w:r>
        <w:rPr>
          <w:rFonts w:ascii="宋体" w:hAnsi="宋体"/>
          <w:sz w:val="24"/>
          <w:szCs w:val="24"/>
        </w:rPr>
        <w:t xml:space="preserve">    </w:t>
      </w:r>
      <w:r>
        <w:rPr>
          <w:rFonts w:hint="eastAsia" w:ascii="宋体" w:hAnsi="宋体"/>
          <w:sz w:val="24"/>
          <w:szCs w:val="24"/>
        </w:rPr>
        <w:t xml:space="preserve">                    委托代理人：</w:t>
      </w:r>
    </w:p>
    <w:p>
      <w:pPr>
        <w:spacing w:line="360" w:lineRule="auto"/>
        <w:ind w:firstLine="480" w:firstLineChars="200"/>
        <w:rPr>
          <w:rFonts w:ascii="宋体" w:hAnsi="宋体"/>
          <w:sz w:val="24"/>
          <w:szCs w:val="24"/>
        </w:rPr>
      </w:pPr>
      <w:r>
        <w:rPr>
          <w:rFonts w:hint="eastAsia" w:ascii="宋体" w:hAnsi="宋体"/>
          <w:sz w:val="24"/>
          <w:szCs w:val="24"/>
        </w:rPr>
        <w:t>联系电话：                          联系电话：</w:t>
      </w:r>
    </w:p>
    <w:p>
      <w:pPr>
        <w:spacing w:line="360" w:lineRule="auto"/>
        <w:ind w:firstLine="480" w:firstLineChars="200"/>
        <w:rPr>
          <w:rFonts w:ascii="宋体" w:hAnsi="宋体"/>
          <w:sz w:val="24"/>
          <w:szCs w:val="24"/>
        </w:rPr>
      </w:pPr>
      <w:r>
        <w:rPr>
          <w:rFonts w:hint="eastAsia" w:ascii="宋体" w:hAnsi="宋体"/>
          <w:sz w:val="24"/>
          <w:szCs w:val="24"/>
        </w:rPr>
        <w:t>邮编：                              邮编：</w:t>
      </w:r>
    </w:p>
    <w:p>
      <w:pPr>
        <w:spacing w:line="360" w:lineRule="auto"/>
        <w:ind w:firstLine="480" w:firstLineChars="200"/>
        <w:rPr>
          <w:rFonts w:ascii="宋体" w:hAnsi="宋体" w:cs="仿宋"/>
          <w:sz w:val="24"/>
          <w:szCs w:val="24"/>
        </w:rPr>
      </w:pPr>
      <w:r>
        <w:rPr>
          <w:rFonts w:hint="eastAsia" w:ascii="宋体" w:hAnsi="宋体" w:cs="仿宋"/>
          <w:sz w:val="24"/>
          <w:szCs w:val="24"/>
        </w:rPr>
        <w:t>签订时间：   年   月   日          签订时间：   年   月   日</w:t>
      </w:r>
    </w:p>
    <w:p>
      <w:pPr>
        <w:spacing w:line="360" w:lineRule="auto"/>
        <w:ind w:firstLine="480" w:firstLineChars="200"/>
        <w:rPr>
          <w:rFonts w:ascii="宋体" w:hAnsi="宋体"/>
          <w:b/>
          <w:szCs w:val="21"/>
        </w:rPr>
      </w:pPr>
      <w:r>
        <w:rPr>
          <w:rFonts w:hint="eastAsia" w:ascii="宋体" w:hAnsi="宋体" w:cs="宋体"/>
          <w:sz w:val="24"/>
          <w:szCs w:val="24"/>
        </w:rPr>
        <w:br w:type="page"/>
      </w:r>
    </w:p>
    <w:p>
      <w:pPr>
        <w:pStyle w:val="60"/>
        <w:spacing w:line="360" w:lineRule="auto"/>
        <w:jc w:val="both"/>
        <w:rPr>
          <w:rFonts w:ascii="宋体" w:hAnsi="宋体"/>
          <w:b/>
          <w:bCs/>
          <w:color w:val="auto"/>
          <w:sz w:val="32"/>
          <w:szCs w:val="32"/>
        </w:rPr>
      </w:pPr>
      <w:r>
        <w:rPr>
          <w:rFonts w:hint="eastAsia" w:ascii="宋体" w:hAnsi="宋体"/>
          <w:b/>
          <w:bCs/>
          <w:color w:val="auto"/>
          <w:sz w:val="32"/>
          <w:szCs w:val="32"/>
        </w:rPr>
        <w:t>附件</w:t>
      </w:r>
    </w:p>
    <w:p>
      <w:pPr>
        <w:pStyle w:val="60"/>
        <w:spacing w:line="360" w:lineRule="auto"/>
        <w:jc w:val="center"/>
        <w:rPr>
          <w:rFonts w:ascii="方正小标宋简体" w:hAnsi="方正小标宋简体" w:eastAsia="方正小标宋简体" w:cs="方正小标宋简体"/>
          <w:color w:val="auto"/>
          <w:spacing w:val="-8"/>
          <w:sz w:val="36"/>
          <w:szCs w:val="36"/>
        </w:rPr>
      </w:pPr>
      <w:r>
        <w:rPr>
          <w:rFonts w:hint="eastAsia" w:ascii="宋体" w:hAnsi="宋体"/>
          <w:b/>
          <w:bCs/>
          <w:color w:val="auto"/>
          <w:sz w:val="32"/>
          <w:szCs w:val="32"/>
        </w:rPr>
        <w:t>廉政合同</w:t>
      </w:r>
    </w:p>
    <w:p>
      <w:pPr>
        <w:spacing w:line="360" w:lineRule="exact"/>
        <w:ind w:firstLine="420" w:firstLineChars="200"/>
        <w:rPr>
          <w:rFonts w:ascii="宋体" w:hAnsi="宋体" w:cs="宋体"/>
          <w:kern w:val="0"/>
          <w:szCs w:val="21"/>
          <w:u w:val="single"/>
        </w:rPr>
      </w:pPr>
      <w:r>
        <w:rPr>
          <w:rFonts w:hint="eastAsia" w:ascii="宋体" w:hAnsi="宋体" w:cs="宋体"/>
          <w:kern w:val="0"/>
          <w:szCs w:val="21"/>
        </w:rPr>
        <w:t>甲方（烟草）：湖南省烟草公司张家界市公司</w:t>
      </w:r>
    </w:p>
    <w:p>
      <w:pPr>
        <w:spacing w:line="360" w:lineRule="exact"/>
        <w:ind w:firstLine="420" w:firstLineChars="200"/>
        <w:rPr>
          <w:rFonts w:ascii="宋体" w:hAnsi="宋体" w:cs="宋体"/>
          <w:kern w:val="0"/>
          <w:szCs w:val="21"/>
        </w:rPr>
      </w:pPr>
      <w:r>
        <w:rPr>
          <w:rFonts w:hint="eastAsia" w:ascii="宋体" w:hAnsi="宋体" w:cs="宋体"/>
          <w:kern w:val="0"/>
          <w:szCs w:val="21"/>
        </w:rPr>
        <w:t>乙方（相对方）：</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根据廉政建设有关要求，为促进甲乙双方在《</w:t>
      </w:r>
      <w:r>
        <w:rPr>
          <w:rFonts w:hint="eastAsia" w:ascii="宋体" w:hAnsi="宋体" w:eastAsia="宋体" w:cs="宋体"/>
          <w:color w:val="auto"/>
          <w:kern w:val="2"/>
          <w:sz w:val="21"/>
          <w:szCs w:val="21"/>
        </w:rPr>
        <w:t xml:space="preserve">                            </w:t>
      </w:r>
      <w:r>
        <w:rPr>
          <w:rFonts w:hint="eastAsia" w:ascii="宋体" w:hAnsi="宋体" w:eastAsia="宋体" w:cs="宋体"/>
          <w:color w:val="auto"/>
          <w:sz w:val="21"/>
          <w:szCs w:val="21"/>
        </w:rPr>
        <w:t xml:space="preserve">》及相关采购、履行等过程中廉洁高效合作，增强甲乙双方人员的廉洁意识，明确甲乙双方的廉政责任和义务，防止双方发生不廉洁、不正当竞争等违法违纪行为，特约定廉政合同条款，以兹双方共同遵守。                                    </w:t>
      </w:r>
    </w:p>
    <w:p>
      <w:pPr>
        <w:pStyle w:val="60"/>
        <w:spacing w:line="360" w:lineRule="exact"/>
        <w:rPr>
          <w:rFonts w:ascii="宋体" w:hAnsi="宋体" w:eastAsia="宋体" w:cs="宋体"/>
          <w:b/>
          <w:color w:val="auto"/>
          <w:sz w:val="21"/>
          <w:szCs w:val="21"/>
        </w:rPr>
      </w:pPr>
      <w:r>
        <w:rPr>
          <w:rFonts w:hint="eastAsia" w:ascii="宋体" w:hAnsi="宋体" w:eastAsia="宋体" w:cs="宋体"/>
          <w:b/>
          <w:color w:val="auto"/>
          <w:sz w:val="21"/>
          <w:szCs w:val="21"/>
        </w:rPr>
        <w:t>一、合同各方责任</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合同各方都清楚并愿意遵守国家反商业贿赂相关法律法规以及党风廉政建设各项规定，双方都清楚任何形式的贿赂、贪渎等不廉洁、不正当竞争行为都将违反法律法规和廉政建设相关规定，任何一方违反该规定，都自愿接受因此产生的不利后果。</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2.严格执行合同及相关合同文件，自觉按合同办事。</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3.建立健全监督机制，开展廉洁教育，禁止本方工作人员的任何商业索贿、贿赂行为，监督并认真查处违法违纪行为。</w:t>
      </w:r>
    </w:p>
    <w:p>
      <w:pPr>
        <w:pStyle w:val="60"/>
        <w:spacing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4.发现对方在业务活动中有违规、违纪、违法行为的，应及时提醒对方，并向合同相对方纪检监察部门举报。</w:t>
      </w:r>
    </w:p>
    <w:p>
      <w:pPr>
        <w:pStyle w:val="60"/>
        <w:spacing w:line="360" w:lineRule="exact"/>
        <w:rPr>
          <w:rFonts w:ascii="宋体" w:hAnsi="宋体" w:eastAsia="宋体" w:cs="宋体"/>
          <w:b/>
          <w:color w:val="auto"/>
          <w:sz w:val="21"/>
          <w:szCs w:val="21"/>
        </w:rPr>
      </w:pPr>
      <w:r>
        <w:rPr>
          <w:rFonts w:hint="eastAsia" w:ascii="宋体" w:hAnsi="宋体" w:eastAsia="宋体" w:cs="宋体"/>
          <w:b/>
          <w:color w:val="auto"/>
          <w:sz w:val="21"/>
          <w:szCs w:val="21"/>
        </w:rPr>
        <w:t>二、甲方廉政责任</w:t>
      </w:r>
    </w:p>
    <w:p>
      <w:pPr>
        <w:spacing w:line="360" w:lineRule="exact"/>
        <w:ind w:firstLine="420" w:firstLineChars="200"/>
        <w:rPr>
          <w:rFonts w:ascii="宋体" w:hAnsi="宋体" w:cs="宋体"/>
          <w:kern w:val="0"/>
          <w:szCs w:val="21"/>
        </w:rPr>
      </w:pPr>
      <w:r>
        <w:rPr>
          <w:rFonts w:hint="eastAsia" w:ascii="宋体" w:hAnsi="宋体" w:cs="宋体"/>
          <w:kern w:val="0"/>
          <w:szCs w:val="21"/>
        </w:rPr>
        <w:t>（一）甲方及其工作人员，在合同的缔约、签订、履行以及招标等采购过程中，应保持与乙方的正常工作交往，遵守以下规定：</w:t>
      </w:r>
    </w:p>
    <w:p>
      <w:pPr>
        <w:spacing w:line="360" w:lineRule="exact"/>
        <w:ind w:firstLine="420" w:firstLineChars="200"/>
        <w:rPr>
          <w:rFonts w:ascii="宋体" w:hAnsi="宋体" w:cs="宋体"/>
          <w:kern w:val="0"/>
          <w:szCs w:val="21"/>
        </w:rPr>
      </w:pPr>
      <w:r>
        <w:rPr>
          <w:rFonts w:hint="eastAsia" w:ascii="宋体" w:hAnsi="宋体" w:cs="宋体"/>
          <w:kern w:val="0"/>
          <w:szCs w:val="21"/>
        </w:rPr>
        <w:t>1.不得以任何名义索要或接受乙方的钱物，包括不限于礼金、现金、有价证券、信用卡和贵重物品等，不得在乙方报销任何应由甲方单位或个人支付的费用，不得以任何形式向乙方索要和收受非法回扣或变相收受贿赂。</w:t>
      </w:r>
    </w:p>
    <w:p>
      <w:pPr>
        <w:spacing w:line="360" w:lineRule="exact"/>
        <w:ind w:firstLine="420" w:firstLineChars="200"/>
        <w:rPr>
          <w:rFonts w:ascii="宋体" w:hAnsi="宋体" w:cs="宋体"/>
          <w:kern w:val="0"/>
          <w:szCs w:val="21"/>
        </w:rPr>
      </w:pPr>
      <w:r>
        <w:rPr>
          <w:rFonts w:hint="eastAsia" w:ascii="宋体" w:hAnsi="宋体" w:cs="宋体"/>
          <w:kern w:val="0"/>
          <w:szCs w:val="21"/>
        </w:rPr>
        <w:t>2.不得参加可能对公正执行公务有影响的宴请和娱乐活动，不得接受乙方邀请的各种庆典、旅游和娱乐活动。不得要求、暗示或者接受乙方为其提供劳务或方便，包括不限于住房装修、婚丧嫁娶、家属和子女的工作安排以及出国等。不得借用、租用合同约定之外的乙方交通、通讯工具以及其它物品。</w:t>
      </w:r>
    </w:p>
    <w:p>
      <w:pPr>
        <w:spacing w:line="360" w:lineRule="exact"/>
        <w:ind w:firstLine="420" w:firstLineChars="200"/>
        <w:rPr>
          <w:rFonts w:ascii="宋体" w:hAnsi="宋体" w:cs="宋体"/>
          <w:kern w:val="0"/>
          <w:szCs w:val="21"/>
        </w:rPr>
      </w:pPr>
      <w:r>
        <w:rPr>
          <w:rFonts w:hint="eastAsia" w:ascii="宋体" w:hAnsi="宋体" w:cs="宋体"/>
          <w:kern w:val="0"/>
          <w:szCs w:val="21"/>
        </w:rPr>
        <w:t>3.不得向乙方介绍亲属或亲友从事与甲方工作有关的经济活动等。</w:t>
      </w:r>
    </w:p>
    <w:p>
      <w:pPr>
        <w:spacing w:line="360" w:lineRule="exact"/>
        <w:ind w:firstLine="420" w:firstLineChars="200"/>
        <w:rPr>
          <w:rFonts w:ascii="宋体" w:hAnsi="宋体" w:cs="宋体"/>
          <w:szCs w:val="21"/>
        </w:rPr>
      </w:pPr>
      <w:r>
        <w:rPr>
          <w:rFonts w:hint="eastAsia" w:ascii="宋体" w:hAnsi="宋体" w:cs="宋体"/>
          <w:szCs w:val="21"/>
        </w:rPr>
        <w:t>4.不向乙方泄漏涉及有关业务活动的秘密。</w:t>
      </w:r>
    </w:p>
    <w:p>
      <w:pPr>
        <w:spacing w:line="360" w:lineRule="exact"/>
        <w:ind w:firstLine="420" w:firstLineChars="200"/>
        <w:rPr>
          <w:rFonts w:ascii="宋体" w:hAnsi="宋体" w:cs="宋体"/>
          <w:szCs w:val="21"/>
        </w:rPr>
      </w:pPr>
      <w:r>
        <w:rPr>
          <w:rFonts w:hint="eastAsia" w:ascii="宋体" w:hAnsi="宋体" w:cs="宋体"/>
          <w:szCs w:val="21"/>
        </w:rPr>
        <w:t>5.不参与影响相关工作正常和公正开展的其他活动。</w:t>
      </w:r>
    </w:p>
    <w:p>
      <w:pPr>
        <w:spacing w:line="360" w:lineRule="exact"/>
        <w:ind w:firstLine="420" w:firstLineChars="200"/>
        <w:rPr>
          <w:rFonts w:ascii="宋体" w:hAnsi="宋体" w:cs="宋体"/>
          <w:kern w:val="0"/>
          <w:szCs w:val="21"/>
        </w:rPr>
      </w:pPr>
      <w:r>
        <w:rPr>
          <w:rFonts w:hint="eastAsia" w:ascii="宋体" w:hAnsi="宋体" w:cs="宋体"/>
          <w:kern w:val="0"/>
          <w:szCs w:val="21"/>
        </w:rPr>
        <w:t>（二）对乙方给予的价格折扣或优惠，应当在合同或者承诺书、备忘录等合同文件中约定，并如实入账。</w:t>
      </w:r>
    </w:p>
    <w:p>
      <w:pPr>
        <w:spacing w:line="360" w:lineRule="exact"/>
        <w:rPr>
          <w:rFonts w:ascii="宋体" w:hAnsi="宋体" w:cs="宋体"/>
          <w:b/>
          <w:szCs w:val="21"/>
        </w:rPr>
      </w:pPr>
      <w:r>
        <w:rPr>
          <w:rFonts w:hint="eastAsia" w:ascii="宋体" w:hAnsi="宋体" w:cs="宋体"/>
          <w:b/>
          <w:szCs w:val="21"/>
        </w:rPr>
        <w:t>三、乙方廉政责任</w:t>
      </w:r>
    </w:p>
    <w:p>
      <w:pPr>
        <w:spacing w:line="360" w:lineRule="exact"/>
        <w:ind w:firstLine="420" w:firstLineChars="200"/>
        <w:rPr>
          <w:rFonts w:ascii="宋体" w:hAnsi="宋体" w:cs="宋体"/>
          <w:kern w:val="0"/>
          <w:szCs w:val="21"/>
        </w:rPr>
      </w:pPr>
      <w:r>
        <w:rPr>
          <w:rFonts w:hint="eastAsia" w:ascii="宋体" w:hAnsi="宋体" w:cs="宋体"/>
          <w:kern w:val="0"/>
          <w:szCs w:val="21"/>
        </w:rPr>
        <w:t>与甲方合作过程中，按照反商业贿赂、反不正当竞争法律法规、廉政要求履行合同义务，遵守以下规定：</w:t>
      </w:r>
    </w:p>
    <w:p>
      <w:pPr>
        <w:spacing w:line="360" w:lineRule="exact"/>
        <w:ind w:firstLine="420" w:firstLineChars="200"/>
        <w:rPr>
          <w:rFonts w:ascii="宋体" w:hAnsi="宋体" w:cs="宋体"/>
          <w:kern w:val="0"/>
          <w:szCs w:val="21"/>
        </w:rPr>
      </w:pPr>
      <w:r>
        <w:rPr>
          <w:rFonts w:hint="eastAsia" w:ascii="宋体" w:hAnsi="宋体" w:cs="宋体"/>
          <w:kern w:val="0"/>
          <w:szCs w:val="21"/>
        </w:rPr>
        <w:t>1.不得向甲方赠送钱、物，包括不限于礼金、现金、有价证券、信用卡和贵重物品等，也不得报销、支付任何应由甲方或个人支付的费用。</w:t>
      </w:r>
    </w:p>
    <w:p>
      <w:pPr>
        <w:spacing w:line="360" w:lineRule="exact"/>
        <w:ind w:firstLine="420" w:firstLineChars="200"/>
        <w:rPr>
          <w:rFonts w:ascii="宋体" w:hAnsi="宋体" w:cs="宋体"/>
          <w:kern w:val="0"/>
          <w:szCs w:val="21"/>
        </w:rPr>
      </w:pPr>
      <w:r>
        <w:rPr>
          <w:rFonts w:hint="eastAsia" w:ascii="宋体" w:hAnsi="宋体" w:cs="宋体"/>
          <w:kern w:val="0"/>
          <w:szCs w:val="21"/>
        </w:rPr>
        <w:t>2.不得以洽谈业务等名义邀请甲方外出旅游和进入营业性高消费娱乐场所。</w:t>
      </w:r>
    </w:p>
    <w:p>
      <w:pPr>
        <w:spacing w:line="360" w:lineRule="exact"/>
        <w:ind w:firstLine="420" w:firstLineChars="200"/>
        <w:rPr>
          <w:rFonts w:ascii="宋体" w:hAnsi="宋体" w:cs="宋体"/>
          <w:kern w:val="0"/>
          <w:szCs w:val="21"/>
        </w:rPr>
      </w:pPr>
      <w:r>
        <w:rPr>
          <w:rFonts w:hint="eastAsia" w:ascii="宋体" w:hAnsi="宋体" w:cs="宋体"/>
          <w:kern w:val="0"/>
          <w:szCs w:val="21"/>
        </w:rPr>
        <w:t>3.不得为甲方购置、提供合同约定以外的交通、通讯工具、家电，以及高档办公用品。不得为甲方提供劳务或方便，包括住房装修、婚丧嫁娶、家属和子女的工作安排及出国等。</w:t>
      </w:r>
    </w:p>
    <w:p>
      <w:pPr>
        <w:spacing w:line="360" w:lineRule="exact"/>
        <w:ind w:firstLine="420" w:firstLineChars="200"/>
        <w:rPr>
          <w:rFonts w:ascii="宋体" w:hAnsi="宋体" w:cs="宋体"/>
          <w:kern w:val="0"/>
          <w:szCs w:val="21"/>
        </w:rPr>
      </w:pPr>
      <w:r>
        <w:rPr>
          <w:rFonts w:hint="eastAsia" w:ascii="宋体" w:hAnsi="宋体" w:cs="宋体"/>
          <w:kern w:val="0"/>
          <w:szCs w:val="21"/>
        </w:rPr>
        <w:t>4.不得为谋取私利擅自与甲方及中介机构就有关合同项目事项进行私下商谈或者达成默契。</w:t>
      </w:r>
    </w:p>
    <w:p>
      <w:pPr>
        <w:widowControl/>
        <w:spacing w:line="360" w:lineRule="exact"/>
        <w:ind w:firstLine="420" w:firstLineChars="200"/>
        <w:jc w:val="left"/>
        <w:rPr>
          <w:rFonts w:ascii="宋体" w:hAnsi="宋体" w:cs="宋体"/>
          <w:kern w:val="0"/>
          <w:szCs w:val="21"/>
        </w:rPr>
      </w:pPr>
      <w:r>
        <w:rPr>
          <w:rFonts w:hint="eastAsia" w:ascii="宋体" w:hAnsi="宋体" w:cs="宋体"/>
          <w:kern w:val="0"/>
          <w:szCs w:val="21"/>
        </w:rPr>
        <w:t>5.乙方向以下三类单位、人员实施本条上述1-4项行为的，承诺属于本合同约定的违约事项，应按本合同第四条约定承担违约责任。</w:t>
      </w:r>
    </w:p>
    <w:p>
      <w:pPr>
        <w:widowControl/>
        <w:spacing w:line="360" w:lineRule="exact"/>
        <w:ind w:firstLine="420" w:firstLineChars="200"/>
        <w:jc w:val="left"/>
        <w:rPr>
          <w:rFonts w:ascii="宋体" w:hAnsi="宋体" w:cs="宋体"/>
          <w:kern w:val="0"/>
          <w:szCs w:val="21"/>
        </w:rPr>
      </w:pPr>
      <w:r>
        <w:rPr>
          <w:rFonts w:hint="eastAsia" w:ascii="宋体" w:hAnsi="宋体" w:cs="宋体"/>
          <w:szCs w:val="21"/>
        </w:rPr>
        <w:t xml:space="preserve">（1）甲方工作人员； </w:t>
      </w:r>
    </w:p>
    <w:p>
      <w:pPr>
        <w:widowControl/>
        <w:spacing w:line="360" w:lineRule="exact"/>
        <w:ind w:firstLine="420" w:firstLineChars="200"/>
        <w:jc w:val="left"/>
        <w:rPr>
          <w:rFonts w:ascii="宋体" w:hAnsi="宋体" w:cs="宋体"/>
          <w:szCs w:val="21"/>
        </w:rPr>
      </w:pPr>
      <w:r>
        <w:rPr>
          <w:rFonts w:hint="eastAsia" w:ascii="宋体" w:hAnsi="宋体" w:cs="宋体"/>
          <w:szCs w:val="21"/>
        </w:rPr>
        <w:t>（2）受甲方委托办理合同相关事务的单位或者个人，包括不限于招标代理机构、造价师事务所、审计师事务所等；</w:t>
      </w:r>
    </w:p>
    <w:p>
      <w:pPr>
        <w:widowControl/>
        <w:spacing w:line="360" w:lineRule="exact"/>
        <w:ind w:firstLine="420" w:firstLineChars="200"/>
        <w:jc w:val="left"/>
        <w:rPr>
          <w:rFonts w:ascii="宋体" w:hAnsi="宋体" w:cs="宋体"/>
          <w:szCs w:val="21"/>
        </w:rPr>
      </w:pPr>
      <w:r>
        <w:rPr>
          <w:rFonts w:hint="eastAsia" w:ascii="宋体" w:hAnsi="宋体" w:cs="宋体"/>
          <w:szCs w:val="21"/>
        </w:rPr>
        <w:t>（3）利用职权或者影响力影响交易的单位或者个人，包括不限于双方出资方、相关政府职能部门等。</w:t>
      </w:r>
    </w:p>
    <w:p>
      <w:pPr>
        <w:spacing w:line="360" w:lineRule="exact"/>
        <w:rPr>
          <w:rFonts w:ascii="宋体" w:hAnsi="宋体" w:cs="宋体"/>
          <w:b/>
          <w:szCs w:val="21"/>
        </w:rPr>
      </w:pPr>
      <w:r>
        <w:rPr>
          <w:rFonts w:hint="eastAsia" w:ascii="宋体" w:hAnsi="宋体" w:cs="宋体"/>
          <w:b/>
          <w:szCs w:val="21"/>
        </w:rPr>
        <w:t>四、违约责任</w:t>
      </w:r>
    </w:p>
    <w:p>
      <w:pPr>
        <w:spacing w:line="360" w:lineRule="exact"/>
        <w:ind w:firstLine="420" w:firstLineChars="200"/>
        <w:rPr>
          <w:rFonts w:ascii="宋体" w:hAnsi="宋体" w:cs="宋体"/>
          <w:szCs w:val="21"/>
        </w:rPr>
      </w:pPr>
      <w:r>
        <w:rPr>
          <w:rFonts w:hint="eastAsia" w:ascii="宋体" w:hAnsi="宋体" w:cs="宋体"/>
          <w:szCs w:val="21"/>
        </w:rPr>
        <w:t>（一）甲方违反本合同约定廉政义务的，乙方有权向甲方纪检监察部门投诉，甲方按照单位有关规定核实处理。</w:t>
      </w:r>
    </w:p>
    <w:p>
      <w:pPr>
        <w:spacing w:line="360" w:lineRule="exact"/>
        <w:ind w:firstLine="420" w:firstLineChars="200"/>
        <w:rPr>
          <w:rFonts w:ascii="宋体" w:hAnsi="宋体" w:cs="宋体"/>
          <w:szCs w:val="21"/>
        </w:rPr>
      </w:pPr>
      <w:r>
        <w:rPr>
          <w:rFonts w:hint="eastAsia" w:ascii="宋体" w:hAnsi="宋体" w:cs="宋体"/>
          <w:szCs w:val="21"/>
        </w:rPr>
        <w:t>甲方受理部门：监察科；</w:t>
      </w:r>
    </w:p>
    <w:p>
      <w:pPr>
        <w:spacing w:line="360" w:lineRule="exact"/>
        <w:ind w:firstLine="420" w:firstLineChars="200"/>
        <w:rPr>
          <w:rFonts w:ascii="宋体" w:hAnsi="宋体" w:cs="宋体"/>
          <w:szCs w:val="21"/>
        </w:rPr>
      </w:pPr>
      <w:r>
        <w:rPr>
          <w:rFonts w:hint="eastAsia" w:ascii="宋体" w:hAnsi="宋体" w:cs="宋体"/>
          <w:szCs w:val="21"/>
        </w:rPr>
        <w:t>举报电话：0744-8863145；举报邮箱：jgywzjj@hnyc.com</w:t>
      </w:r>
    </w:p>
    <w:p>
      <w:pPr>
        <w:spacing w:line="360" w:lineRule="exact"/>
        <w:ind w:firstLine="420" w:firstLineChars="200"/>
        <w:rPr>
          <w:rFonts w:ascii="宋体" w:hAnsi="宋体" w:cs="宋体"/>
          <w:szCs w:val="21"/>
        </w:rPr>
      </w:pPr>
      <w:r>
        <w:rPr>
          <w:rFonts w:hint="eastAsia" w:ascii="宋体" w:hAnsi="宋体" w:cs="宋体"/>
          <w:szCs w:val="21"/>
        </w:rPr>
        <w:t>地址：湖南省张家界市烟草专卖局（公司）纪检监察科905室</w:t>
      </w:r>
    </w:p>
    <w:p>
      <w:pPr>
        <w:pStyle w:val="60"/>
        <w:spacing w:line="360" w:lineRule="exact"/>
        <w:ind w:firstLine="620"/>
        <w:rPr>
          <w:rFonts w:ascii="宋体" w:hAnsi="宋体" w:eastAsia="宋体" w:cs="宋体"/>
          <w:color w:val="auto"/>
          <w:kern w:val="2"/>
          <w:sz w:val="21"/>
          <w:szCs w:val="21"/>
        </w:rPr>
      </w:pPr>
      <w:r>
        <w:rPr>
          <w:rFonts w:hint="eastAsia" w:ascii="宋体" w:hAnsi="宋体" w:eastAsia="宋体" w:cs="宋体"/>
          <w:color w:val="auto"/>
          <w:kern w:val="2"/>
          <w:sz w:val="21"/>
          <w:szCs w:val="21"/>
        </w:rPr>
        <w:t xml:space="preserve">（二）乙方违反上述义务，应当承担以下违约责任： </w:t>
      </w:r>
    </w:p>
    <w:p>
      <w:pPr>
        <w:pStyle w:val="60"/>
        <w:spacing w:line="360" w:lineRule="exact"/>
        <w:ind w:firstLine="620"/>
        <w:rPr>
          <w:rFonts w:ascii="宋体" w:hAnsi="宋体" w:eastAsia="宋体" w:cs="宋体"/>
          <w:color w:val="auto"/>
          <w:sz w:val="21"/>
          <w:szCs w:val="21"/>
        </w:rPr>
      </w:pPr>
      <w:r>
        <w:rPr>
          <w:rFonts w:hint="eastAsia" w:ascii="宋体" w:hAnsi="宋体" w:eastAsia="宋体" w:cs="宋体"/>
          <w:color w:val="auto"/>
          <w:sz w:val="21"/>
          <w:szCs w:val="21"/>
        </w:rPr>
        <w:t xml:space="preserve">1.甲方有权向乙方索赔，乙方提交各类履约保证，包括不限于履约保证金等，甲方有权不予退还；乙方未提交履约保证，不论甲方是否解除主合同，乙方应当按主合同总金额15%的标准向甲方支付违约金，上述违约金不足以弥补甲方损失的，还应赔偿损失。      </w:t>
      </w:r>
    </w:p>
    <w:p>
      <w:pPr>
        <w:pStyle w:val="60"/>
        <w:spacing w:line="360" w:lineRule="exact"/>
        <w:ind w:firstLine="620"/>
        <w:rPr>
          <w:rFonts w:ascii="宋体" w:hAnsi="宋体" w:eastAsia="宋体" w:cs="宋体"/>
          <w:color w:val="auto"/>
          <w:sz w:val="21"/>
          <w:szCs w:val="21"/>
        </w:rPr>
      </w:pPr>
      <w:r>
        <w:rPr>
          <w:rFonts w:hint="eastAsia" w:ascii="宋体" w:hAnsi="宋体" w:eastAsia="宋体" w:cs="宋体"/>
          <w:color w:val="auto"/>
          <w:sz w:val="21"/>
          <w:szCs w:val="21"/>
        </w:rPr>
        <w:t xml:space="preserve">2.甲方有权在书面通知乙方后单方解除主合同，且有权不予支付余下剩余合同价款。     </w:t>
      </w:r>
    </w:p>
    <w:p>
      <w:pPr>
        <w:pStyle w:val="60"/>
        <w:spacing w:line="360" w:lineRule="exact"/>
        <w:ind w:firstLine="620"/>
        <w:rPr>
          <w:rFonts w:ascii="宋体" w:hAnsi="宋体" w:eastAsia="宋体" w:cs="宋体"/>
          <w:color w:val="auto"/>
          <w:sz w:val="21"/>
          <w:szCs w:val="21"/>
        </w:rPr>
      </w:pPr>
      <w:r>
        <w:rPr>
          <w:rFonts w:hint="eastAsia" w:ascii="宋体" w:hAnsi="宋体" w:eastAsia="宋体" w:cs="宋体"/>
          <w:color w:val="auto"/>
          <w:sz w:val="21"/>
          <w:szCs w:val="21"/>
        </w:rPr>
        <w:t>3.乙方承诺，接受甲方行业不良供应商、“黑名单”制度规定，在甲方行业制度规定期限内不参加甲方组织的任何采购活动。乙方参加的，甲方有权拒绝。甲方行业制度未规定的，有权根据具体情形拒绝乙方在1年至5年内参加甲方组织的采购活动。</w:t>
      </w:r>
    </w:p>
    <w:p>
      <w:pPr>
        <w:pStyle w:val="60"/>
        <w:spacing w:line="360" w:lineRule="exact"/>
        <w:ind w:firstLine="620"/>
        <w:jc w:val="both"/>
        <w:rPr>
          <w:rFonts w:ascii="宋体" w:hAnsi="宋体" w:eastAsia="宋体" w:cs="宋体"/>
          <w:color w:val="auto"/>
          <w:sz w:val="21"/>
          <w:szCs w:val="21"/>
        </w:rPr>
      </w:pPr>
      <w:r>
        <w:rPr>
          <w:rFonts w:hint="eastAsia" w:ascii="宋体" w:hAnsi="宋体" w:eastAsia="宋体" w:cs="宋体"/>
          <w:b/>
          <w:color w:val="auto"/>
          <w:sz w:val="21"/>
          <w:szCs w:val="21"/>
        </w:rPr>
        <w:t>（三）</w:t>
      </w:r>
      <w:r>
        <w:rPr>
          <w:rFonts w:hint="eastAsia" w:ascii="宋体" w:hAnsi="宋体" w:eastAsia="宋体" w:cs="宋体"/>
          <w:color w:val="auto"/>
          <w:sz w:val="21"/>
          <w:szCs w:val="21"/>
        </w:rPr>
        <w:t>甲、乙双方工作人员违反本合同约定，视为该公司或单位的行为。</w:t>
      </w:r>
    </w:p>
    <w:p>
      <w:pPr>
        <w:pStyle w:val="60"/>
        <w:spacing w:line="360" w:lineRule="exact"/>
        <w:rPr>
          <w:rFonts w:ascii="宋体" w:hAnsi="宋体" w:eastAsia="宋体" w:cs="宋体"/>
          <w:b/>
          <w:color w:val="auto"/>
          <w:sz w:val="21"/>
          <w:szCs w:val="21"/>
        </w:rPr>
      </w:pPr>
      <w:r>
        <w:rPr>
          <w:rFonts w:hint="eastAsia" w:ascii="宋体" w:hAnsi="宋体" w:eastAsia="宋体" w:cs="宋体"/>
          <w:b/>
          <w:color w:val="auto"/>
          <w:sz w:val="21"/>
          <w:szCs w:val="21"/>
        </w:rPr>
        <w:t>五、合同期限</w:t>
      </w:r>
    </w:p>
    <w:p>
      <w:pPr>
        <w:spacing w:line="360" w:lineRule="exact"/>
        <w:ind w:firstLine="420" w:firstLineChars="200"/>
        <w:rPr>
          <w:rFonts w:ascii="宋体" w:hAnsi="宋体" w:cs="宋体"/>
          <w:szCs w:val="21"/>
        </w:rPr>
      </w:pPr>
      <w:r>
        <w:rPr>
          <w:rFonts w:hint="eastAsia" w:ascii="宋体" w:hAnsi="宋体" w:cs="宋体"/>
          <w:szCs w:val="21"/>
        </w:rPr>
        <w:t>本合同效力追溯至自甲方就主合同项目发布招标公告或采购邀请时开始，至合同全部权利义务终止有效。</w:t>
      </w:r>
    </w:p>
    <w:p>
      <w:pPr>
        <w:spacing w:line="360" w:lineRule="exact"/>
        <w:rPr>
          <w:rFonts w:ascii="宋体" w:hAnsi="宋体" w:cs="宋体"/>
          <w:szCs w:val="21"/>
        </w:rPr>
      </w:pPr>
      <w:r>
        <w:rPr>
          <w:rFonts w:hint="eastAsia" w:ascii="宋体" w:hAnsi="宋体" w:cs="宋体"/>
          <w:b/>
          <w:szCs w:val="21"/>
        </w:rPr>
        <w:t>六、合同生效</w:t>
      </w:r>
    </w:p>
    <w:p>
      <w:pPr>
        <w:spacing w:line="360" w:lineRule="exact"/>
        <w:ind w:firstLine="420" w:firstLineChars="200"/>
        <w:rPr>
          <w:rFonts w:ascii="宋体" w:hAnsi="宋体" w:cs="宋体"/>
          <w:szCs w:val="21"/>
        </w:rPr>
      </w:pPr>
      <w:r>
        <w:rPr>
          <w:rFonts w:hint="eastAsia" w:ascii="宋体" w:hAnsi="宋体" w:cs="宋体"/>
          <w:szCs w:val="21"/>
        </w:rPr>
        <w:t>1.廉政合同条款作为合同附件，经合同双方签字盖章后发生法律效力。</w:t>
      </w:r>
    </w:p>
    <w:p>
      <w:pPr>
        <w:spacing w:line="360" w:lineRule="exact"/>
        <w:ind w:firstLine="420" w:firstLineChars="200"/>
        <w:rPr>
          <w:rFonts w:ascii="宋体" w:hAnsi="宋体" w:cs="宋体"/>
          <w:szCs w:val="21"/>
        </w:rPr>
      </w:pPr>
      <w:r>
        <w:rPr>
          <w:rFonts w:hint="eastAsia" w:ascii="宋体" w:hAnsi="宋体" w:cs="宋体"/>
          <w:szCs w:val="21"/>
        </w:rPr>
        <w:t>2.甲乙双方确认在签订本廉政合同前已仔细阅读条款内容，甲乙双方对本廉政合同所产生的法律责任已清楚知悉并承诺遵守。</w:t>
      </w:r>
    </w:p>
    <w:p>
      <w:pPr>
        <w:spacing w:line="360" w:lineRule="exact"/>
        <w:ind w:firstLine="420" w:firstLineChars="200"/>
        <w:rPr>
          <w:rFonts w:ascii="宋体" w:hAnsi="宋体" w:cs="宋体"/>
          <w:szCs w:val="21"/>
        </w:rPr>
        <w:sectPr>
          <w:pgSz w:w="11906" w:h="16838"/>
          <w:pgMar w:top="1418" w:right="1274" w:bottom="1418" w:left="1797" w:header="851" w:footer="557" w:gutter="0"/>
          <w:cols w:space="720" w:num="1"/>
          <w:docGrid w:linePitch="312" w:charSpace="0"/>
        </w:sectPr>
      </w:pPr>
      <w:r>
        <w:rPr>
          <w:rFonts w:hint="eastAsia" w:ascii="宋体" w:hAnsi="宋体" w:cs="宋体"/>
          <w:szCs w:val="21"/>
        </w:rPr>
        <w:t>3. 廉政合同条款约定与合同正文约定不一致的，优先适用廉政合同条款</w:t>
      </w:r>
    </w:p>
    <w:bookmarkEnd w:id="17"/>
    <w:p>
      <w:pPr>
        <w:spacing w:after="156" w:afterLines="50" w:line="360" w:lineRule="auto"/>
        <w:jc w:val="center"/>
        <w:rPr>
          <w:rFonts w:ascii="宋体" w:hAnsi="宋体" w:cs="宋体"/>
          <w:b/>
          <w:bCs/>
          <w:sz w:val="32"/>
        </w:rPr>
      </w:pPr>
      <w:bookmarkStart w:id="20" w:name="_Toc11538_WPSOffice_Level1"/>
      <w:r>
        <w:rPr>
          <w:rFonts w:hint="eastAsia" w:ascii="宋体" w:hAnsi="宋体" w:cs="宋体"/>
          <w:b/>
          <w:bCs/>
          <w:sz w:val="32"/>
        </w:rPr>
        <w:t xml:space="preserve">第五章 </w:t>
      </w:r>
      <w:bookmarkEnd w:id="20"/>
      <w:r>
        <w:rPr>
          <w:rFonts w:hint="eastAsia" w:ascii="宋体" w:hAnsi="宋体" w:cs="宋体"/>
          <w:b/>
          <w:bCs/>
          <w:sz w:val="32"/>
        </w:rPr>
        <w:t>招标采购内容及要求</w:t>
      </w:r>
    </w:p>
    <w:p>
      <w:pPr>
        <w:spacing w:line="360" w:lineRule="auto"/>
        <w:ind w:firstLine="210" w:firstLineChars="100"/>
        <w:rPr>
          <w:rFonts w:ascii="宋体" w:hAnsi="宋体" w:cs="宋体"/>
          <w:szCs w:val="22"/>
        </w:rPr>
      </w:pPr>
      <w:bookmarkStart w:id="21" w:name="_Toc10767_WPSOffice_Level1"/>
      <w:r>
        <w:rPr>
          <w:rFonts w:hint="eastAsia" w:ascii="宋体" w:hAnsi="宋体" w:cs="宋体"/>
          <w:szCs w:val="22"/>
        </w:rPr>
        <w:t>1.项目名称：</w:t>
      </w:r>
      <w:r>
        <w:rPr>
          <w:rFonts w:hint="eastAsia" w:ascii="宋体" w:hAnsi="宋体" w:cs="宋体"/>
          <w:szCs w:val="22"/>
          <w:lang w:eastAsia="zh-CN"/>
        </w:rPr>
        <w:t>张家界市烟草专卖局（公司）关于2023年雪茄烟晾晒房及配套设施采购项目（第二次）</w:t>
      </w:r>
      <w:r>
        <w:rPr>
          <w:rFonts w:hint="eastAsia" w:ascii="宋体" w:hAnsi="宋体" w:cs="宋体"/>
          <w:szCs w:val="22"/>
        </w:rPr>
        <w:t>。</w:t>
      </w:r>
    </w:p>
    <w:p>
      <w:pPr>
        <w:spacing w:line="360" w:lineRule="auto"/>
        <w:ind w:firstLine="210" w:firstLineChars="100"/>
        <w:rPr>
          <w:rFonts w:ascii="宋体" w:hAnsi="宋体"/>
          <w:szCs w:val="21"/>
        </w:rPr>
      </w:pPr>
      <w:r>
        <w:rPr>
          <w:rFonts w:hint="eastAsia" w:ascii="宋体" w:hAnsi="宋体"/>
          <w:szCs w:val="21"/>
        </w:rPr>
        <w:t>2.项目概况：</w:t>
      </w:r>
      <w:r>
        <w:rPr>
          <w:rFonts w:hint="eastAsia" w:ascii="宋体" w:hAnsi="宋体" w:cs="宋体"/>
          <w:szCs w:val="22"/>
          <w:lang w:eastAsia="zh-CN"/>
        </w:rPr>
        <w:t>张家界市烟草专卖局（公司）关于2023年雪茄烟晾晒房及配套设施采购项目（第二次）</w:t>
      </w:r>
      <w:r>
        <w:rPr>
          <w:rFonts w:hint="eastAsia" w:ascii="宋体" w:hAnsi="宋体"/>
          <w:szCs w:val="21"/>
        </w:rPr>
        <w:t>，共采购桑植 26座雪茄烟晾房 ，13个编烟棚（两座雪茄烟晾房及一个编烟棚为一套，桑植县共13套）；慈利10座晾房，5个编烟棚（两座雪茄烟晾房及一个编烟棚为一套，慈利县共5套）。服务内容：涉及采购内容的设备供应、运输、安装，以及售后质保等。</w:t>
      </w:r>
    </w:p>
    <w:p>
      <w:pPr>
        <w:spacing w:line="360" w:lineRule="auto"/>
        <w:ind w:firstLine="420" w:firstLineChars="200"/>
        <w:rPr>
          <w:rFonts w:ascii="宋体" w:hAnsi="宋体" w:cs="宋体"/>
          <w:b/>
        </w:rPr>
      </w:pPr>
      <w:r>
        <w:rPr>
          <w:rFonts w:hint="eastAsia" w:ascii="宋体" w:hAnsi="宋体" w:cs="宋体"/>
          <w:b/>
        </w:rPr>
        <w:t>一、商务要求</w:t>
      </w:r>
    </w:p>
    <w:p>
      <w:pPr>
        <w:spacing w:line="360" w:lineRule="auto"/>
        <w:ind w:firstLine="420" w:firstLineChars="200"/>
        <w:rPr>
          <w:rFonts w:ascii="宋体" w:hAnsi="宋体" w:cs="宋体"/>
        </w:rPr>
      </w:pPr>
      <w:r>
        <w:rPr>
          <w:rFonts w:hint="eastAsia" w:ascii="宋体" w:hAnsi="宋体" w:cs="宋体"/>
        </w:rPr>
        <w:t>1、安装调试完成时间：签定合同后</w:t>
      </w:r>
      <w:r>
        <w:rPr>
          <w:rFonts w:hint="eastAsia" w:ascii="宋体" w:hAnsi="宋体" w:cs="宋体"/>
          <w:lang w:val="en-US" w:eastAsia="zh-CN"/>
        </w:rPr>
        <w:t>50</w:t>
      </w:r>
      <w:r>
        <w:rPr>
          <w:rFonts w:hint="eastAsia" w:ascii="宋体" w:hAnsi="宋体" w:cs="宋体"/>
        </w:rPr>
        <w:t>个日历</w:t>
      </w:r>
      <w:r>
        <w:rPr>
          <w:rFonts w:hint="eastAsia" w:ascii="宋体" w:hAnsi="宋体" w:cs="宋体"/>
          <w:lang w:eastAsia="zh-CN"/>
        </w:rPr>
        <w:t>日</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2、服务内容：涉</w:t>
      </w:r>
      <w:r>
        <w:rPr>
          <w:rFonts w:ascii="宋体" w:hAnsi="宋体" w:cs="宋体"/>
        </w:rPr>
        <w:t>及</w:t>
      </w:r>
      <w:r>
        <w:rPr>
          <w:rFonts w:hint="eastAsia" w:ascii="宋体" w:hAnsi="宋体" w:cs="宋体"/>
        </w:rPr>
        <w:t>采购内容的设备</w:t>
      </w:r>
      <w:r>
        <w:rPr>
          <w:rFonts w:ascii="宋体" w:hAnsi="宋体" w:cs="宋体"/>
        </w:rPr>
        <w:t>供应、运输</w:t>
      </w:r>
      <w:r>
        <w:rPr>
          <w:rFonts w:hint="eastAsia" w:ascii="宋体" w:hAnsi="宋体" w:cs="宋体"/>
        </w:rPr>
        <w:t>、安装及售后质保等。</w:t>
      </w:r>
    </w:p>
    <w:p>
      <w:pPr>
        <w:spacing w:line="360" w:lineRule="auto"/>
        <w:ind w:firstLine="420" w:firstLineChars="200"/>
        <w:rPr>
          <w:rFonts w:ascii="宋体" w:hAnsi="宋体" w:cs="宋体"/>
        </w:rPr>
      </w:pPr>
      <w:r>
        <w:rPr>
          <w:rFonts w:hint="eastAsia" w:ascii="宋体" w:hAnsi="宋体" w:cs="宋体"/>
        </w:rPr>
        <w:t>3、质保期：不</w:t>
      </w:r>
      <w:r>
        <w:rPr>
          <w:rFonts w:ascii="宋体" w:hAnsi="宋体" w:cs="宋体"/>
        </w:rPr>
        <w:t>低于</w:t>
      </w:r>
      <w:r>
        <w:rPr>
          <w:rFonts w:hint="eastAsia" w:ascii="宋体" w:hAnsi="宋体" w:cs="宋体"/>
        </w:rPr>
        <w:t>2年。</w:t>
      </w:r>
    </w:p>
    <w:p>
      <w:pPr>
        <w:spacing w:line="360" w:lineRule="auto"/>
        <w:ind w:firstLine="420" w:firstLineChars="200"/>
        <w:rPr>
          <w:rFonts w:ascii="宋体" w:hAnsi="宋体" w:cs="宋体"/>
        </w:rPr>
      </w:pPr>
      <w:r>
        <w:rPr>
          <w:rFonts w:hint="eastAsia" w:ascii="宋体" w:hAnsi="宋体" w:cs="宋体"/>
        </w:rPr>
        <w:t>4、赔付：在质保期内因投标人原因造成的雪茄烟叶晾制损失，由投标人100%赔偿。</w:t>
      </w:r>
    </w:p>
    <w:p>
      <w:pPr>
        <w:spacing w:line="360" w:lineRule="auto"/>
        <w:ind w:firstLine="420" w:firstLineChars="200"/>
        <w:rPr>
          <w:rFonts w:ascii="宋体" w:hAnsi="宋体" w:cs="宋体"/>
        </w:rPr>
      </w:pPr>
      <w:r>
        <w:rPr>
          <w:rFonts w:hint="eastAsia" w:ascii="宋体" w:hAnsi="宋体" w:cs="宋体"/>
        </w:rPr>
        <w:t>5、合同签订：中标人与招标人湖南省烟草公司张家界市公司签订合同。</w:t>
      </w:r>
    </w:p>
    <w:p>
      <w:pPr>
        <w:spacing w:line="360" w:lineRule="auto"/>
        <w:ind w:firstLine="420" w:firstLineChars="200"/>
        <w:rPr>
          <w:rFonts w:ascii="宋体" w:hAnsi="宋体" w:cs="宋体"/>
        </w:rPr>
      </w:pPr>
      <w:r>
        <w:rPr>
          <w:rFonts w:hint="eastAsia" w:ascii="宋体" w:hAnsi="宋体" w:cs="宋体"/>
        </w:rPr>
        <w:t>6、供货地点：见下表</w:t>
      </w:r>
    </w:p>
    <w:p>
      <w:pPr>
        <w:rPr>
          <w:rFonts w:ascii="宋体" w:hAnsi="宋体"/>
        </w:rPr>
      </w:pPr>
    </w:p>
    <w:tbl>
      <w:tblPr>
        <w:tblStyle w:val="32"/>
        <w:tblW w:w="7791" w:type="dxa"/>
        <w:jc w:val="center"/>
        <w:tblLayout w:type="fixed"/>
        <w:tblCellMar>
          <w:top w:w="0" w:type="dxa"/>
          <w:left w:w="108" w:type="dxa"/>
          <w:bottom w:w="0" w:type="dxa"/>
          <w:right w:w="108" w:type="dxa"/>
        </w:tblCellMar>
      </w:tblPr>
      <w:tblGrid>
        <w:gridCol w:w="992"/>
        <w:gridCol w:w="3174"/>
        <w:gridCol w:w="1905"/>
        <w:gridCol w:w="1720"/>
      </w:tblGrid>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序号</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建设地点</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建设数量（套）</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1</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桑植县澧源镇</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13</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2</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慈利县甘堰乡</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3</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3</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慈利县二坊坪镇</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2</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4</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r>
        <w:tblPrEx>
          <w:tblCellMar>
            <w:top w:w="0" w:type="dxa"/>
            <w:left w:w="108" w:type="dxa"/>
            <w:bottom w:w="0" w:type="dxa"/>
            <w:right w:w="108" w:type="dxa"/>
          </w:tblCellMar>
        </w:tblPrEx>
        <w:trPr>
          <w:trHeight w:val="402" w:hRule="atLeast"/>
          <w:jc w:val="center"/>
        </w:trPr>
        <w:tc>
          <w:tcPr>
            <w:tcW w:w="9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rPr>
              <w:t>小计</w:t>
            </w:r>
          </w:p>
        </w:tc>
        <w:tc>
          <w:tcPr>
            <w:tcW w:w="317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p>
        </w:tc>
        <w:tc>
          <w:tcPr>
            <w:tcW w:w="19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 w:val="22"/>
                <w:szCs w:val="22"/>
              </w:rPr>
            </w:pPr>
            <w:r>
              <w:rPr>
                <w:rFonts w:hint="eastAsia" w:ascii="宋体" w:hAnsi="宋体" w:cs="宋体"/>
                <w:sz w:val="22"/>
                <w:szCs w:val="22"/>
              </w:rPr>
              <w:t>18</w:t>
            </w:r>
          </w:p>
        </w:tc>
        <w:tc>
          <w:tcPr>
            <w:tcW w:w="172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sz w:val="22"/>
                <w:szCs w:val="22"/>
              </w:rPr>
            </w:pPr>
          </w:p>
        </w:tc>
      </w:tr>
    </w:tbl>
    <w:p>
      <w:pPr>
        <w:snapToGrid w:val="0"/>
        <w:spacing w:line="360" w:lineRule="auto"/>
        <w:jc w:val="center"/>
        <w:textAlignment w:val="baseline"/>
        <w:rPr>
          <w:rFonts w:ascii="宋体" w:hAnsi="宋体"/>
          <w:sz w:val="28"/>
          <w:szCs w:val="28"/>
        </w:rPr>
      </w:pPr>
    </w:p>
    <w:p>
      <w:pPr>
        <w:snapToGrid w:val="0"/>
        <w:spacing w:line="360" w:lineRule="auto"/>
        <w:jc w:val="center"/>
        <w:textAlignment w:val="baseline"/>
        <w:rPr>
          <w:rFonts w:ascii="宋体" w:hAnsi="宋体" w:cs="宋体"/>
          <w:szCs w:val="21"/>
        </w:rPr>
      </w:pPr>
      <w:r>
        <w:rPr>
          <w:rFonts w:hint="eastAsia" w:ascii="宋体" w:hAnsi="宋体" w:cs="宋体"/>
          <w:szCs w:val="21"/>
        </w:rPr>
        <w:t>雪茄烟叶智能晾制设施单元及其附属设施建设技术规范</w:t>
      </w:r>
    </w:p>
    <w:p>
      <w:pPr>
        <w:spacing w:line="360" w:lineRule="auto"/>
        <w:ind w:firstLine="420" w:firstLineChars="200"/>
        <w:textAlignment w:val="baseline"/>
        <w:rPr>
          <w:rFonts w:ascii="宋体" w:hAnsi="宋体" w:cs="宋体"/>
          <w:szCs w:val="21"/>
        </w:rPr>
      </w:pPr>
      <w:r>
        <w:rPr>
          <w:rFonts w:hint="eastAsia" w:ascii="宋体" w:hAnsi="宋体" w:cs="宋体"/>
          <w:szCs w:val="21"/>
        </w:rPr>
        <w:t>雪茄烟叶晾制设施单元包括晾制设施单元主体、挂烟架和烟杆周转单元框提升装置、温湿度调控系统、编烟设备等部分。</w:t>
      </w:r>
    </w:p>
    <w:p>
      <w:pPr>
        <w:spacing w:line="360" w:lineRule="auto"/>
        <w:ind w:firstLine="420" w:firstLineChars="200"/>
        <w:rPr>
          <w:rFonts w:ascii="宋体" w:hAnsi="宋体" w:cs="宋体"/>
          <w:b/>
          <w:szCs w:val="21"/>
        </w:rPr>
      </w:pPr>
      <w:r>
        <w:rPr>
          <w:rFonts w:hint="eastAsia" w:ascii="宋体" w:hAnsi="宋体" w:cs="宋体"/>
          <w:b/>
          <w:szCs w:val="21"/>
        </w:rPr>
        <w:t>一、晾制设施单元主要性能指标要求</w:t>
      </w:r>
    </w:p>
    <w:p>
      <w:pPr>
        <w:spacing w:line="360" w:lineRule="auto"/>
        <w:ind w:firstLine="420" w:firstLineChars="200"/>
        <w:textAlignment w:val="baseline"/>
        <w:rPr>
          <w:rFonts w:ascii="宋体" w:hAnsi="宋体" w:cs="宋体"/>
          <w:szCs w:val="21"/>
        </w:rPr>
      </w:pPr>
      <w:r>
        <w:rPr>
          <w:rFonts w:hint="eastAsia" w:ascii="宋体" w:hAnsi="宋体" w:cs="宋体"/>
          <w:szCs w:val="21"/>
        </w:rPr>
        <w:t>（一）晾制设施单元应保温遮光，具有自然换气通风、强制换气通风、调温调湿循环通风等晾制模式，不同晾制模式应能根据晾制设施单元室内外气象环境变化自动转换。晾制期间晾制设施单元温度有效控制在25℃-45℃，相对湿度控制在40%-90%，满足雪茄烟叶晾制工艺性能要求。</w:t>
      </w:r>
    </w:p>
    <w:p>
      <w:pPr>
        <w:spacing w:line="360" w:lineRule="auto"/>
        <w:ind w:firstLine="420" w:firstLineChars="200"/>
        <w:textAlignment w:val="baseline"/>
        <w:rPr>
          <w:rFonts w:ascii="宋体" w:hAnsi="宋体" w:cs="宋体"/>
          <w:szCs w:val="21"/>
        </w:rPr>
      </w:pPr>
      <w:r>
        <w:rPr>
          <w:rFonts w:hint="eastAsia" w:ascii="宋体" w:hAnsi="宋体" w:cs="宋体"/>
          <w:szCs w:val="21"/>
        </w:rPr>
        <w:t>（二）晾制设施单元采用七层挂烟设计，以减少建设土地占用，可利用晾制设施单元场地进行编烟等，以减少附属设施建设投入，提高晾制设施单元利用率。</w:t>
      </w:r>
    </w:p>
    <w:p>
      <w:pPr>
        <w:spacing w:line="360" w:lineRule="auto"/>
        <w:ind w:firstLine="420" w:firstLineChars="200"/>
        <w:textAlignment w:val="baseline"/>
        <w:rPr>
          <w:rFonts w:ascii="宋体" w:hAnsi="宋体" w:cs="宋体"/>
          <w:szCs w:val="21"/>
        </w:rPr>
      </w:pPr>
      <w:r>
        <w:rPr>
          <w:rFonts w:hint="eastAsia" w:ascii="宋体" w:hAnsi="宋体" w:cs="宋体"/>
          <w:szCs w:val="21"/>
        </w:rPr>
        <w:t>（三）晾制设施单元应配备编烟、机械化装烟上杆等设施，提高机械化作业程度，缩短烟叶进场上杆时间，实现减工、降本、提质目的。</w:t>
      </w:r>
    </w:p>
    <w:p>
      <w:pPr>
        <w:spacing w:line="360" w:lineRule="auto"/>
        <w:ind w:firstLine="420" w:firstLineChars="200"/>
        <w:textAlignment w:val="baseline"/>
        <w:rPr>
          <w:rFonts w:ascii="宋体" w:hAnsi="宋体" w:cs="宋体"/>
          <w:szCs w:val="21"/>
        </w:rPr>
      </w:pPr>
      <w:r>
        <w:rPr>
          <w:rFonts w:hint="eastAsia" w:ascii="宋体" w:hAnsi="宋体" w:cs="宋体"/>
          <w:szCs w:val="21"/>
        </w:rPr>
        <w:t>（四）晾制设施单元应根据湖南省烟草行业规范要求和钢材规格，对晾制设施单元结构进行模块化、单元化、经济性设计，做到晾制设施单元部件标准化供应，结构模块化组装，实现晾制设施单元可拆卸、可移动、可重复循环使用，提升晾制设施单元利用水平。</w:t>
      </w:r>
    </w:p>
    <w:p>
      <w:pPr>
        <w:spacing w:line="360" w:lineRule="auto"/>
        <w:ind w:firstLine="420" w:firstLineChars="200"/>
        <w:textAlignment w:val="baseline"/>
        <w:rPr>
          <w:rFonts w:ascii="宋体" w:hAnsi="宋体" w:cs="宋体"/>
          <w:szCs w:val="21"/>
        </w:rPr>
      </w:pPr>
      <w:r>
        <w:rPr>
          <w:rFonts w:hint="eastAsia" w:ascii="宋体" w:hAnsi="宋体" w:cs="宋体"/>
          <w:szCs w:val="21"/>
        </w:rPr>
        <w:t>（五）晾制设施单元保温设施主体结构设计使用年限为10年，设备抗震设防类别为丙类，抗震设防烈度为6度。主体设施设计风压为0.4KN/m</w:t>
      </w:r>
      <w:r>
        <w:rPr>
          <w:rFonts w:hint="eastAsia" w:ascii="宋体" w:hAnsi="宋体" w:cs="宋体"/>
          <w:szCs w:val="21"/>
          <w:vertAlign w:val="superscript"/>
        </w:rPr>
        <w:t>2</w:t>
      </w:r>
      <w:r>
        <w:rPr>
          <w:rFonts w:hint="eastAsia" w:ascii="宋体" w:hAnsi="宋体" w:cs="宋体"/>
          <w:szCs w:val="21"/>
        </w:rPr>
        <w:t>,整体钢架、檩条、墙梁及围护结构能承担15吨以上设计选型。</w:t>
      </w:r>
    </w:p>
    <w:p>
      <w:pPr>
        <w:spacing w:line="360" w:lineRule="auto"/>
        <w:ind w:firstLine="420" w:firstLineChars="200"/>
        <w:rPr>
          <w:rFonts w:ascii="宋体" w:hAnsi="宋体" w:cs="宋体"/>
          <w:b/>
          <w:szCs w:val="21"/>
        </w:rPr>
      </w:pPr>
      <w:r>
        <w:rPr>
          <w:rFonts w:hint="eastAsia" w:ascii="宋体" w:hAnsi="宋体" w:cs="宋体"/>
          <w:b/>
          <w:szCs w:val="21"/>
        </w:rPr>
        <w:t>二、晾制设施单元设计</w:t>
      </w:r>
    </w:p>
    <w:p>
      <w:pPr>
        <w:spacing w:line="360" w:lineRule="auto"/>
        <w:ind w:firstLine="420" w:firstLineChars="200"/>
        <w:rPr>
          <w:rFonts w:ascii="宋体" w:hAnsi="宋体" w:cs="宋体"/>
          <w:b/>
          <w:szCs w:val="21"/>
        </w:rPr>
      </w:pPr>
      <w:r>
        <w:rPr>
          <w:rFonts w:hint="eastAsia" w:ascii="宋体" w:hAnsi="宋体" w:cs="宋体"/>
          <w:b/>
          <w:szCs w:val="21"/>
        </w:rPr>
        <w:t>（一）晾制设施单元主体</w:t>
      </w:r>
    </w:p>
    <w:p>
      <w:pPr>
        <w:spacing w:line="360" w:lineRule="auto"/>
        <w:ind w:firstLine="420" w:firstLineChars="200"/>
        <w:jc w:val="left"/>
        <w:textAlignment w:val="baseline"/>
        <w:rPr>
          <w:rFonts w:ascii="宋体" w:hAnsi="宋体" w:cs="宋体"/>
          <w:szCs w:val="21"/>
        </w:rPr>
      </w:pPr>
      <w:r>
        <w:rPr>
          <w:rFonts w:hint="eastAsia" w:ascii="宋体" w:hAnsi="宋体" w:cs="宋体"/>
          <w:szCs w:val="21"/>
        </w:rPr>
        <w:t>1.规格与容量。规格为宽度方向柱内净距7.8米，长度方向柱内净距30米，高度方向净距7米（含晾房顶高1050mm），晾制能力为晾制能力茄衣为10亩/座，茄芯为15亩/座，尽量做到每5亩进行分区软隔断。</w:t>
      </w:r>
    </w:p>
    <w:p>
      <w:pPr>
        <w:spacing w:line="360" w:lineRule="auto"/>
        <w:ind w:firstLine="420" w:firstLineChars="200"/>
        <w:textAlignment w:val="baseline"/>
        <w:rPr>
          <w:rFonts w:ascii="宋体" w:hAnsi="宋体" w:cs="宋体"/>
          <w:szCs w:val="21"/>
        </w:rPr>
      </w:pPr>
      <w:r>
        <w:rPr>
          <w:rFonts w:hint="eastAsia" w:ascii="宋体" w:hAnsi="宋体" w:cs="宋体"/>
          <w:szCs w:val="21"/>
        </w:rPr>
        <w:t>2.晾制设施单元保温门。开启方式采用对开式，正面前后大门规格为2700mm×3050mm，</w:t>
      </w:r>
      <w:bookmarkStart w:id="22" w:name="_Hlk83713766"/>
      <w:bookmarkStart w:id="23" w:name="_Hlk81989168"/>
      <w:r>
        <w:rPr>
          <w:rFonts w:hint="eastAsia" w:ascii="宋体" w:hAnsi="宋体" w:cs="宋体"/>
          <w:szCs w:val="21"/>
        </w:rPr>
        <w:t>具体结构</w:t>
      </w:r>
      <w:bookmarkEnd w:id="22"/>
      <w:r>
        <w:rPr>
          <w:rFonts w:hint="eastAsia" w:ascii="宋体" w:hAnsi="宋体" w:cs="宋体"/>
          <w:szCs w:val="21"/>
        </w:rPr>
        <w:t>如图1-1～图1-7所示。</w:t>
      </w:r>
      <w:bookmarkEnd w:id="23"/>
    </w:p>
    <w:p>
      <w:pPr>
        <w:spacing w:line="360" w:lineRule="auto"/>
        <w:ind w:firstLine="420" w:firstLineChars="200"/>
        <w:textAlignment w:val="baseline"/>
        <w:rPr>
          <w:rFonts w:ascii="宋体" w:hAnsi="宋体" w:cs="宋体"/>
          <w:szCs w:val="21"/>
        </w:rPr>
      </w:pPr>
      <w:r>
        <w:rPr>
          <w:rFonts w:hint="eastAsia" w:ascii="宋体" w:hAnsi="宋体" w:cs="宋体"/>
          <w:szCs w:val="21"/>
        </w:rPr>
        <w:t>3.排湿窗。四周排湿窗规格为1200mm×1200mm，开启方式采用自动翻转式，四周排湿排湿风机100W；排湿窗位于晾制设施单元的长度方向两侧外墙面，下沿距地高度为1500mm，采用电动控制方式启闭，可以按照控制指令，开启指定的角度，最大开启总面积不少于24平方米左右，具体结构如图1-6～1-8所示。</w:t>
      </w:r>
    </w:p>
    <w:p>
      <w:pPr>
        <w:spacing w:line="360" w:lineRule="auto"/>
        <w:ind w:firstLine="420" w:firstLineChars="200"/>
        <w:textAlignment w:val="baseline"/>
        <w:rPr>
          <w:rFonts w:ascii="宋体" w:hAnsi="宋体" w:cs="宋体"/>
          <w:b/>
          <w:bCs/>
          <w:szCs w:val="21"/>
        </w:rPr>
      </w:pPr>
      <w:r>
        <w:rPr>
          <w:rFonts w:hint="eastAsia" w:ascii="宋体" w:hAnsi="宋体" w:cs="宋体"/>
          <w:b/>
          <w:bCs/>
          <w:szCs w:val="21"/>
        </w:rPr>
        <w:t>（二）晾烟架及主体材质</w:t>
      </w:r>
    </w:p>
    <w:p>
      <w:pPr>
        <w:spacing w:line="360" w:lineRule="auto"/>
        <w:ind w:firstLine="420" w:firstLineChars="200"/>
        <w:textAlignment w:val="baseline"/>
        <w:rPr>
          <w:rFonts w:ascii="宋体" w:hAnsi="宋体" w:cs="宋体"/>
          <w:szCs w:val="21"/>
        </w:rPr>
      </w:pPr>
      <w:r>
        <w:rPr>
          <w:rFonts w:hint="eastAsia" w:ascii="宋体" w:hAnsi="宋体" w:cs="宋体"/>
          <w:szCs w:val="21"/>
        </w:rPr>
        <w:t>晾烟架</w:t>
      </w:r>
    </w:p>
    <w:p>
      <w:pPr>
        <w:ind w:firstLine="420" w:firstLineChars="200"/>
        <w:rPr>
          <w:rFonts w:ascii="宋体" w:hAnsi="宋体" w:cs="宋体"/>
          <w:szCs w:val="21"/>
        </w:rPr>
      </w:pPr>
      <w:r>
        <w:rPr>
          <w:rFonts w:hint="eastAsia" w:ascii="宋体" w:hAnsi="宋体" w:cs="宋体"/>
          <w:szCs w:val="21"/>
        </w:rPr>
        <w:t>晾烟架净高5700mm，共7台，底台距地面1500mm，2台至7台之间的台距均为700mm，装杆长1500mm。具体结构如附图所示。</w:t>
      </w:r>
    </w:p>
    <w:p>
      <w:pPr>
        <w:spacing w:line="360" w:lineRule="auto"/>
        <w:ind w:firstLine="420" w:firstLineChars="200"/>
        <w:rPr>
          <w:rFonts w:ascii="宋体" w:hAnsi="宋体" w:cs="宋体"/>
          <w:b/>
          <w:szCs w:val="21"/>
        </w:rPr>
      </w:pPr>
      <w:r>
        <w:rPr>
          <w:rFonts w:hint="eastAsia" w:ascii="宋体" w:hAnsi="宋体" w:cs="宋体"/>
          <w:b/>
          <w:szCs w:val="21"/>
        </w:rPr>
        <w:t>（三）温湿度调控系统</w:t>
      </w:r>
    </w:p>
    <w:p>
      <w:pPr>
        <w:spacing w:line="360" w:lineRule="auto"/>
        <w:ind w:firstLine="420" w:firstLineChars="200"/>
        <w:textAlignment w:val="baseline"/>
        <w:rPr>
          <w:rFonts w:ascii="宋体" w:hAnsi="宋体" w:cs="宋体"/>
          <w:szCs w:val="21"/>
        </w:rPr>
      </w:pPr>
      <w:r>
        <w:rPr>
          <w:rFonts w:hint="eastAsia" w:ascii="宋体" w:hAnsi="宋体" w:cs="宋体"/>
          <w:szCs w:val="21"/>
        </w:rPr>
        <w:t>晾制设施单元的温湿度调控系统由自然通风装置、强制通风装置、调温调湿装置和智能控制装置等组成，可实现自然换气通风、强制换气通风、调温调湿循环通风等晾制模式。</w:t>
      </w:r>
    </w:p>
    <w:p>
      <w:pPr>
        <w:spacing w:line="360" w:lineRule="auto"/>
        <w:ind w:firstLine="420" w:firstLineChars="200"/>
        <w:textAlignment w:val="baseline"/>
        <w:rPr>
          <w:rFonts w:ascii="宋体" w:hAnsi="宋体" w:cs="宋体"/>
          <w:szCs w:val="21"/>
        </w:rPr>
      </w:pPr>
      <w:r>
        <w:rPr>
          <w:rFonts w:hint="eastAsia" w:ascii="宋体" w:hAnsi="宋体" w:cs="宋体"/>
          <w:szCs w:val="21"/>
        </w:rPr>
        <w:t>1.自然换气通风模式</w:t>
      </w:r>
    </w:p>
    <w:p>
      <w:pPr>
        <w:spacing w:line="360" w:lineRule="auto"/>
        <w:ind w:firstLine="420" w:firstLineChars="200"/>
        <w:textAlignment w:val="baseline"/>
        <w:rPr>
          <w:rFonts w:ascii="宋体" w:hAnsi="宋体" w:cs="宋体"/>
          <w:szCs w:val="21"/>
        </w:rPr>
      </w:pPr>
      <w:r>
        <w:rPr>
          <w:rFonts w:hint="eastAsia" w:ascii="宋体" w:hAnsi="宋体" w:cs="宋体"/>
          <w:szCs w:val="21"/>
        </w:rPr>
        <w:t>自然换气通风模式由排湿窗组成。当系统检测到室外气象环境适宜时，自动开启排湿窗，晾制设施单元内空气自然流通，维持室内温度在25-45℃，相对湿度在40%-90%之间。</w:t>
      </w:r>
    </w:p>
    <w:p>
      <w:pPr>
        <w:tabs>
          <w:tab w:val="left" w:pos="312"/>
        </w:tabs>
        <w:spacing w:line="360" w:lineRule="auto"/>
        <w:ind w:firstLine="420" w:firstLineChars="200"/>
        <w:textAlignment w:val="baseline"/>
        <w:rPr>
          <w:rFonts w:ascii="宋体" w:hAnsi="宋体" w:cs="宋体"/>
          <w:szCs w:val="21"/>
        </w:rPr>
      </w:pPr>
      <w:r>
        <w:rPr>
          <w:rFonts w:hint="eastAsia" w:ascii="宋体" w:hAnsi="宋体" w:cs="宋体"/>
          <w:szCs w:val="21"/>
        </w:rPr>
        <w:t>2.强制换气通风模式</w:t>
      </w:r>
    </w:p>
    <w:p>
      <w:pPr>
        <w:spacing w:line="360" w:lineRule="auto"/>
        <w:ind w:firstLine="420" w:firstLineChars="200"/>
        <w:textAlignment w:val="baseline"/>
        <w:rPr>
          <w:rFonts w:ascii="宋体" w:hAnsi="宋体" w:cs="宋体"/>
          <w:szCs w:val="21"/>
        </w:rPr>
      </w:pPr>
      <w:r>
        <w:rPr>
          <w:rFonts w:hint="eastAsia" w:ascii="宋体" w:hAnsi="宋体" w:cs="宋体"/>
          <w:szCs w:val="21"/>
        </w:rPr>
        <w:t>强制换气通风模式由排湿窗、强制通风机组成。当自然换气通风模式不能满足室内温湿度调控要求时，自动关闭排湿窗，开启强制通风机，并根据室内温湿度变化自动调节通风机开启模式（数量和启闭时间）。通风机沿排湿窗均匀设置，在全开状态下，强制换气通风模式的换气次数应不少于16次/h。</w:t>
      </w:r>
    </w:p>
    <w:p>
      <w:pPr>
        <w:tabs>
          <w:tab w:val="left" w:pos="312"/>
        </w:tabs>
        <w:spacing w:line="360" w:lineRule="auto"/>
        <w:ind w:firstLine="420" w:firstLineChars="200"/>
        <w:textAlignment w:val="baseline"/>
        <w:rPr>
          <w:rFonts w:ascii="宋体" w:hAnsi="宋体" w:cs="宋体"/>
          <w:szCs w:val="21"/>
        </w:rPr>
      </w:pPr>
      <w:r>
        <w:rPr>
          <w:rFonts w:hint="eastAsia" w:ascii="宋体" w:hAnsi="宋体" w:cs="宋体"/>
          <w:szCs w:val="21"/>
        </w:rPr>
        <w:t>3.调温调湿循环通风模式</w:t>
      </w:r>
    </w:p>
    <w:p>
      <w:pPr>
        <w:spacing w:line="360" w:lineRule="auto"/>
        <w:ind w:firstLine="420" w:firstLineChars="200"/>
        <w:textAlignment w:val="baseline"/>
        <w:rPr>
          <w:rFonts w:ascii="宋体" w:hAnsi="宋体" w:cs="宋体"/>
          <w:szCs w:val="21"/>
        </w:rPr>
      </w:pPr>
      <w:r>
        <w:rPr>
          <w:rFonts w:hint="eastAsia" w:ascii="宋体" w:hAnsi="宋体" w:cs="宋体"/>
          <w:szCs w:val="21"/>
        </w:rPr>
        <w:t>调温调湿循环通风模式由调温调湿装置组成。当室外气象参数不能满足进风要求，且强制换气通风模式已经无法满足室内温湿度调控要求时，自动关闭排湿窗和通风机，开启调温调湿装置，调节室内温湿度在控制范围内。调温调湿装置为晾制专用装置，设置在晾房离地450mm。调温调湿装置应能够根据室内温湿度控制要求自动调节流量，加热能力不小于40kW，加湿能力不小于30kg/h。</w:t>
      </w:r>
    </w:p>
    <w:p>
      <w:pPr>
        <w:tabs>
          <w:tab w:val="left" w:pos="312"/>
        </w:tabs>
        <w:spacing w:line="360" w:lineRule="auto"/>
        <w:ind w:firstLine="420" w:firstLineChars="200"/>
        <w:textAlignment w:val="baseline"/>
        <w:rPr>
          <w:rFonts w:ascii="宋体" w:hAnsi="宋体" w:cs="宋体"/>
          <w:szCs w:val="21"/>
        </w:rPr>
      </w:pPr>
      <w:r>
        <w:rPr>
          <w:rFonts w:hint="eastAsia" w:ascii="宋体" w:hAnsi="宋体" w:cs="宋体"/>
          <w:szCs w:val="21"/>
        </w:rPr>
        <w:t>4.智能控制装置</w:t>
      </w:r>
    </w:p>
    <w:p>
      <w:pPr>
        <w:spacing w:line="360" w:lineRule="auto"/>
        <w:ind w:firstLine="420" w:firstLineChars="200"/>
        <w:textAlignment w:val="baseline"/>
        <w:rPr>
          <w:rFonts w:ascii="宋体" w:hAnsi="宋体" w:cs="宋体"/>
          <w:szCs w:val="21"/>
        </w:rPr>
      </w:pPr>
      <w:r>
        <w:rPr>
          <w:rFonts w:hint="eastAsia" w:ascii="宋体" w:hAnsi="宋体" w:cs="宋体"/>
          <w:szCs w:val="21"/>
        </w:rPr>
        <w:t>智能控制装置由温度传感器、湿度传感器、智能控制器和执行器等组成，能够根据布置在室内的传感器数据基于物联网数据采集，通过数据分析，自动切换控制通风晾制模式，对晾制设施单元内的温湿度进行智能调控。智能控制装置的温、湿度传感器应设置在能体现室外、室内、进风口、出风口等典型空气参数的位置，智能控制器能自动采集传感器数据并进行智能计算分析输出控制指令；执行器与被控设备相匹配，接收控制指令并操控被控设备，包括排湿窗启闭，通风机启、停，调温调湿装置启、停、调节等。</w:t>
      </w:r>
    </w:p>
    <w:p>
      <w:pPr>
        <w:spacing w:line="360" w:lineRule="auto"/>
        <w:ind w:firstLine="420" w:firstLineChars="200"/>
        <w:rPr>
          <w:rFonts w:ascii="宋体" w:hAnsi="宋体" w:cs="宋体"/>
          <w:b/>
          <w:szCs w:val="21"/>
        </w:rPr>
      </w:pPr>
      <w:r>
        <w:rPr>
          <w:rFonts w:hint="eastAsia" w:ascii="宋体" w:hAnsi="宋体" w:cs="宋体"/>
          <w:b/>
          <w:szCs w:val="21"/>
        </w:rPr>
        <w:t>三、晾制设施单元建设</w:t>
      </w:r>
    </w:p>
    <w:p>
      <w:pPr>
        <w:spacing w:line="360" w:lineRule="auto"/>
        <w:ind w:firstLine="420" w:firstLineChars="200"/>
        <w:rPr>
          <w:rFonts w:ascii="宋体" w:hAnsi="宋体" w:cs="宋体"/>
          <w:b/>
          <w:szCs w:val="21"/>
        </w:rPr>
      </w:pPr>
      <w:r>
        <w:rPr>
          <w:rFonts w:hint="eastAsia" w:ascii="宋体" w:hAnsi="宋体" w:cs="宋体"/>
          <w:b/>
          <w:szCs w:val="21"/>
        </w:rPr>
        <w:t>（一）建造材质</w:t>
      </w:r>
    </w:p>
    <w:p>
      <w:pPr>
        <w:spacing w:line="360" w:lineRule="auto"/>
        <w:ind w:firstLine="420" w:firstLineChars="200"/>
        <w:textAlignment w:val="baseline"/>
        <w:rPr>
          <w:rFonts w:ascii="宋体" w:hAnsi="宋体" w:cs="宋体"/>
          <w:szCs w:val="21"/>
        </w:rPr>
      </w:pPr>
      <w:r>
        <w:rPr>
          <w:rFonts w:hint="eastAsia" w:ascii="宋体" w:hAnsi="宋体" w:cs="宋体"/>
          <w:szCs w:val="21"/>
        </w:rPr>
        <w:t>1.建造材质。晾房墙体采用50mm彩钢聚氨酯夹芯板材（彩钢厚度≥0.3mm，BPS芯衬容重不小于38kg/m</w:t>
      </w:r>
      <w:r>
        <w:rPr>
          <w:rFonts w:hint="eastAsia" w:ascii="宋体" w:hAnsi="宋体" w:cs="宋体"/>
          <w:szCs w:val="21"/>
          <w:vertAlign w:val="superscript"/>
        </w:rPr>
        <w:t>3</w:t>
      </w:r>
      <w:r>
        <w:rPr>
          <w:rFonts w:hint="eastAsia" w:ascii="宋体" w:hAnsi="宋体" w:cs="宋体"/>
          <w:szCs w:val="21"/>
        </w:rPr>
        <w:t>），屋面采用50mm彩钢聚氨酯夹芯板材（彩钢厚度≥0.3mm，BPS芯衬容重不小于38kg/m</w:t>
      </w:r>
      <w:r>
        <w:rPr>
          <w:rFonts w:hint="eastAsia" w:ascii="宋体" w:hAnsi="宋体" w:cs="宋体"/>
          <w:szCs w:val="21"/>
          <w:vertAlign w:val="superscript"/>
        </w:rPr>
        <w:t>3</w:t>
      </w:r>
      <w:r>
        <w:rPr>
          <w:rFonts w:hint="eastAsia" w:ascii="宋体" w:hAnsi="宋体" w:cs="宋体"/>
          <w:szCs w:val="21"/>
        </w:rPr>
        <w:t>）；阻燃等级B2级。墙体立柱120mm×120mm（壁厚≥4mm）；晾房顶横梁80 mm×80mm热镀锌方管（壁厚≥2mm）、加固斜撑40 mm×60mm热镀锌方管（壁厚≥2mm）、檩条40 mm×80mmC型钢（壁厚≥2mm）；晾烟架采用60mm×60mm热镀锌方管（壁厚≥2mm）和40mm×60mm热镀锌方管（壁厚≥2mm）搭建；门芯（窗芯）材质与墙体一致，门框材质为60 mm×60mm热镀锌方管（壁厚≥2mm），用密封胶条进行密封处理；四周排湿窗框材质为30mm×50mmU型条（壁厚≥1mm），翻板材质为1mm镀锌板；室内地坪为本土夯实，高出室外地坪200mm；晾房屋顶采用轻钢骨架连接成为一个整体，彩钢泡沫夹芯板安置拉筋的上端；在保障晾房功能和安全牢固的前提下，可选用其他更环保耐用材质建造晾房。满足晾房主体使用年限不低于10年。；</w:t>
      </w:r>
    </w:p>
    <w:p>
      <w:pPr>
        <w:spacing w:line="360" w:lineRule="auto"/>
        <w:ind w:firstLine="420" w:firstLineChars="200"/>
        <w:textAlignment w:val="baseline"/>
        <w:rPr>
          <w:rFonts w:ascii="宋体" w:hAnsi="宋体" w:cs="宋体"/>
          <w:szCs w:val="21"/>
        </w:rPr>
      </w:pPr>
      <w:r>
        <w:rPr>
          <w:rFonts w:hint="eastAsia" w:ascii="宋体" w:hAnsi="宋体" w:cs="宋体"/>
          <w:szCs w:val="21"/>
        </w:rPr>
        <w:t>2.门芯、窗芯的材质与墙体一致，门框（窗框）和门芯（窗芯）框材质为热轧镀锌钢材，用密封胶条进行密封处理；</w:t>
      </w:r>
    </w:p>
    <w:p>
      <w:pPr>
        <w:spacing w:line="360" w:lineRule="auto"/>
        <w:ind w:firstLine="420" w:firstLineChars="200"/>
        <w:rPr>
          <w:rFonts w:ascii="宋体" w:hAnsi="宋体" w:cs="宋体"/>
          <w:b/>
          <w:szCs w:val="21"/>
        </w:rPr>
      </w:pPr>
      <w:r>
        <w:rPr>
          <w:rFonts w:hint="eastAsia" w:ascii="宋体" w:hAnsi="宋体" w:cs="宋体"/>
          <w:b/>
          <w:szCs w:val="21"/>
        </w:rPr>
        <w:t>（二）相关要求</w:t>
      </w:r>
    </w:p>
    <w:p>
      <w:pPr>
        <w:spacing w:line="360" w:lineRule="auto"/>
        <w:ind w:firstLine="420" w:firstLineChars="200"/>
        <w:textAlignment w:val="baseline"/>
        <w:rPr>
          <w:rFonts w:ascii="宋体" w:hAnsi="宋体" w:cs="宋体"/>
          <w:szCs w:val="21"/>
        </w:rPr>
      </w:pPr>
      <w:r>
        <w:rPr>
          <w:rFonts w:hint="eastAsia" w:ascii="宋体" w:hAnsi="宋体" w:cs="宋体"/>
          <w:szCs w:val="21"/>
        </w:rPr>
        <w:t>1.室内地坪为本土夯实，高出室外地坪0.2米；晾制设施单元长边与当地常年风向一致，晾制设施单元间距≥6米。</w:t>
      </w:r>
    </w:p>
    <w:p>
      <w:pPr>
        <w:spacing w:line="360" w:lineRule="auto"/>
        <w:ind w:firstLine="420" w:firstLineChars="200"/>
        <w:textAlignment w:val="baseline"/>
        <w:rPr>
          <w:rFonts w:ascii="宋体" w:hAnsi="宋体" w:cs="宋体"/>
          <w:szCs w:val="21"/>
        </w:rPr>
      </w:pPr>
      <w:r>
        <w:rPr>
          <w:rFonts w:hint="eastAsia" w:ascii="宋体" w:hAnsi="宋体" w:cs="宋体"/>
          <w:szCs w:val="21"/>
        </w:rPr>
        <w:t>2.晾制设施单元设计使用年限不低于10年。</w:t>
      </w:r>
    </w:p>
    <w:p>
      <w:pPr>
        <w:spacing w:line="360" w:lineRule="auto"/>
        <w:ind w:firstLine="420" w:firstLineChars="200"/>
        <w:textAlignment w:val="baseline"/>
        <w:rPr>
          <w:rFonts w:ascii="宋体" w:hAnsi="宋体" w:cs="宋体"/>
          <w:szCs w:val="21"/>
        </w:rPr>
      </w:pPr>
      <w:r>
        <w:rPr>
          <w:rFonts w:hint="eastAsia" w:ascii="宋体" w:hAnsi="宋体" w:cs="宋体"/>
          <w:szCs w:val="21"/>
        </w:rPr>
        <w:t>3.晾制设施单元屋顶采用轻钢骨架连接成为一个整体，彩钢聚氨酯夹芯板安置拉筋的上端。墙板之间及墙板与钢骨架之间连接均使用螺栓及螺母连接。</w:t>
      </w:r>
    </w:p>
    <w:p>
      <w:pPr>
        <w:spacing w:line="360" w:lineRule="auto"/>
        <w:ind w:firstLine="420" w:firstLineChars="200"/>
        <w:textAlignment w:val="baseline"/>
        <w:rPr>
          <w:rFonts w:ascii="宋体" w:hAnsi="宋体" w:cs="宋体"/>
          <w:szCs w:val="21"/>
        </w:rPr>
      </w:pPr>
      <w:r>
        <w:rPr>
          <w:rFonts w:hint="eastAsia" w:ascii="宋体" w:hAnsi="宋体" w:cs="宋体"/>
          <w:szCs w:val="21"/>
        </w:rPr>
        <w:t>4.屋顶与房屋主体之间使用钢制构件（蝶栓及蝶母）连接，屋顶与墙体形成一个整体; 安装使用的所有螺栓、螺母等标准件符合《紧固件机械性能螺栓、螺钉和螺柱》(GB/T3098.1-2010)和《紧固件机械性能螺母》(GB/T 3098.2-2015)规定。</w:t>
      </w:r>
    </w:p>
    <w:p>
      <w:pPr>
        <w:spacing w:line="360" w:lineRule="auto"/>
        <w:ind w:firstLine="420" w:firstLineChars="200"/>
        <w:rPr>
          <w:rFonts w:ascii="宋体" w:hAnsi="宋体" w:cs="宋体"/>
          <w:b/>
          <w:szCs w:val="21"/>
        </w:rPr>
      </w:pPr>
      <w:r>
        <w:rPr>
          <w:rFonts w:hint="eastAsia" w:ascii="宋体" w:hAnsi="宋体" w:cs="宋体"/>
          <w:b/>
          <w:szCs w:val="21"/>
        </w:rPr>
        <w:t>四、晾制设施单元附属设施建设</w:t>
      </w:r>
    </w:p>
    <w:p>
      <w:pPr>
        <w:spacing w:line="360" w:lineRule="auto"/>
        <w:ind w:firstLine="420" w:firstLineChars="200"/>
        <w:textAlignment w:val="baseline"/>
        <w:rPr>
          <w:rFonts w:ascii="宋体" w:hAnsi="宋体" w:cs="宋体"/>
          <w:szCs w:val="21"/>
        </w:rPr>
      </w:pPr>
      <w:r>
        <w:rPr>
          <w:rFonts w:hint="eastAsia" w:ascii="宋体" w:hAnsi="宋体" w:cs="宋体"/>
          <w:szCs w:val="21"/>
        </w:rPr>
        <w:t>（一）鲜烟分类及编烟棚：可根据实际需要，每5座晾制设施单元配1个烟叶编烟棚，也可用于烟叶分类和晾制后烟叶初分拣。</w:t>
      </w:r>
    </w:p>
    <w:p>
      <w:pPr>
        <w:spacing w:line="360" w:lineRule="auto"/>
        <w:ind w:firstLine="420" w:firstLineChars="200"/>
        <w:textAlignment w:val="baseline"/>
        <w:rPr>
          <w:rFonts w:ascii="宋体" w:hAnsi="宋体" w:cs="宋体"/>
          <w:szCs w:val="21"/>
        </w:rPr>
      </w:pPr>
      <w:r>
        <w:rPr>
          <w:rFonts w:hint="eastAsia" w:ascii="宋体" w:hAnsi="宋体" w:cs="宋体"/>
          <w:szCs w:val="21"/>
        </w:rPr>
        <w:t>（二）其他要求：晾制设施单元四周应合理设置散水、排水设施，确保当地暴雨条件下能畅通排水，晾制设施单元内地面无积水，垫层不软化；道路（场地）平整夯实，应垫碎石或硬化处理；场地通水通电，供水压力不小于10mH</w:t>
      </w:r>
      <w:r>
        <w:rPr>
          <w:rFonts w:hint="eastAsia" w:ascii="宋体" w:hAnsi="宋体" w:cs="宋体"/>
          <w:szCs w:val="21"/>
          <w:vertAlign w:val="subscript"/>
        </w:rPr>
        <w:t>2</w:t>
      </w:r>
      <w:r>
        <w:rPr>
          <w:rFonts w:hint="eastAsia" w:ascii="宋体" w:hAnsi="宋体" w:cs="宋体"/>
          <w:szCs w:val="21"/>
        </w:rPr>
        <w:t>O，设水表计量装置；供电容量不小于50kW，交流380V，三相五线制，设电表计量装置；四周设置围护设施，配套相应安全设施设备。</w:t>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pPr>
      <w:r>
        <w:drawing>
          <wp:inline distT="0" distB="0" distL="114300" distR="114300">
            <wp:extent cx="8404225" cy="4019550"/>
            <wp:effectExtent l="0" t="0" r="0" b="158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rot="16200000">
                      <a:off x="0" y="0"/>
                      <a:ext cx="8404225" cy="4019550"/>
                    </a:xfrm>
                    <a:prstGeom prst="rect">
                      <a:avLst/>
                    </a:prstGeom>
                    <a:noFill/>
                    <a:ln>
                      <a:noFill/>
                    </a:ln>
                  </pic:spPr>
                </pic:pic>
              </a:graphicData>
            </a:graphic>
          </wp:inline>
        </w:drawing>
      </w:r>
    </w:p>
    <w:p>
      <w:pPr>
        <w:spacing w:line="360" w:lineRule="auto"/>
        <w:jc w:val="center"/>
        <w:textAlignment w:val="baseline"/>
        <w:rPr>
          <w:rFonts w:hint="eastAsia" w:ascii="宋体" w:hAnsi="宋体" w:eastAsia="宋体"/>
          <w:sz w:val="32"/>
          <w:szCs w:val="32"/>
          <w:lang w:eastAsia="zh-CN"/>
        </w:rPr>
      </w:pPr>
      <w:r>
        <w:rPr>
          <w:rFonts w:hint="eastAsia" w:ascii="宋体" w:hAnsi="宋体" w:cs="宋体"/>
          <w:szCs w:val="21"/>
        </w:rPr>
        <w:t>图1-</w:t>
      </w:r>
      <w:r>
        <w:rPr>
          <w:rFonts w:hint="eastAsia" w:ascii="宋体" w:hAnsi="宋体" w:cs="宋体"/>
          <w:szCs w:val="21"/>
          <w:lang w:val="en-US" w:eastAsia="zh-CN"/>
        </w:rPr>
        <w:t>1</w:t>
      </w:r>
      <w:r>
        <w:rPr>
          <w:rFonts w:hint="eastAsia" w:ascii="宋体" w:hAnsi="宋体" w:cs="宋体"/>
          <w:szCs w:val="21"/>
        </w:rPr>
        <w:t xml:space="preserve"> 雪茄烟叶晾制设施单元</w:t>
      </w:r>
      <w:r>
        <w:rPr>
          <w:rFonts w:hint="eastAsia" w:ascii="宋体" w:hAnsi="宋体" w:cs="宋体"/>
          <w:szCs w:val="21"/>
          <w:lang w:val="en-US" w:eastAsia="zh-CN"/>
        </w:rPr>
        <w:t>一层平面</w:t>
      </w:r>
      <w:r>
        <w:rPr>
          <w:rFonts w:hint="eastAsia" w:ascii="宋体" w:hAnsi="宋体" w:cs="宋体"/>
          <w:szCs w:val="21"/>
        </w:rPr>
        <w:t>示意图</w:t>
      </w:r>
      <w:r>
        <w:rPr>
          <w:rFonts w:hint="eastAsia" w:ascii="宋体" w:hAnsi="宋体" w:eastAsia="宋体"/>
          <w:sz w:val="32"/>
          <w:szCs w:val="32"/>
          <w:lang w:eastAsia="zh-CN"/>
        </w:rPr>
        <w:drawing>
          <wp:inline distT="0" distB="0" distL="114300" distR="114300">
            <wp:extent cx="7995285" cy="4093210"/>
            <wp:effectExtent l="0" t="0" r="2540" b="5715"/>
            <wp:docPr id="13" name="图片 13" descr="d0b3583a37f793e987d3a1725d0a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b3583a37f793e987d3a1725d0a309"/>
                    <pic:cNvPicPr>
                      <a:picLocks noChangeAspect="1"/>
                    </pic:cNvPicPr>
                  </pic:nvPicPr>
                  <pic:blipFill>
                    <a:blip r:embed="rId22"/>
                    <a:stretch>
                      <a:fillRect/>
                    </a:stretch>
                  </pic:blipFill>
                  <pic:spPr>
                    <a:xfrm rot="16200000">
                      <a:off x="0" y="0"/>
                      <a:ext cx="7995285" cy="4093210"/>
                    </a:xfrm>
                    <a:prstGeom prst="rect">
                      <a:avLst/>
                    </a:prstGeom>
                  </pic:spPr>
                </pic:pic>
              </a:graphicData>
            </a:graphic>
          </wp:inline>
        </w:drawing>
      </w:r>
    </w:p>
    <w:p>
      <w:pPr>
        <w:spacing w:line="360" w:lineRule="auto"/>
        <w:jc w:val="center"/>
        <w:textAlignment w:val="baseline"/>
        <w:rPr>
          <w:rFonts w:hint="eastAsia" w:eastAsia="宋体"/>
          <w:lang w:val="en-US" w:eastAsia="zh-CN"/>
        </w:rPr>
      </w:pPr>
      <w:r>
        <w:rPr>
          <w:rFonts w:hint="eastAsia" w:ascii="宋体" w:hAnsi="宋体" w:cs="宋体"/>
          <w:szCs w:val="21"/>
        </w:rPr>
        <w:t>图1-</w:t>
      </w:r>
      <w:r>
        <w:rPr>
          <w:rFonts w:hint="eastAsia" w:ascii="宋体" w:hAnsi="宋体" w:cs="宋体"/>
          <w:szCs w:val="21"/>
          <w:lang w:val="en-US" w:eastAsia="zh-CN"/>
        </w:rPr>
        <w:t>2</w:t>
      </w:r>
      <w:r>
        <w:rPr>
          <w:rFonts w:hint="eastAsia" w:ascii="宋体" w:hAnsi="宋体" w:cs="宋体"/>
          <w:szCs w:val="21"/>
        </w:rPr>
        <w:t xml:space="preserve"> 雪茄烟叶晾制设施单元</w:t>
      </w:r>
      <w:r>
        <w:rPr>
          <w:rFonts w:hint="eastAsia" w:ascii="宋体" w:hAnsi="宋体" w:cs="宋体"/>
          <w:szCs w:val="21"/>
          <w:lang w:val="en-US" w:eastAsia="zh-CN"/>
        </w:rPr>
        <w:t>3.690标高处平面</w:t>
      </w:r>
      <w:r>
        <w:rPr>
          <w:rFonts w:hint="eastAsia" w:ascii="宋体" w:hAnsi="宋体" w:cs="宋体"/>
          <w:szCs w:val="21"/>
        </w:rPr>
        <w:t>示意图</w:t>
      </w:r>
    </w:p>
    <w:p>
      <w:pPr>
        <w:spacing w:line="360" w:lineRule="auto"/>
        <w:jc w:val="center"/>
        <w:textAlignment w:val="baseline"/>
        <w:rPr>
          <w:rFonts w:hint="eastAsia"/>
        </w:rPr>
      </w:pPr>
      <w:r>
        <w:rPr>
          <w:rFonts w:hint="eastAsia"/>
        </w:rPr>
        <w:drawing>
          <wp:inline distT="0" distB="0" distL="114300" distR="114300">
            <wp:extent cx="8375650" cy="4317365"/>
            <wp:effectExtent l="0" t="0" r="6985" b="6350"/>
            <wp:docPr id="6" name="图片 6" descr="6908ed06cb7cf041f6870682aa1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908ed06cb7cf041f6870682aa19904"/>
                    <pic:cNvPicPr>
                      <a:picLocks noChangeAspect="1"/>
                    </pic:cNvPicPr>
                  </pic:nvPicPr>
                  <pic:blipFill>
                    <a:blip r:embed="rId23"/>
                    <a:stretch>
                      <a:fillRect/>
                    </a:stretch>
                  </pic:blipFill>
                  <pic:spPr>
                    <a:xfrm rot="16200000">
                      <a:off x="0" y="0"/>
                      <a:ext cx="8375650" cy="4317365"/>
                    </a:xfrm>
                    <a:prstGeom prst="rect">
                      <a:avLst/>
                    </a:prstGeom>
                  </pic:spPr>
                </pic:pic>
              </a:graphicData>
            </a:graphic>
          </wp:inline>
        </w:drawing>
      </w:r>
    </w:p>
    <w:p>
      <w:pPr>
        <w:spacing w:line="360" w:lineRule="auto"/>
        <w:jc w:val="center"/>
        <w:textAlignment w:val="baseline"/>
        <w:rPr>
          <w:rFonts w:ascii="宋体" w:hAnsi="宋体" w:cs="宋体"/>
          <w:szCs w:val="21"/>
        </w:rPr>
      </w:pPr>
      <w:r>
        <w:rPr>
          <w:rFonts w:hint="eastAsia" w:ascii="宋体" w:hAnsi="宋体" w:cs="宋体"/>
          <w:szCs w:val="21"/>
        </w:rPr>
        <w:t>图1-</w:t>
      </w:r>
      <w:r>
        <w:rPr>
          <w:rFonts w:hint="eastAsia" w:ascii="宋体" w:hAnsi="宋体" w:cs="宋体"/>
          <w:szCs w:val="21"/>
          <w:lang w:val="en-US" w:eastAsia="zh-CN"/>
        </w:rPr>
        <w:t>3</w:t>
      </w:r>
      <w:r>
        <w:rPr>
          <w:rFonts w:hint="eastAsia" w:ascii="宋体" w:hAnsi="宋体" w:cs="宋体"/>
          <w:szCs w:val="21"/>
        </w:rPr>
        <w:t xml:space="preserve"> 雪茄烟叶晾制设施单元主体</w:t>
      </w:r>
      <w:r>
        <w:rPr>
          <w:rFonts w:hint="eastAsia" w:ascii="宋体" w:hAnsi="宋体" w:cs="宋体"/>
          <w:szCs w:val="21"/>
          <w:lang w:val="en-US" w:eastAsia="zh-CN"/>
        </w:rPr>
        <w:t>屋顶平面</w:t>
      </w:r>
      <w:r>
        <w:rPr>
          <w:rFonts w:hint="eastAsia" w:ascii="宋体" w:hAnsi="宋体" w:cs="宋体"/>
          <w:szCs w:val="21"/>
        </w:rPr>
        <w:t>示意图</w:t>
      </w: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59264" behindDoc="1" locked="0" layoutInCell="1" allowOverlap="1">
            <wp:simplePos x="0" y="0"/>
            <wp:positionH relativeFrom="column">
              <wp:posOffset>-741045</wp:posOffset>
            </wp:positionH>
            <wp:positionV relativeFrom="paragraph">
              <wp:posOffset>59690</wp:posOffset>
            </wp:positionV>
            <wp:extent cx="7225030" cy="7444105"/>
            <wp:effectExtent l="0" t="0" r="13970" b="4445"/>
            <wp:wrapNone/>
            <wp:docPr id="1" name="图片 1" descr="0d7e291f4643398f9c94a0d1241a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d7e291f4643398f9c94a0d1241a455"/>
                    <pic:cNvPicPr>
                      <a:picLocks noChangeAspect="1"/>
                    </pic:cNvPicPr>
                  </pic:nvPicPr>
                  <pic:blipFill>
                    <a:blip r:embed="rId24"/>
                    <a:srcRect l="7450" r="24038"/>
                    <a:stretch>
                      <a:fillRect/>
                    </a:stretch>
                  </pic:blipFill>
                  <pic:spPr>
                    <a:xfrm>
                      <a:off x="0" y="0"/>
                      <a:ext cx="7225030" cy="7444105"/>
                    </a:xfrm>
                    <a:prstGeom prst="rect">
                      <a:avLst/>
                    </a:prstGeom>
                  </pic:spPr>
                </pic:pic>
              </a:graphicData>
            </a:graphic>
          </wp:anchor>
        </w:drawing>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both"/>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pPr>
      <w:r>
        <w:rPr>
          <w:rFonts w:hint="eastAsia" w:ascii="宋体" w:hAnsi="宋体" w:cs="宋体"/>
          <w:szCs w:val="21"/>
        </w:rPr>
        <w:t>图1-</w:t>
      </w:r>
      <w:r>
        <w:rPr>
          <w:rFonts w:hint="eastAsia" w:ascii="宋体" w:hAnsi="宋体" w:cs="宋体"/>
          <w:szCs w:val="21"/>
          <w:lang w:val="en-US" w:eastAsia="zh-CN"/>
        </w:rPr>
        <w:t>4</w:t>
      </w:r>
      <w:r>
        <w:rPr>
          <w:rFonts w:hint="eastAsia" w:ascii="宋体" w:hAnsi="宋体" w:cs="宋体"/>
          <w:szCs w:val="21"/>
        </w:rPr>
        <w:t xml:space="preserve"> 雪茄烟叶晾制设施单元主体结构</w:t>
      </w:r>
      <w:r>
        <w:rPr>
          <w:rFonts w:hint="eastAsia" w:ascii="宋体" w:hAnsi="宋体" w:cs="宋体"/>
          <w:szCs w:val="21"/>
          <w:lang w:val="en-US" w:eastAsia="zh-CN"/>
        </w:rPr>
        <w:t>A-D、D-A轴</w:t>
      </w:r>
      <w:r>
        <w:rPr>
          <w:rFonts w:hint="eastAsia" w:ascii="宋体" w:hAnsi="宋体" w:cs="宋体"/>
          <w:szCs w:val="21"/>
        </w:rPr>
        <w:t>立面示意图</w:t>
      </w:r>
      <w:r>
        <w:drawing>
          <wp:inline distT="0" distB="0" distL="0" distR="0">
            <wp:extent cx="8325485" cy="4743450"/>
            <wp:effectExtent l="0" t="0" r="0" b="18415"/>
            <wp:docPr id="17" name="图片 32"/>
            <wp:cNvGraphicFramePr/>
            <a:graphic xmlns:a="http://schemas.openxmlformats.org/drawingml/2006/main">
              <a:graphicData uri="http://schemas.openxmlformats.org/drawingml/2006/picture">
                <pic:pic xmlns:pic="http://schemas.openxmlformats.org/drawingml/2006/picture">
                  <pic:nvPicPr>
                    <pic:cNvPr id="17" name="图片 32"/>
                    <pic:cNvPicPr/>
                  </pic:nvPicPr>
                  <pic:blipFill>
                    <a:blip r:embed="rId25" cstate="print"/>
                    <a:srcRect t="1591"/>
                    <a:stretch>
                      <a:fillRect/>
                    </a:stretch>
                  </pic:blipFill>
                  <pic:spPr>
                    <a:xfrm rot="16200000">
                      <a:off x="0" y="0"/>
                      <a:ext cx="8325485" cy="4743450"/>
                    </a:xfrm>
                    <a:prstGeom prst="rect">
                      <a:avLst/>
                    </a:prstGeom>
                    <a:ln>
                      <a:noFill/>
                    </a:ln>
                  </pic:spPr>
                </pic:pic>
              </a:graphicData>
            </a:graphic>
          </wp:inline>
        </w:drawing>
      </w:r>
    </w:p>
    <w:p>
      <w:pPr>
        <w:spacing w:line="360" w:lineRule="auto"/>
        <w:jc w:val="center"/>
        <w:textAlignment w:val="baseline"/>
        <w:rPr>
          <w:rFonts w:ascii="宋体" w:hAnsi="宋体" w:cs="宋体"/>
          <w:szCs w:val="21"/>
        </w:rPr>
      </w:pPr>
      <w:r>
        <w:rPr>
          <w:rFonts w:hint="eastAsia" w:ascii="宋体" w:hAnsi="宋体" w:cs="宋体"/>
          <w:szCs w:val="21"/>
        </w:rPr>
        <w:t>图1-</w:t>
      </w:r>
      <w:r>
        <w:rPr>
          <w:rFonts w:hint="eastAsia" w:ascii="宋体" w:hAnsi="宋体" w:cs="宋体"/>
          <w:szCs w:val="21"/>
          <w:lang w:val="en-US" w:eastAsia="zh-CN"/>
        </w:rPr>
        <w:t>5</w:t>
      </w:r>
      <w:r>
        <w:rPr>
          <w:rFonts w:hint="eastAsia" w:ascii="宋体" w:hAnsi="宋体" w:cs="宋体"/>
          <w:szCs w:val="21"/>
        </w:rPr>
        <w:t xml:space="preserve"> 雪茄烟叶晾制设施单元主体结构</w:t>
      </w:r>
      <w:r>
        <w:rPr>
          <w:rFonts w:hint="eastAsia" w:ascii="宋体" w:hAnsi="宋体" w:cs="宋体"/>
          <w:szCs w:val="21"/>
          <w:lang w:val="en-US" w:eastAsia="zh-CN"/>
        </w:rPr>
        <w:t>①-⑨、⑨-①轴</w:t>
      </w:r>
      <w:r>
        <w:rPr>
          <w:rFonts w:hint="eastAsia" w:ascii="宋体" w:hAnsi="宋体" w:cs="宋体"/>
          <w:szCs w:val="21"/>
        </w:rPr>
        <w:t>立面示意图</w:t>
      </w:r>
    </w:p>
    <w:p>
      <w:pPr>
        <w:spacing w:line="360" w:lineRule="auto"/>
        <w:jc w:val="center"/>
        <w:textAlignment w:val="baseline"/>
        <w:rPr>
          <w:rFonts w:hint="eastAsia"/>
        </w:rPr>
      </w:pPr>
      <w:r>
        <w:rPr>
          <w:rFonts w:hint="eastAsia"/>
        </w:rPr>
        <w:drawing>
          <wp:inline distT="0" distB="0" distL="114300" distR="114300">
            <wp:extent cx="8506460" cy="4142105"/>
            <wp:effectExtent l="0" t="0" r="10795" b="8890"/>
            <wp:docPr id="7" name="图片 7" descr="66890b0346bed3c69dfb9d0c3685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890b0346bed3c69dfb9d0c36856e0"/>
                    <pic:cNvPicPr>
                      <a:picLocks noChangeAspect="1"/>
                    </pic:cNvPicPr>
                  </pic:nvPicPr>
                  <pic:blipFill>
                    <a:blip r:embed="rId26"/>
                    <a:stretch>
                      <a:fillRect/>
                    </a:stretch>
                  </pic:blipFill>
                  <pic:spPr>
                    <a:xfrm rot="16200000">
                      <a:off x="0" y="0"/>
                      <a:ext cx="8506460" cy="4142105"/>
                    </a:xfrm>
                    <a:prstGeom prst="rect">
                      <a:avLst/>
                    </a:prstGeom>
                  </pic:spPr>
                </pic:pic>
              </a:graphicData>
            </a:graphic>
          </wp:inline>
        </w:drawing>
      </w:r>
    </w:p>
    <w:p>
      <w:pPr>
        <w:spacing w:line="360" w:lineRule="auto"/>
        <w:jc w:val="center"/>
        <w:textAlignment w:val="baseline"/>
        <w:rPr>
          <w:rFonts w:hint="eastAsia"/>
          <w:lang w:val="en-US" w:eastAsia="zh-CN"/>
        </w:rPr>
      </w:pPr>
      <w:r>
        <w:rPr>
          <w:rFonts w:hint="eastAsia" w:ascii="宋体" w:hAnsi="宋体" w:cs="宋体"/>
          <w:szCs w:val="21"/>
        </w:rPr>
        <w:t>图1-</w:t>
      </w:r>
      <w:r>
        <w:rPr>
          <w:rFonts w:hint="eastAsia" w:ascii="宋体" w:hAnsi="宋体" w:cs="宋体"/>
          <w:szCs w:val="21"/>
          <w:lang w:val="en-US" w:eastAsia="zh-CN"/>
        </w:rPr>
        <w:t>6</w:t>
      </w:r>
      <w:r>
        <w:rPr>
          <w:rFonts w:hint="eastAsia" w:ascii="宋体" w:hAnsi="宋体" w:cs="宋体"/>
          <w:szCs w:val="21"/>
        </w:rPr>
        <w:t xml:space="preserve"> 雪茄烟叶晾制设施单元主体</w:t>
      </w:r>
      <w:r>
        <w:rPr>
          <w:rFonts w:hint="eastAsia" w:ascii="宋体" w:hAnsi="宋体" w:cs="宋体"/>
          <w:szCs w:val="21"/>
          <w:lang w:val="en-US" w:eastAsia="zh-CN"/>
        </w:rPr>
        <w:t>基础平面</w:t>
      </w:r>
      <w:r>
        <w:rPr>
          <w:rFonts w:hint="eastAsia" w:ascii="宋体" w:hAnsi="宋体" w:cs="宋体"/>
          <w:szCs w:val="21"/>
        </w:rPr>
        <w:t>示意图</w:t>
      </w:r>
      <w:r>
        <w:rPr>
          <w:rFonts w:hint="eastAsia"/>
          <w:lang w:val="en-US" w:eastAsia="zh-CN"/>
        </w:rPr>
        <w:drawing>
          <wp:inline distT="0" distB="0" distL="114300" distR="114300">
            <wp:extent cx="8315960" cy="4415155"/>
            <wp:effectExtent l="0" t="0" r="4445" b="8890"/>
            <wp:docPr id="9" name="图片 9" descr="eb1b914c517f53b59b5784f5eeb5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1b914c517f53b59b5784f5eeb5e6a"/>
                    <pic:cNvPicPr>
                      <a:picLocks noChangeAspect="1"/>
                    </pic:cNvPicPr>
                  </pic:nvPicPr>
                  <pic:blipFill>
                    <a:blip r:embed="rId27"/>
                    <a:stretch>
                      <a:fillRect/>
                    </a:stretch>
                  </pic:blipFill>
                  <pic:spPr>
                    <a:xfrm rot="16200000">
                      <a:off x="0" y="0"/>
                      <a:ext cx="8315960" cy="4415155"/>
                    </a:xfrm>
                    <a:prstGeom prst="rect">
                      <a:avLst/>
                    </a:prstGeom>
                  </pic:spPr>
                </pic:pic>
              </a:graphicData>
            </a:graphic>
          </wp:inline>
        </w:drawing>
      </w:r>
    </w:p>
    <w:p>
      <w:pPr>
        <w:spacing w:line="360" w:lineRule="auto"/>
        <w:jc w:val="center"/>
        <w:textAlignment w:val="baseline"/>
        <w:rPr>
          <w:rFonts w:hint="eastAsia" w:ascii="宋体" w:hAnsi="宋体" w:cs="宋体"/>
          <w:szCs w:val="21"/>
        </w:rPr>
      </w:pPr>
      <w:r>
        <w:rPr>
          <w:rFonts w:hint="eastAsia" w:ascii="宋体" w:hAnsi="宋体" w:cs="宋体"/>
          <w:szCs w:val="21"/>
        </w:rPr>
        <w:t>图1-</w:t>
      </w:r>
      <w:r>
        <w:rPr>
          <w:rFonts w:hint="eastAsia" w:ascii="宋体" w:hAnsi="宋体" w:cs="宋体"/>
          <w:szCs w:val="21"/>
          <w:lang w:val="en-US" w:eastAsia="zh-CN"/>
        </w:rPr>
        <w:t>7</w:t>
      </w:r>
      <w:r>
        <w:rPr>
          <w:rFonts w:hint="eastAsia" w:ascii="宋体" w:hAnsi="宋体" w:cs="宋体"/>
          <w:szCs w:val="21"/>
        </w:rPr>
        <w:t xml:space="preserve"> 雪茄烟叶晾制设施单元主体</w:t>
      </w:r>
      <w:r>
        <w:rPr>
          <w:rFonts w:hint="eastAsia" w:ascii="宋体" w:hAnsi="宋体" w:cs="宋体"/>
          <w:szCs w:val="21"/>
          <w:lang w:val="en-US" w:eastAsia="zh-CN"/>
        </w:rPr>
        <w:t>地脚螺栓平面布置</w:t>
      </w:r>
      <w:r>
        <w:rPr>
          <w:rFonts w:hint="eastAsia" w:ascii="宋体" w:hAnsi="宋体" w:cs="宋体"/>
          <w:szCs w:val="21"/>
        </w:rPr>
        <w:t>示意图</w:t>
      </w:r>
    </w:p>
    <w:p>
      <w:pPr>
        <w:spacing w:line="360" w:lineRule="auto"/>
        <w:jc w:val="center"/>
        <w:textAlignment w:val="baseline"/>
        <w:rPr>
          <w:rFonts w:hint="eastAsia"/>
          <w:lang w:val="en-US" w:eastAsia="zh-CN"/>
        </w:rPr>
      </w:pPr>
      <w:r>
        <w:rPr>
          <w:rFonts w:hint="eastAsia"/>
          <w:lang w:val="en-US" w:eastAsia="zh-CN"/>
        </w:rPr>
        <w:drawing>
          <wp:inline distT="0" distB="0" distL="114300" distR="114300">
            <wp:extent cx="8140065" cy="4261485"/>
            <wp:effectExtent l="0" t="0" r="5715" b="13335"/>
            <wp:docPr id="8" name="图片 8" descr="fcd55bdce53b1a20056c9d1bab94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cd55bdce53b1a20056c9d1bab9415d"/>
                    <pic:cNvPicPr>
                      <a:picLocks noChangeAspect="1"/>
                    </pic:cNvPicPr>
                  </pic:nvPicPr>
                  <pic:blipFill>
                    <a:blip r:embed="rId28"/>
                    <a:stretch>
                      <a:fillRect/>
                    </a:stretch>
                  </pic:blipFill>
                  <pic:spPr>
                    <a:xfrm rot="16200000">
                      <a:off x="0" y="0"/>
                      <a:ext cx="8140065" cy="4261485"/>
                    </a:xfrm>
                    <a:prstGeom prst="rect">
                      <a:avLst/>
                    </a:prstGeom>
                  </pic:spPr>
                </pic:pic>
              </a:graphicData>
            </a:graphic>
          </wp:inline>
        </w:drawing>
      </w:r>
    </w:p>
    <w:p>
      <w:pPr>
        <w:spacing w:line="360" w:lineRule="auto"/>
        <w:jc w:val="center"/>
        <w:textAlignment w:val="baseline"/>
        <w:rPr>
          <w:rFonts w:hint="eastAsia" w:ascii="宋体" w:hAnsi="宋体" w:cs="宋体"/>
          <w:szCs w:val="21"/>
        </w:rPr>
      </w:pPr>
      <w:r>
        <w:rPr>
          <w:rFonts w:hint="eastAsia" w:ascii="宋体" w:hAnsi="宋体" w:cs="宋体"/>
          <w:szCs w:val="21"/>
        </w:rPr>
        <w:t>图1-</w:t>
      </w:r>
      <w:r>
        <w:rPr>
          <w:rFonts w:hint="eastAsia" w:ascii="宋体" w:hAnsi="宋体" w:cs="宋体"/>
          <w:szCs w:val="21"/>
          <w:lang w:val="en-US" w:eastAsia="zh-CN"/>
        </w:rPr>
        <w:t>8</w:t>
      </w:r>
      <w:r>
        <w:rPr>
          <w:rFonts w:hint="eastAsia" w:ascii="宋体" w:hAnsi="宋体" w:cs="宋体"/>
          <w:szCs w:val="21"/>
        </w:rPr>
        <w:t xml:space="preserve"> 雪茄烟叶晾制设施单元主体</w:t>
      </w:r>
      <w:r>
        <w:rPr>
          <w:rFonts w:hint="eastAsia" w:ascii="宋体" w:hAnsi="宋体" w:cs="宋体"/>
          <w:szCs w:val="21"/>
          <w:lang w:val="en-US" w:eastAsia="zh-CN"/>
        </w:rPr>
        <w:t>钢柱及柱间支撑平面布置</w:t>
      </w:r>
      <w:r>
        <w:rPr>
          <w:rFonts w:hint="eastAsia" w:ascii="宋体" w:hAnsi="宋体" w:cs="宋体"/>
          <w:szCs w:val="21"/>
        </w:rPr>
        <w:t>示意图</w:t>
      </w: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8472170" cy="5992495"/>
            <wp:effectExtent l="0" t="0" r="8255" b="5080"/>
            <wp:docPr id="5" name="图片 5" descr="dbc4fccf389f565eb22b91638c0f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bc4fccf389f565eb22b91638c0f341"/>
                    <pic:cNvPicPr>
                      <a:picLocks noChangeAspect="1"/>
                    </pic:cNvPicPr>
                  </pic:nvPicPr>
                  <pic:blipFill>
                    <a:blip r:embed="rId29"/>
                    <a:stretch>
                      <a:fillRect/>
                    </a:stretch>
                  </pic:blipFill>
                  <pic:spPr>
                    <a:xfrm rot="16200000">
                      <a:off x="0" y="0"/>
                      <a:ext cx="8472170" cy="5992495"/>
                    </a:xfrm>
                    <a:prstGeom prst="rect">
                      <a:avLst/>
                    </a:prstGeom>
                  </pic:spPr>
                </pic:pic>
              </a:graphicData>
            </a:graphic>
          </wp:inline>
        </w:drawing>
      </w:r>
    </w:p>
    <w:p>
      <w:pPr>
        <w:spacing w:line="360" w:lineRule="auto"/>
        <w:jc w:val="center"/>
        <w:textAlignment w:val="baseline"/>
        <w:rPr>
          <w:rFonts w:ascii="宋体" w:hAnsi="宋体" w:cs="宋体"/>
          <w:szCs w:val="21"/>
        </w:rPr>
      </w:pPr>
      <w:r>
        <w:rPr>
          <w:rFonts w:hint="eastAsia" w:ascii="宋体" w:hAnsi="宋体" w:cs="宋体"/>
          <w:szCs w:val="21"/>
        </w:rPr>
        <w:t>图1-</w:t>
      </w:r>
      <w:r>
        <w:rPr>
          <w:rFonts w:hint="eastAsia" w:ascii="宋体" w:hAnsi="宋体" w:cs="宋体"/>
          <w:szCs w:val="21"/>
          <w:lang w:val="en-US" w:eastAsia="zh-CN"/>
        </w:rPr>
        <w:t>9</w:t>
      </w:r>
      <w:r>
        <w:rPr>
          <w:rFonts w:hint="eastAsia" w:ascii="宋体" w:hAnsi="宋体" w:cs="宋体"/>
          <w:szCs w:val="21"/>
        </w:rPr>
        <w:t xml:space="preserve"> 雪茄烟叶晾制设施单元主体</w:t>
      </w:r>
      <w:r>
        <w:rPr>
          <w:rFonts w:hint="eastAsia" w:ascii="宋体" w:hAnsi="宋体" w:cs="宋体"/>
          <w:szCs w:val="21"/>
          <w:lang w:val="en-US" w:eastAsia="zh-CN"/>
        </w:rPr>
        <w:t>屋面</w:t>
      </w:r>
      <w:r>
        <w:rPr>
          <w:rFonts w:hint="eastAsia" w:ascii="宋体" w:hAnsi="宋体" w:cs="宋体"/>
          <w:szCs w:val="21"/>
        </w:rPr>
        <w:t>结构平面示意图</w:t>
      </w:r>
    </w:p>
    <w:p>
      <w:pPr>
        <w:pStyle w:val="2"/>
      </w:pP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1312" behindDoc="1" locked="0" layoutInCell="1" allowOverlap="1">
            <wp:simplePos x="0" y="0"/>
            <wp:positionH relativeFrom="column">
              <wp:posOffset>552450</wp:posOffset>
            </wp:positionH>
            <wp:positionV relativeFrom="paragraph">
              <wp:posOffset>-292735</wp:posOffset>
            </wp:positionV>
            <wp:extent cx="4448175" cy="3990975"/>
            <wp:effectExtent l="0" t="0" r="9525" b="9525"/>
            <wp:wrapNone/>
            <wp:docPr id="3" name="图片 3" descr="8ee4a8f6672ea3fc1fbd9065dbf4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e4a8f6672ea3fc1fbd9065dbf4fb8"/>
                    <pic:cNvPicPr>
                      <a:picLocks noChangeAspect="1"/>
                    </pic:cNvPicPr>
                  </pic:nvPicPr>
                  <pic:blipFill>
                    <a:blip r:embed="rId30"/>
                    <a:srcRect l="11704" r="9466"/>
                    <a:stretch>
                      <a:fillRect/>
                    </a:stretch>
                  </pic:blipFill>
                  <pic:spPr>
                    <a:xfrm>
                      <a:off x="0" y="0"/>
                      <a:ext cx="4448175" cy="3990975"/>
                    </a:xfrm>
                    <a:prstGeom prst="rect">
                      <a:avLst/>
                    </a:prstGeom>
                  </pic:spPr>
                </pic:pic>
              </a:graphicData>
            </a:graphic>
          </wp:anchor>
        </w:drawing>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anchor distT="0" distB="0" distL="114300" distR="114300" simplePos="0" relativeHeight="251662336" behindDoc="1" locked="0" layoutInCell="1" allowOverlap="1">
            <wp:simplePos x="0" y="0"/>
            <wp:positionH relativeFrom="column">
              <wp:posOffset>19050</wp:posOffset>
            </wp:positionH>
            <wp:positionV relativeFrom="paragraph">
              <wp:posOffset>270510</wp:posOffset>
            </wp:positionV>
            <wp:extent cx="4943475" cy="4601845"/>
            <wp:effectExtent l="0" t="0" r="9525" b="8255"/>
            <wp:wrapNone/>
            <wp:docPr id="4" name="图片 4" descr="74410cd2a26e945786dddee78413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410cd2a26e945786dddee78413e8e"/>
                    <pic:cNvPicPr>
                      <a:picLocks noChangeAspect="1"/>
                    </pic:cNvPicPr>
                  </pic:nvPicPr>
                  <pic:blipFill>
                    <a:blip r:embed="rId31"/>
                    <a:srcRect l="2410" r="12860"/>
                    <a:stretch>
                      <a:fillRect/>
                    </a:stretch>
                  </pic:blipFill>
                  <pic:spPr>
                    <a:xfrm>
                      <a:off x="0" y="0"/>
                      <a:ext cx="4943475" cy="4601845"/>
                    </a:xfrm>
                    <a:prstGeom prst="rect">
                      <a:avLst/>
                    </a:prstGeom>
                  </pic:spPr>
                </pic:pic>
              </a:graphicData>
            </a:graphic>
          </wp:anchor>
        </w:drawing>
      </w: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pStyle w:val="2"/>
        <w:rPr>
          <w:rFonts w:hint="eastAsia" w:ascii="宋体" w:hAnsi="宋体" w:eastAsia="宋体" w:cs="宋体"/>
          <w:szCs w:val="21"/>
          <w:lang w:eastAsia="zh-CN"/>
        </w:rPr>
      </w:pPr>
    </w:p>
    <w:p>
      <w:pPr>
        <w:pStyle w:val="2"/>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both"/>
        <w:textAlignment w:val="baseline"/>
        <w:rPr>
          <w:rFonts w:hint="eastAsia" w:ascii="宋体" w:hAnsi="宋体" w:eastAsia="宋体" w:cs="宋体"/>
          <w:szCs w:val="21"/>
          <w:lang w:eastAsia="zh-CN"/>
        </w:rPr>
      </w:pPr>
    </w:p>
    <w:p>
      <w:pPr>
        <w:pStyle w:val="2"/>
        <w:rPr>
          <w:rFonts w:hint="eastAsia"/>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eastAsia="宋体" w:cs="宋体"/>
          <w:szCs w:val="21"/>
          <w:lang w:eastAsia="zh-CN"/>
        </w:rPr>
      </w:pPr>
    </w:p>
    <w:p>
      <w:pPr>
        <w:spacing w:line="360" w:lineRule="auto"/>
        <w:jc w:val="center"/>
        <w:textAlignment w:val="baseline"/>
        <w:rPr>
          <w:rFonts w:hint="eastAsia" w:ascii="宋体" w:hAnsi="宋体" w:cs="宋体"/>
          <w:szCs w:val="21"/>
          <w:lang w:val="en-US" w:eastAsia="zh-CN"/>
        </w:rPr>
      </w:pPr>
      <w:r>
        <w:rPr>
          <w:rFonts w:hint="eastAsia" w:ascii="宋体" w:hAnsi="宋体" w:cs="宋体"/>
          <w:szCs w:val="21"/>
        </w:rPr>
        <w:t>图1-</w:t>
      </w:r>
      <w:r>
        <w:rPr>
          <w:rFonts w:hint="eastAsia" w:ascii="宋体" w:hAnsi="宋体" w:cs="宋体"/>
          <w:szCs w:val="21"/>
          <w:lang w:val="en-US" w:eastAsia="zh-CN"/>
        </w:rPr>
        <w:t>10</w:t>
      </w:r>
      <w:r>
        <w:rPr>
          <w:rFonts w:hint="eastAsia" w:ascii="宋体" w:hAnsi="宋体" w:cs="宋体"/>
          <w:szCs w:val="21"/>
        </w:rPr>
        <w:t xml:space="preserve"> 雪茄烟叶晾制设施单元主体结构剖面</w:t>
      </w:r>
      <w:r>
        <w:rPr>
          <w:rFonts w:hint="eastAsia" w:ascii="宋体" w:hAnsi="宋体" w:cs="宋体"/>
          <w:szCs w:val="21"/>
          <w:lang w:val="en-US" w:eastAsia="zh-CN"/>
        </w:rPr>
        <w:t>示意图</w:t>
      </w:r>
    </w:p>
    <w:p>
      <w:pPr>
        <w:jc w:val="center"/>
        <w:textAlignment w:val="baseline"/>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8084185" cy="4236720"/>
            <wp:effectExtent l="0" t="0" r="11430" b="12065"/>
            <wp:docPr id="14" name="图片 14" descr="5752607ef1ec7e14548230227766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752607ef1ec7e145482302277661fa"/>
                    <pic:cNvPicPr>
                      <a:picLocks noChangeAspect="1"/>
                    </pic:cNvPicPr>
                  </pic:nvPicPr>
                  <pic:blipFill>
                    <a:blip r:embed="rId32"/>
                    <a:stretch>
                      <a:fillRect/>
                    </a:stretch>
                  </pic:blipFill>
                  <pic:spPr>
                    <a:xfrm rot="16200000">
                      <a:off x="0" y="0"/>
                      <a:ext cx="8084185" cy="4236720"/>
                    </a:xfrm>
                    <a:prstGeom prst="rect">
                      <a:avLst/>
                    </a:prstGeom>
                  </pic:spPr>
                </pic:pic>
              </a:graphicData>
            </a:graphic>
          </wp:inline>
        </w:drawing>
      </w:r>
    </w:p>
    <w:p>
      <w:pPr>
        <w:spacing w:line="360" w:lineRule="auto"/>
        <w:jc w:val="center"/>
        <w:textAlignment w:val="baseline"/>
        <w:rPr>
          <w:rFonts w:ascii="宋体" w:hAnsi="宋体"/>
          <w:sz w:val="24"/>
        </w:rPr>
      </w:pPr>
      <w:r>
        <w:rPr>
          <w:rFonts w:hint="eastAsia" w:ascii="宋体" w:hAnsi="宋体"/>
          <w:sz w:val="24"/>
        </w:rPr>
        <w:t>图1-</w:t>
      </w:r>
      <w:r>
        <w:rPr>
          <w:rFonts w:hint="eastAsia" w:ascii="宋体" w:hAnsi="宋体"/>
          <w:sz w:val="24"/>
          <w:lang w:val="en-US" w:eastAsia="zh-CN"/>
        </w:rPr>
        <w:t>11</w:t>
      </w:r>
      <w:r>
        <w:rPr>
          <w:rFonts w:hint="eastAsia" w:ascii="宋体" w:hAnsi="宋体"/>
          <w:sz w:val="24"/>
        </w:rPr>
        <w:t xml:space="preserve"> 雪茄烟叶晾制设施单元主体结构</w:t>
      </w:r>
      <w:r>
        <w:rPr>
          <w:rFonts w:hint="eastAsia" w:ascii="宋体" w:hAnsi="宋体"/>
          <w:sz w:val="24"/>
          <w:lang w:val="en-US" w:eastAsia="zh-CN"/>
        </w:rPr>
        <w:t>墙面檩条布置</w:t>
      </w:r>
      <w:r>
        <w:rPr>
          <w:rFonts w:hint="eastAsia" w:ascii="宋体" w:hAnsi="宋体"/>
          <w:sz w:val="24"/>
        </w:rPr>
        <w:t>图</w:t>
      </w:r>
    </w:p>
    <w:p>
      <w:pPr>
        <w:pStyle w:val="2"/>
        <w:rPr>
          <w:rFonts w:hint="eastAsia"/>
          <w:lang w:val="en-US" w:eastAsia="zh-CN"/>
        </w:rPr>
      </w:pPr>
    </w:p>
    <w:p>
      <w:pPr>
        <w:jc w:val="center"/>
        <w:textAlignment w:val="baseline"/>
        <w:rPr>
          <w:rFonts w:ascii="宋体" w:hAnsi="宋体" w:cs="宋体"/>
          <w:szCs w:val="21"/>
        </w:rPr>
      </w:pPr>
    </w:p>
    <w:p>
      <w:pPr>
        <w:jc w:val="center"/>
        <w:textAlignment w:val="baseline"/>
        <w:rPr>
          <w:rFonts w:ascii="宋体" w:hAnsi="宋体" w:cs="宋体"/>
          <w:szCs w:val="21"/>
        </w:rPr>
      </w:pPr>
      <w:r>
        <w:rPr>
          <w:rFonts w:hint="eastAsia" w:ascii="宋体" w:hAnsi="宋体" w:eastAsia="宋体"/>
          <w:sz w:val="32"/>
          <w:szCs w:val="32"/>
          <w:lang w:eastAsia="zh-CN"/>
        </w:rPr>
        <w:drawing>
          <wp:inline distT="0" distB="0" distL="114300" distR="114300">
            <wp:extent cx="8210550" cy="4344670"/>
            <wp:effectExtent l="0" t="0" r="17780" b="0"/>
            <wp:docPr id="11" name="图片 11" descr="501934ce5f3275ab0db0942f3ee5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01934ce5f3275ab0db0942f3ee598e"/>
                    <pic:cNvPicPr>
                      <a:picLocks noChangeAspect="1"/>
                    </pic:cNvPicPr>
                  </pic:nvPicPr>
                  <pic:blipFill>
                    <a:blip r:embed="rId33"/>
                    <a:stretch>
                      <a:fillRect/>
                    </a:stretch>
                  </pic:blipFill>
                  <pic:spPr>
                    <a:xfrm rot="16200000">
                      <a:off x="0" y="0"/>
                      <a:ext cx="8210550" cy="4344670"/>
                    </a:xfrm>
                    <a:prstGeom prst="rect">
                      <a:avLst/>
                    </a:prstGeom>
                  </pic:spPr>
                </pic:pic>
              </a:graphicData>
            </a:graphic>
          </wp:inline>
        </w:drawing>
      </w:r>
    </w:p>
    <w:p>
      <w:pPr>
        <w:spacing w:line="360" w:lineRule="auto"/>
        <w:jc w:val="center"/>
        <w:textAlignment w:val="baseline"/>
        <w:rPr>
          <w:rFonts w:hint="eastAsia" w:ascii="宋体" w:hAnsi="宋体"/>
          <w:sz w:val="24"/>
        </w:rPr>
      </w:pPr>
      <w:r>
        <w:rPr>
          <w:rFonts w:hint="eastAsia" w:ascii="宋体" w:hAnsi="宋体"/>
          <w:sz w:val="24"/>
        </w:rPr>
        <w:t>图1-</w:t>
      </w:r>
      <w:r>
        <w:rPr>
          <w:rFonts w:hint="eastAsia" w:ascii="宋体" w:hAnsi="宋体"/>
          <w:sz w:val="24"/>
          <w:lang w:val="en-US" w:eastAsia="zh-CN"/>
        </w:rPr>
        <w:t>12</w:t>
      </w:r>
      <w:r>
        <w:rPr>
          <w:rFonts w:hint="eastAsia" w:ascii="宋体" w:hAnsi="宋体"/>
          <w:sz w:val="24"/>
        </w:rPr>
        <w:t xml:space="preserve"> 雪茄烟叶晾制设施单元主体结构</w:t>
      </w:r>
      <w:r>
        <w:rPr>
          <w:rFonts w:hint="eastAsia" w:ascii="宋体" w:hAnsi="宋体"/>
          <w:sz w:val="24"/>
          <w:lang w:val="en-US" w:eastAsia="zh-CN"/>
        </w:rPr>
        <w:t>屋面檩条平面布置</w:t>
      </w:r>
      <w:r>
        <w:rPr>
          <w:rFonts w:hint="eastAsia" w:ascii="宋体" w:hAnsi="宋体"/>
          <w:sz w:val="24"/>
        </w:rPr>
        <w:t>图</w:t>
      </w:r>
    </w:p>
    <w:p>
      <w:pPr>
        <w:spacing w:line="360" w:lineRule="auto"/>
        <w:jc w:val="center"/>
        <w:textAlignment w:val="baseline"/>
        <w:rPr>
          <w:rFonts w:ascii="宋体" w:hAnsi="宋体"/>
          <w:sz w:val="32"/>
          <w:szCs w:val="32"/>
        </w:rPr>
      </w:pPr>
      <w:r>
        <w:rPr>
          <w:rFonts w:hint="eastAsia" w:ascii="宋体" w:hAnsi="宋体" w:eastAsia="宋体"/>
          <w:sz w:val="32"/>
          <w:szCs w:val="32"/>
          <w:lang w:eastAsia="zh-CN"/>
        </w:rPr>
        <w:drawing>
          <wp:inline distT="0" distB="0" distL="114300" distR="114300">
            <wp:extent cx="8228330" cy="4243705"/>
            <wp:effectExtent l="0" t="0" r="4445" b="1270"/>
            <wp:docPr id="12" name="图片 12" descr="ad4bf5b85993799fbe4e28688251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d4bf5b85993799fbe4e28688251a65"/>
                    <pic:cNvPicPr>
                      <a:picLocks noChangeAspect="1"/>
                    </pic:cNvPicPr>
                  </pic:nvPicPr>
                  <pic:blipFill>
                    <a:blip r:embed="rId34"/>
                    <a:stretch>
                      <a:fillRect/>
                    </a:stretch>
                  </pic:blipFill>
                  <pic:spPr>
                    <a:xfrm rot="16200000">
                      <a:off x="0" y="0"/>
                      <a:ext cx="8228330" cy="4243705"/>
                    </a:xfrm>
                    <a:prstGeom prst="rect">
                      <a:avLst/>
                    </a:prstGeom>
                  </pic:spPr>
                </pic:pic>
              </a:graphicData>
            </a:graphic>
          </wp:inline>
        </w:drawing>
      </w:r>
    </w:p>
    <w:p>
      <w:pPr>
        <w:spacing w:line="360" w:lineRule="auto"/>
        <w:jc w:val="center"/>
        <w:textAlignment w:val="baseline"/>
      </w:pPr>
      <w:r>
        <w:rPr>
          <w:rFonts w:hint="eastAsia" w:ascii="宋体" w:hAnsi="宋体"/>
          <w:sz w:val="24"/>
        </w:rPr>
        <w:t>图</w:t>
      </w:r>
      <w:r>
        <w:rPr>
          <w:rFonts w:hint="eastAsia" w:ascii="宋体" w:hAnsi="宋体"/>
          <w:sz w:val="24"/>
          <w:lang w:val="en-US" w:eastAsia="zh-CN"/>
        </w:rPr>
        <w:t>1-13</w:t>
      </w:r>
      <w:r>
        <w:rPr>
          <w:rFonts w:hint="eastAsia" w:ascii="宋体" w:hAnsi="宋体"/>
          <w:sz w:val="24"/>
        </w:rPr>
        <w:t xml:space="preserve"> 雪茄烟叶晾制设施单元</w:t>
      </w:r>
      <w:r>
        <w:rPr>
          <w:rFonts w:hint="eastAsia" w:ascii="宋体" w:hAnsi="宋体"/>
          <w:sz w:val="24"/>
          <w:lang w:val="en-US" w:eastAsia="zh-CN"/>
        </w:rPr>
        <w:t>晾烟架平面布置图</w:t>
      </w:r>
      <w:r>
        <w:drawing>
          <wp:inline distT="0" distB="0" distL="114300" distR="114300">
            <wp:extent cx="8143875" cy="4188460"/>
            <wp:effectExtent l="0" t="0" r="2540"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5"/>
                    <a:stretch>
                      <a:fillRect/>
                    </a:stretch>
                  </pic:blipFill>
                  <pic:spPr>
                    <a:xfrm rot="16200000">
                      <a:off x="0" y="0"/>
                      <a:ext cx="8143875" cy="4188460"/>
                    </a:xfrm>
                    <a:prstGeom prst="rect">
                      <a:avLst/>
                    </a:prstGeom>
                    <a:noFill/>
                    <a:ln>
                      <a:noFill/>
                    </a:ln>
                  </pic:spPr>
                </pic:pic>
              </a:graphicData>
            </a:graphic>
          </wp:inline>
        </w:drawing>
      </w:r>
    </w:p>
    <w:p>
      <w:pPr>
        <w:pStyle w:val="2"/>
        <w:jc w:val="center"/>
      </w:pPr>
      <w:r>
        <w:rPr>
          <w:rFonts w:hint="eastAsia" w:ascii="宋体" w:hAnsi="宋体"/>
          <w:sz w:val="24"/>
        </w:rPr>
        <w:t>图</w:t>
      </w:r>
      <w:r>
        <w:rPr>
          <w:rFonts w:hint="eastAsia" w:ascii="宋体" w:hAnsi="宋体"/>
          <w:sz w:val="24"/>
          <w:lang w:val="en-US" w:eastAsia="zh-CN"/>
        </w:rPr>
        <w:t>1-14</w:t>
      </w:r>
      <w:r>
        <w:rPr>
          <w:rFonts w:hint="eastAsia" w:ascii="宋体" w:hAnsi="宋体"/>
          <w:sz w:val="24"/>
        </w:rPr>
        <w:t xml:space="preserve"> 雪茄烟叶晾制设施单元</w:t>
      </w:r>
      <w:r>
        <w:rPr>
          <w:rFonts w:hint="eastAsia" w:ascii="宋体" w:hAnsi="宋体"/>
          <w:sz w:val="24"/>
          <w:lang w:val="en-US" w:eastAsia="zh-CN"/>
        </w:rPr>
        <w:t>3.690标高处平面布置图</w:t>
      </w:r>
    </w:p>
    <w:p>
      <w:pPr>
        <w:pStyle w:val="2"/>
      </w:pPr>
    </w:p>
    <w:p>
      <w:pPr>
        <w:spacing w:line="360" w:lineRule="auto"/>
        <w:jc w:val="center"/>
        <w:textAlignment w:val="baseline"/>
        <w:rPr>
          <w:rFonts w:ascii="宋体" w:hAnsi="宋体" w:cs="宋体"/>
          <w:szCs w:val="21"/>
        </w:rPr>
      </w:pPr>
    </w:p>
    <w:p>
      <w:pPr>
        <w:jc w:val="center"/>
        <w:textAlignment w:val="baseline"/>
        <w:rPr>
          <w:rFonts w:ascii="宋体" w:hAnsi="宋体"/>
          <w:sz w:val="32"/>
          <w:szCs w:val="32"/>
        </w:rPr>
      </w:pPr>
      <w:r>
        <w:rPr>
          <w:rFonts w:hint="eastAsia" w:ascii="宋体" w:hAnsi="宋体"/>
          <w:sz w:val="32"/>
          <w:szCs w:val="32"/>
        </w:rPr>
        <w:drawing>
          <wp:inline distT="0" distB="0" distL="0" distR="0">
            <wp:extent cx="2171700" cy="4873625"/>
            <wp:effectExtent l="0" t="0" r="3175" b="0"/>
            <wp:docPr id="1038" name="图片 34" descr="e69291eacd28a453f903a92d41a430f"/>
            <wp:cNvGraphicFramePr/>
            <a:graphic xmlns:a="http://schemas.openxmlformats.org/drawingml/2006/main">
              <a:graphicData uri="http://schemas.openxmlformats.org/drawingml/2006/picture">
                <pic:pic xmlns:pic="http://schemas.openxmlformats.org/drawingml/2006/picture">
                  <pic:nvPicPr>
                    <pic:cNvPr id="1038" name="图片 34" descr="e69291eacd28a453f903a92d41a430f"/>
                    <pic:cNvPicPr/>
                  </pic:nvPicPr>
                  <pic:blipFill>
                    <a:blip r:embed="rId36" cstate="print"/>
                    <a:srcRect t="5832" b="6061"/>
                    <a:stretch>
                      <a:fillRect/>
                    </a:stretch>
                  </pic:blipFill>
                  <pic:spPr>
                    <a:xfrm rot="-5400000">
                      <a:off x="0" y="0"/>
                      <a:ext cx="2171700" cy="4873625"/>
                    </a:xfrm>
                    <a:prstGeom prst="rect">
                      <a:avLst/>
                    </a:prstGeom>
                    <a:ln>
                      <a:noFill/>
                    </a:ln>
                  </pic:spPr>
                </pic:pic>
              </a:graphicData>
            </a:graphic>
          </wp:inline>
        </w:drawing>
      </w:r>
    </w:p>
    <w:p>
      <w:pPr>
        <w:spacing w:line="360" w:lineRule="auto"/>
        <w:jc w:val="center"/>
        <w:textAlignment w:val="baseline"/>
        <w:rPr>
          <w:rFonts w:ascii="宋体" w:hAnsi="宋体"/>
          <w:sz w:val="32"/>
          <w:szCs w:val="32"/>
        </w:rPr>
      </w:pPr>
      <w:r>
        <w:rPr>
          <w:rFonts w:hint="eastAsia" w:ascii="宋体" w:hAnsi="宋体"/>
          <w:sz w:val="32"/>
          <w:szCs w:val="32"/>
        </w:rPr>
        <w:drawing>
          <wp:inline distT="0" distB="0" distL="0" distR="0">
            <wp:extent cx="4385310" cy="4660900"/>
            <wp:effectExtent l="0" t="0" r="6350" b="15240"/>
            <wp:docPr id="1039" name="图片 33" descr="be6dfcdcbbf99880b7a119c91fc0e31"/>
            <wp:cNvGraphicFramePr/>
            <a:graphic xmlns:a="http://schemas.openxmlformats.org/drawingml/2006/main">
              <a:graphicData uri="http://schemas.openxmlformats.org/drawingml/2006/picture">
                <pic:pic xmlns:pic="http://schemas.openxmlformats.org/drawingml/2006/picture">
                  <pic:nvPicPr>
                    <pic:cNvPr id="1039" name="图片 33" descr="be6dfcdcbbf99880b7a119c91fc0e31"/>
                    <pic:cNvPicPr/>
                  </pic:nvPicPr>
                  <pic:blipFill>
                    <a:blip r:embed="rId37" cstate="print"/>
                    <a:srcRect t="784"/>
                    <a:stretch>
                      <a:fillRect/>
                    </a:stretch>
                  </pic:blipFill>
                  <pic:spPr>
                    <a:xfrm rot="-5400000">
                      <a:off x="0" y="0"/>
                      <a:ext cx="4385310" cy="4660900"/>
                    </a:xfrm>
                    <a:prstGeom prst="rect">
                      <a:avLst/>
                    </a:prstGeom>
                    <a:ln>
                      <a:noFill/>
                    </a:ln>
                  </pic:spPr>
                </pic:pic>
              </a:graphicData>
            </a:graphic>
          </wp:inline>
        </w:drawing>
      </w:r>
    </w:p>
    <w:p>
      <w:pPr>
        <w:spacing w:line="360" w:lineRule="auto"/>
        <w:jc w:val="center"/>
        <w:textAlignment w:val="baseline"/>
        <w:rPr>
          <w:rFonts w:ascii="宋体" w:hAnsi="宋体"/>
          <w:sz w:val="24"/>
        </w:rPr>
      </w:pPr>
      <w:r>
        <w:rPr>
          <w:rFonts w:hint="eastAsia" w:ascii="宋体" w:hAnsi="宋体"/>
          <w:sz w:val="24"/>
        </w:rPr>
        <w:t>图1-</w:t>
      </w:r>
      <w:r>
        <w:rPr>
          <w:rFonts w:hint="eastAsia" w:ascii="宋体" w:hAnsi="宋体"/>
          <w:sz w:val="24"/>
          <w:lang w:val="en-US" w:eastAsia="zh-CN"/>
        </w:rPr>
        <w:t>15</w:t>
      </w:r>
      <w:r>
        <w:rPr>
          <w:rFonts w:hint="eastAsia" w:ascii="宋体" w:hAnsi="宋体"/>
          <w:sz w:val="24"/>
        </w:rPr>
        <w:t xml:space="preserve"> 雪茄烟叶晾制设施单元主体结构侧立面3</w:t>
      </w:r>
      <w:r>
        <w:rPr>
          <w:rFonts w:ascii="宋体" w:hAnsi="宋体"/>
          <w:sz w:val="24"/>
        </w:rPr>
        <w:t>D</w:t>
      </w:r>
      <w:r>
        <w:rPr>
          <w:rFonts w:hint="eastAsia" w:ascii="宋体" w:hAnsi="宋体"/>
          <w:sz w:val="24"/>
        </w:rPr>
        <w:t>示意图</w:t>
      </w:r>
    </w:p>
    <w:p>
      <w:pPr>
        <w:spacing w:line="360" w:lineRule="auto"/>
        <w:jc w:val="center"/>
        <w:textAlignment w:val="baseline"/>
        <w:rPr>
          <w:rFonts w:ascii="宋体" w:hAnsi="宋体"/>
          <w:sz w:val="32"/>
          <w:szCs w:val="32"/>
        </w:rPr>
      </w:pPr>
      <w:r>
        <w:rPr>
          <w:rFonts w:hint="eastAsia" w:ascii="宋体" w:hAnsi="宋体"/>
          <w:sz w:val="32"/>
          <w:szCs w:val="32"/>
        </w:rPr>
        <w:drawing>
          <wp:inline distT="0" distB="0" distL="0" distR="0">
            <wp:extent cx="6329045" cy="3769360"/>
            <wp:effectExtent l="0" t="0" r="14605" b="2540"/>
            <wp:docPr id="1040" name="图片 35" descr="29e353e0ccae2e86cbda0006ca4ea31"/>
            <wp:cNvGraphicFramePr/>
            <a:graphic xmlns:a="http://schemas.openxmlformats.org/drawingml/2006/main">
              <a:graphicData uri="http://schemas.openxmlformats.org/drawingml/2006/picture">
                <pic:pic xmlns:pic="http://schemas.openxmlformats.org/drawingml/2006/picture">
                  <pic:nvPicPr>
                    <pic:cNvPr id="1040" name="图片 35" descr="29e353e0ccae2e86cbda0006ca4ea31"/>
                    <pic:cNvPicPr/>
                  </pic:nvPicPr>
                  <pic:blipFill>
                    <a:blip r:embed="rId38" cstate="print"/>
                    <a:srcRect/>
                    <a:stretch>
                      <a:fillRect/>
                    </a:stretch>
                  </pic:blipFill>
                  <pic:spPr>
                    <a:xfrm>
                      <a:off x="0" y="0"/>
                      <a:ext cx="6329045" cy="3769360"/>
                    </a:xfrm>
                    <a:prstGeom prst="rect">
                      <a:avLst/>
                    </a:prstGeom>
                    <a:ln>
                      <a:noFill/>
                    </a:ln>
                  </pic:spPr>
                </pic:pic>
              </a:graphicData>
            </a:graphic>
          </wp:inline>
        </w:drawing>
      </w:r>
    </w:p>
    <w:p>
      <w:pPr>
        <w:spacing w:line="360" w:lineRule="auto"/>
        <w:jc w:val="center"/>
        <w:textAlignment w:val="baseline"/>
        <w:rPr>
          <w:rFonts w:ascii="宋体" w:hAnsi="宋体"/>
          <w:sz w:val="24"/>
        </w:rPr>
      </w:pPr>
      <w:r>
        <w:rPr>
          <w:rFonts w:hint="eastAsia" w:ascii="宋体" w:hAnsi="宋体"/>
          <w:sz w:val="24"/>
        </w:rPr>
        <w:t>图1-</w:t>
      </w:r>
      <w:r>
        <w:rPr>
          <w:rFonts w:hint="eastAsia" w:ascii="宋体" w:hAnsi="宋体"/>
          <w:sz w:val="24"/>
          <w:lang w:val="en-US" w:eastAsia="zh-CN"/>
        </w:rPr>
        <w:t>16</w:t>
      </w:r>
      <w:r>
        <w:rPr>
          <w:rFonts w:hint="eastAsia" w:ascii="宋体" w:hAnsi="宋体"/>
          <w:sz w:val="24"/>
        </w:rPr>
        <w:t xml:space="preserve"> 雪茄烟叶晾制设施单元主体结构侧立面3</w:t>
      </w:r>
      <w:r>
        <w:rPr>
          <w:rFonts w:ascii="宋体" w:hAnsi="宋体"/>
          <w:sz w:val="24"/>
        </w:rPr>
        <w:t>D</w:t>
      </w:r>
      <w:r>
        <w:rPr>
          <w:rFonts w:hint="eastAsia" w:ascii="宋体" w:hAnsi="宋体"/>
          <w:sz w:val="24"/>
        </w:rPr>
        <w:t>示意图</w:t>
      </w:r>
    </w:p>
    <w:p>
      <w:pPr>
        <w:spacing w:line="360" w:lineRule="auto"/>
        <w:jc w:val="center"/>
        <w:textAlignment w:val="baseline"/>
        <w:rPr>
          <w:rFonts w:ascii="宋体" w:hAnsi="宋体"/>
          <w:sz w:val="32"/>
          <w:szCs w:val="32"/>
        </w:rPr>
      </w:pPr>
    </w:p>
    <w:p>
      <w:pPr>
        <w:spacing w:line="360" w:lineRule="auto"/>
        <w:jc w:val="center"/>
        <w:textAlignment w:val="baseline"/>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pStyle w:val="2"/>
        <w:rPr>
          <w:rFonts w:ascii="宋体" w:hAnsi="宋体"/>
          <w:sz w:val="24"/>
        </w:rPr>
      </w:pPr>
    </w:p>
    <w:p>
      <w:pPr>
        <w:rPr>
          <w:rFonts w:ascii="宋体" w:hAnsi="宋体"/>
        </w:rPr>
      </w:pPr>
    </w:p>
    <w:p>
      <w:pPr>
        <w:pStyle w:val="2"/>
        <w:ind w:firstLine="0" w:firstLineChars="0"/>
        <w:rPr>
          <w:rFonts w:ascii="宋体" w:hAnsi="宋体" w:cs="宋体"/>
          <w:sz w:val="32"/>
        </w:rPr>
      </w:pPr>
      <w:r>
        <w:rPr>
          <w:rFonts w:hint="eastAsia" w:ascii="宋体" w:hAnsi="宋体" w:cs="宋体"/>
          <w:sz w:val="32"/>
        </w:rPr>
        <w:t xml:space="preserve">                  采购需求清单</w:t>
      </w:r>
    </w:p>
    <w:tbl>
      <w:tblPr>
        <w:tblStyle w:val="32"/>
        <w:tblW w:w="8909" w:type="dxa"/>
        <w:tblInd w:w="93" w:type="dxa"/>
        <w:tblLayout w:type="fixed"/>
        <w:tblCellMar>
          <w:top w:w="0" w:type="dxa"/>
          <w:left w:w="108" w:type="dxa"/>
          <w:bottom w:w="0" w:type="dxa"/>
          <w:right w:w="108" w:type="dxa"/>
        </w:tblCellMar>
      </w:tblPr>
      <w:tblGrid>
        <w:gridCol w:w="670"/>
        <w:gridCol w:w="1177"/>
        <w:gridCol w:w="4708"/>
        <w:gridCol w:w="750"/>
        <w:gridCol w:w="808"/>
        <w:gridCol w:w="796"/>
      </w:tblGrid>
      <w:tr>
        <w:tblPrEx>
          <w:tblCellMar>
            <w:top w:w="0" w:type="dxa"/>
            <w:left w:w="108" w:type="dxa"/>
            <w:bottom w:w="0" w:type="dxa"/>
            <w:right w:w="108" w:type="dxa"/>
          </w:tblCellMar>
        </w:tblPrEx>
        <w:trPr>
          <w:trHeight w:val="400" w:hRule="atLeast"/>
        </w:trPr>
        <w:tc>
          <w:tcPr>
            <w:tcW w:w="8909"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一、桑植县</w:t>
            </w:r>
          </w:p>
        </w:tc>
      </w:tr>
      <w:tr>
        <w:tblPrEx>
          <w:tblCellMar>
            <w:top w:w="0" w:type="dxa"/>
            <w:left w:w="108" w:type="dxa"/>
            <w:bottom w:w="0" w:type="dxa"/>
            <w:right w:w="108" w:type="dxa"/>
          </w:tblCellMar>
        </w:tblPrEx>
        <w:trPr>
          <w:trHeight w:val="72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szCs w:val="21"/>
              </w:rPr>
            </w:pPr>
            <w:r>
              <w:rPr>
                <w:rFonts w:hint="eastAsia" w:ascii="宋体" w:hAnsi="宋体" w:cs="宋体"/>
                <w:b/>
                <w:bCs/>
                <w:kern w:val="0"/>
                <w:szCs w:val="21"/>
              </w:rPr>
              <w:t>序号</w:t>
            </w:r>
          </w:p>
        </w:tc>
        <w:tc>
          <w:tcPr>
            <w:tcW w:w="1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设备配件名称</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参数规格</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单 位</w:t>
            </w:r>
          </w:p>
        </w:tc>
        <w:tc>
          <w:tcPr>
            <w:tcW w:w="8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单座数量</w:t>
            </w:r>
          </w:p>
        </w:tc>
        <w:tc>
          <w:tcPr>
            <w:tcW w:w="7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rPr>
              <w:t>合计数量</w:t>
            </w:r>
          </w:p>
        </w:tc>
      </w:tr>
      <w:tr>
        <w:tblPrEx>
          <w:tblCellMar>
            <w:top w:w="0" w:type="dxa"/>
            <w:left w:w="108" w:type="dxa"/>
            <w:bottom w:w="0" w:type="dxa"/>
            <w:right w:w="108" w:type="dxa"/>
          </w:tblCellMar>
        </w:tblPrEx>
        <w:trPr>
          <w:trHeight w:val="574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rPr>
              <w:t>★</w:t>
            </w:r>
            <w:r>
              <w:rPr>
                <w:rFonts w:hint="eastAsia" w:ascii="宋体" w:hAnsi="宋体" w:cs="宋体"/>
                <w:kern w:val="0"/>
                <w:szCs w:val="21"/>
              </w:rPr>
              <w:t>晾房主体</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8"/>
              </w:numPr>
              <w:jc w:val="left"/>
              <w:textAlignment w:val="center"/>
              <w:rPr>
                <w:rFonts w:hint="eastAsia" w:ascii="宋体" w:hAnsi="宋体" w:cs="宋体"/>
                <w:kern w:val="0"/>
                <w:szCs w:val="21"/>
              </w:rPr>
            </w:pPr>
            <w:r>
              <w:rPr>
                <w:rFonts w:hint="eastAsia" w:ascii="宋体" w:hAnsi="宋体" w:cs="宋体"/>
                <w:kern w:val="0"/>
                <w:szCs w:val="21"/>
              </w:rPr>
              <w:t>内长30000mm、内宽7800mm、内高7000mm（含晾房顶高1050mm），晾制能力茄衣为8.5亩/座，茄芯为10亩/座。</w:t>
            </w:r>
          </w:p>
          <w:p>
            <w:pPr>
              <w:widowControl/>
              <w:numPr>
                <w:ilvl w:val="0"/>
                <w:numId w:val="8"/>
              </w:numPr>
              <w:ind w:left="0" w:leftChars="0" w:firstLine="0" w:firstLineChars="0"/>
              <w:jc w:val="left"/>
              <w:textAlignment w:val="center"/>
              <w:rPr>
                <w:rFonts w:hint="eastAsia" w:ascii="宋体" w:hAnsi="宋体" w:cs="宋体"/>
                <w:kern w:val="0"/>
                <w:szCs w:val="21"/>
              </w:rPr>
            </w:pPr>
            <w:r>
              <w:rPr>
                <w:rFonts w:hint="eastAsia" w:ascii="宋体" w:hAnsi="宋体" w:cs="宋体"/>
                <w:kern w:val="0"/>
                <w:szCs w:val="21"/>
              </w:rPr>
              <w:t>晾房正面前后大门规格均为2700mm×3050mm，热镀锌方管门框规格:60*60*2.0mm；四周排湿窗规格为1200mm×1200mm，开启方式采用自动翻转式；四周强制通风风机规格</w:t>
            </w:r>
            <w:r>
              <w:rPr>
                <w:rFonts w:ascii="Verdana" w:hAnsi="Verdana" w:cs="Verdana"/>
                <w:sz w:val="19"/>
                <w:szCs w:val="19"/>
                <w:shd w:val="clear" w:color="auto" w:fill="FFFFFF"/>
              </w:rPr>
              <w:t>≤</w:t>
            </w:r>
            <w:r>
              <w:rPr>
                <w:rFonts w:hint="eastAsia" w:ascii="宋体" w:hAnsi="宋体" w:cs="宋体"/>
                <w:kern w:val="0"/>
                <w:szCs w:val="21"/>
              </w:rPr>
              <w:t>100W；屋顶扰流风机</w:t>
            </w:r>
            <w:r>
              <w:rPr>
                <w:rFonts w:ascii="Verdana" w:hAnsi="Verdana" w:cs="Verdana"/>
                <w:sz w:val="19"/>
                <w:szCs w:val="19"/>
                <w:shd w:val="clear" w:color="auto" w:fill="FFFFFF"/>
              </w:rPr>
              <w:t>≤</w:t>
            </w:r>
            <w:r>
              <w:rPr>
                <w:rFonts w:hint="eastAsia" w:ascii="宋体" w:hAnsi="宋体" w:cs="宋体"/>
                <w:kern w:val="0"/>
                <w:szCs w:val="21"/>
              </w:rPr>
              <w:t>100W；晾烟架净高5700mm，共7台，底台距地面1500mm，2台至7台之间的台距均为700mm，装杆长1500mm。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3.1、</w:t>
            </w:r>
            <w:r>
              <w:rPr>
                <w:rFonts w:hint="eastAsia" w:ascii="宋体" w:hAnsi="宋体" w:cs="宋体"/>
                <w:kern w:val="0"/>
                <w:szCs w:val="21"/>
              </w:rPr>
              <w:t>晾房墙体采用50mm彩钢聚安酯板材（彩钢厚度≥0.3mm，BPS芯衬容重不小于38kg/m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），屋面采用50mm彩钢聚安酯板材（彩钢厚度≥0.3mm，BPS芯衬容重不小于38kg/m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3.2、</w:t>
            </w:r>
            <w:r>
              <w:rPr>
                <w:rFonts w:hint="eastAsia" w:ascii="宋体" w:hAnsi="宋体" w:cs="宋体"/>
                <w:kern w:val="0"/>
                <w:szCs w:val="21"/>
              </w:rPr>
              <w:t>墙体立柱120mm×120mm热镀锌方管（壁厚≥3mm）；晾房顶横梁80 mm×80mm热镀锌方管（壁厚≥2mm）、加固斜撑40 mm×60mm热镀锌方管（壁厚≥2mm）、檩条40 mm×80mmC型钢（壁厚≥2mm）；</w:t>
            </w:r>
            <w:r>
              <w:rPr>
                <w:rFonts w:hint="eastAsia" w:ascii="宋体" w:hAnsi="宋体" w:cs="宋体"/>
                <w:kern w:val="0"/>
                <w:szCs w:val="21"/>
                <w:lang w:val="en-US" w:eastAsia="zh-CN"/>
              </w:rPr>
              <w:t>3.3、</w:t>
            </w:r>
            <w:r>
              <w:rPr>
                <w:rFonts w:hint="eastAsia" w:ascii="宋体" w:hAnsi="宋体" w:cs="宋体"/>
                <w:kern w:val="0"/>
                <w:szCs w:val="21"/>
              </w:rPr>
              <w:t>晾烟架采用60mm×60mm热镀锌方管（壁厚≥2mm）和40mm×60mm热镀锌方管（壁厚≥2mm）搭建；</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3.4、</w:t>
            </w:r>
            <w:r>
              <w:rPr>
                <w:rFonts w:hint="eastAsia" w:ascii="宋体" w:hAnsi="宋体" w:cs="宋体"/>
                <w:kern w:val="0"/>
                <w:szCs w:val="21"/>
              </w:rPr>
              <w:t>门芯（窗芯）材质与墙体一致，门框材质为60 mm×60mm热镀锌方管（壁厚≥2mm），用密封胶条进行密封处理；</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3.5、</w:t>
            </w:r>
            <w:r>
              <w:rPr>
                <w:rFonts w:hint="eastAsia" w:ascii="宋体" w:hAnsi="宋体" w:cs="宋体"/>
                <w:kern w:val="0"/>
                <w:szCs w:val="21"/>
              </w:rPr>
              <w:t>四周排湿窗框材质为30mm×50mmU型条（壁厚≥1mm），翻板材质为1mm镀锌板；</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3.6、</w:t>
            </w:r>
            <w:r>
              <w:rPr>
                <w:rFonts w:hint="eastAsia" w:ascii="宋体" w:hAnsi="宋体" w:cs="宋体"/>
                <w:kern w:val="0"/>
                <w:szCs w:val="21"/>
              </w:rPr>
              <w:t>室内地坪为本土夯实，高出室外地坪200mm；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晾房屋顶采用轻钢骨架连接成为一个整体，彩钢板安置拉筋的上端；</w:t>
            </w:r>
          </w:p>
          <w:p>
            <w:pPr>
              <w:widowControl/>
              <w:numPr>
                <w:ilvl w:val="0"/>
                <w:numId w:val="0"/>
              </w:numPr>
              <w:ind w:leftChars="0"/>
              <w:jc w:val="left"/>
              <w:textAlignment w:val="center"/>
              <w:rPr>
                <w:rFonts w:ascii="宋体" w:hAnsi="宋体" w:cs="宋体"/>
                <w:szCs w:val="21"/>
              </w:rPr>
            </w:pPr>
            <w:r>
              <w:rPr>
                <w:rFonts w:hint="eastAsia" w:ascii="宋体" w:hAnsi="宋体" w:cs="宋体"/>
                <w:kern w:val="0"/>
                <w:szCs w:val="21"/>
                <w:lang w:val="en-US" w:eastAsia="zh-CN"/>
              </w:rPr>
              <w:t>3.7、</w:t>
            </w:r>
            <w:r>
              <w:rPr>
                <w:rFonts w:hint="eastAsia" w:ascii="宋体" w:hAnsi="宋体" w:cs="宋体"/>
                <w:kern w:val="0"/>
                <w:szCs w:val="21"/>
              </w:rPr>
              <w:t>在保障晾房功能和安全牢固的前提下，可选用其他更环保耐用材质建造晾房。满足晾房主体使用年限不低于10年。</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162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编烟棚</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钢绗架品种、规格:热镀锌方管，Q235B</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单榀质量:1.5t以内</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钢檩条品种、规格:C80*40*15*2.0mm</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刷漆要求:焊缝处按设计要求补刷油漆</w:t>
            </w:r>
          </w:p>
          <w:p>
            <w:pPr>
              <w:widowControl/>
              <w:numPr>
                <w:ilvl w:val="0"/>
                <w:numId w:val="9"/>
              </w:numPr>
              <w:jc w:val="left"/>
              <w:textAlignment w:val="center"/>
              <w:rPr>
                <w:rFonts w:ascii="宋体" w:hAnsi="宋体" w:cs="宋体"/>
                <w:kern w:val="0"/>
                <w:szCs w:val="21"/>
              </w:rPr>
            </w:pPr>
            <w:r>
              <w:rPr>
                <w:rFonts w:hint="eastAsia" w:ascii="宋体" w:hAnsi="宋体" w:cs="宋体"/>
                <w:kern w:val="0"/>
                <w:szCs w:val="21"/>
              </w:rPr>
              <w:t>屋面材料规格:0.3mm单层彩钢板，</w:t>
            </w:r>
          </w:p>
          <w:p>
            <w:pPr>
              <w:widowControl/>
              <w:jc w:val="left"/>
              <w:textAlignment w:val="center"/>
              <w:rPr>
                <w:rFonts w:ascii="宋体" w:hAnsi="宋体" w:cs="宋体"/>
                <w:szCs w:val="21"/>
              </w:rPr>
            </w:pPr>
            <w:r>
              <w:rPr>
                <w:rFonts w:hint="eastAsia" w:ascii="宋体" w:hAnsi="宋体" w:cs="宋体"/>
                <w:kern w:val="0"/>
                <w:szCs w:val="21"/>
              </w:rPr>
              <w:t>6.屋面天沟钢材规格:1.2mm镀锌彩钢板。</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0.5</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13</w:t>
            </w:r>
          </w:p>
        </w:tc>
      </w:tr>
      <w:tr>
        <w:tblPrEx>
          <w:tblCellMar>
            <w:top w:w="0" w:type="dxa"/>
            <w:left w:w="108" w:type="dxa"/>
            <w:bottom w:w="0" w:type="dxa"/>
            <w:right w:w="108" w:type="dxa"/>
          </w:tblCellMar>
        </w:tblPrEx>
        <w:trPr>
          <w:trHeight w:val="106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保温水箱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1.名称：保温水箱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2.材质：不锈钢</w:t>
            </w:r>
          </w:p>
          <w:p>
            <w:pPr>
              <w:widowControl/>
              <w:jc w:val="left"/>
              <w:textAlignment w:val="center"/>
              <w:rPr>
                <w:rStyle w:val="279"/>
                <w:rFonts w:hint="eastAsia" w:eastAsia="宋体"/>
                <w:color w:val="auto"/>
                <w:sz w:val="21"/>
                <w:szCs w:val="21"/>
                <w:lang w:eastAsia="zh-CN"/>
              </w:rPr>
            </w:pPr>
            <w:r>
              <w:rPr>
                <w:rFonts w:hint="eastAsia" w:ascii="宋体" w:hAnsi="宋体" w:cs="宋体"/>
                <w:kern w:val="0"/>
                <w:szCs w:val="21"/>
              </w:rPr>
              <w:t>3.容积：0.5m</w:t>
            </w:r>
            <w:r>
              <w:rPr>
                <w:rStyle w:val="279"/>
                <w:rFonts w:hint="default"/>
                <w:color w:val="auto"/>
                <w:sz w:val="21"/>
                <w:szCs w:val="21"/>
              </w:rPr>
              <w:t>3</w:t>
            </w:r>
          </w:p>
          <w:p>
            <w:pPr>
              <w:widowControl/>
              <w:jc w:val="left"/>
              <w:textAlignment w:val="center"/>
              <w:rPr>
                <w:rFonts w:ascii="宋体" w:hAnsi="宋体" w:cs="宋体"/>
                <w:szCs w:val="21"/>
              </w:rPr>
            </w:pPr>
            <w:r>
              <w:rPr>
                <w:rFonts w:hint="eastAsia" w:ascii="宋体" w:hAnsi="宋体" w:cs="宋体"/>
                <w:kern w:val="0"/>
                <w:szCs w:val="21"/>
              </w:rPr>
              <w:t>4.其他:包含0.6米高支架及管路安装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szCs w:val="21"/>
                <w:lang w:val="en-US" w:eastAsia="zh-CN"/>
              </w:rPr>
            </w:pPr>
            <w:r>
              <w:rPr>
                <w:rFonts w:hint="eastAsia" w:ascii="宋体" w:hAnsi="宋体" w:cs="宋体"/>
                <w:kern w:val="0"/>
                <w:szCs w:val="21"/>
                <w:lang w:val="en-US" w:eastAsia="zh-CN"/>
              </w:rPr>
              <w:t>13</w:t>
            </w:r>
          </w:p>
        </w:tc>
      </w:tr>
      <w:tr>
        <w:tblPrEx>
          <w:tblCellMar>
            <w:top w:w="0" w:type="dxa"/>
            <w:left w:w="108" w:type="dxa"/>
            <w:bottom w:w="0" w:type="dxa"/>
            <w:right w:w="108" w:type="dxa"/>
          </w:tblCellMar>
        </w:tblPrEx>
        <w:trPr>
          <w:trHeight w:val="7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4</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翅片散热管</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1.钢材品种、规格:DN32翅片管，Q235</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2.表面做防锈处理</w:t>
            </w:r>
          </w:p>
          <w:p>
            <w:pPr>
              <w:widowControl/>
              <w:jc w:val="left"/>
              <w:textAlignment w:val="center"/>
              <w:rPr>
                <w:rFonts w:ascii="宋体" w:hAnsi="宋体" w:cs="宋体"/>
                <w:szCs w:val="21"/>
              </w:rPr>
            </w:pPr>
            <w:r>
              <w:rPr>
                <w:rFonts w:hint="eastAsia" w:ascii="宋体" w:hAnsi="宋体" w:cs="宋体"/>
                <w:kern w:val="0"/>
                <w:szCs w:val="21"/>
              </w:rPr>
              <w:t>3.刷漆要求:焊缝处按设计要求补刷油漆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米</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168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4368</w:t>
            </w:r>
          </w:p>
        </w:tc>
      </w:tr>
      <w:tr>
        <w:tblPrEx>
          <w:tblCellMar>
            <w:top w:w="0" w:type="dxa"/>
            <w:left w:w="108" w:type="dxa"/>
            <w:bottom w:w="0" w:type="dxa"/>
            <w:right w:w="108" w:type="dxa"/>
          </w:tblCellMar>
        </w:tblPrEx>
        <w:trPr>
          <w:trHeight w:val="5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5</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过滤器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1.名称：过滤器</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8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6</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金属百叶窗</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1.窗代号及洞口尺寸:C1212 ，1200X1200mm</w:t>
            </w:r>
          </w:p>
          <w:p>
            <w:pPr>
              <w:widowControl/>
              <w:jc w:val="left"/>
              <w:textAlignment w:val="center"/>
              <w:rPr>
                <w:rFonts w:ascii="宋体" w:hAnsi="宋体" w:cs="宋体"/>
                <w:szCs w:val="21"/>
              </w:rPr>
            </w:pPr>
            <w:r>
              <w:rPr>
                <w:rFonts w:hint="eastAsia" w:ascii="宋体" w:hAnsi="宋体" w:cs="宋体"/>
                <w:kern w:val="0"/>
                <w:szCs w:val="21"/>
              </w:rPr>
              <w:t>2.框、扇材质: 1.5mm厚热镀锌板U型包边处理，1.2mm厚冷轧板翻板电动百叶窗</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樘</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36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936</w:t>
            </w:r>
          </w:p>
        </w:tc>
      </w:tr>
      <w:tr>
        <w:tblPrEx>
          <w:tblCellMar>
            <w:top w:w="0" w:type="dxa"/>
            <w:left w:w="108" w:type="dxa"/>
            <w:bottom w:w="0" w:type="dxa"/>
            <w:right w:w="108" w:type="dxa"/>
          </w:tblCellMar>
        </w:tblPrEx>
        <w:trPr>
          <w:trHeight w:val="5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7</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轴流通风机</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1.名称:排湿风机</w:t>
            </w:r>
          </w:p>
          <w:p>
            <w:pPr>
              <w:widowControl/>
              <w:jc w:val="left"/>
              <w:textAlignment w:val="center"/>
              <w:rPr>
                <w:rFonts w:ascii="宋体" w:hAnsi="宋体" w:cs="宋体"/>
                <w:szCs w:val="21"/>
              </w:rPr>
            </w:pPr>
            <w:r>
              <w:rPr>
                <w:rFonts w:hint="eastAsia" w:ascii="宋体" w:hAnsi="宋体" w:cs="宋体"/>
                <w:kern w:val="0"/>
                <w:szCs w:val="21"/>
              </w:rPr>
              <w:t>2.规格:180W</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572</w:t>
            </w:r>
          </w:p>
        </w:tc>
      </w:tr>
      <w:tr>
        <w:tblPrEx>
          <w:tblCellMar>
            <w:top w:w="0" w:type="dxa"/>
            <w:left w:w="108" w:type="dxa"/>
            <w:bottom w:w="0" w:type="dxa"/>
            <w:right w:w="108" w:type="dxa"/>
          </w:tblCellMar>
        </w:tblPrEx>
        <w:trPr>
          <w:trHeight w:val="7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配电箱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1.名称:晾晒房配电箱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2.型号:AX</w:t>
            </w:r>
          </w:p>
          <w:p>
            <w:pPr>
              <w:widowControl/>
              <w:jc w:val="left"/>
              <w:textAlignment w:val="center"/>
              <w:rPr>
                <w:rFonts w:ascii="宋体" w:hAnsi="宋体" w:cs="宋体"/>
                <w:szCs w:val="21"/>
              </w:rPr>
            </w:pPr>
            <w:r>
              <w:rPr>
                <w:rFonts w:hint="eastAsia" w:ascii="宋体" w:hAnsi="宋体" w:cs="宋体"/>
                <w:kern w:val="0"/>
                <w:szCs w:val="21"/>
              </w:rPr>
              <w:t>3.安装方式:挂墙明装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9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9</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控制箱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 xml:space="preserve">1.外形尺寸：500*800*180mm 2.工作电压：AC380V 3.防护等级：≥IP54 4.额定电流：不小于 30A 5.可满足配置设备和照明的使用及独立控制要求， 具有漏电、过载保护功能 </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8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地源(水源)热泵机组</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1.供电电压:AC380V±20%，三相四线制;热泵热水加热定输入功率:10KW，含循环热泵，加热最高温度:55C</w:t>
            </w:r>
          </w:p>
          <w:p>
            <w:pPr>
              <w:widowControl/>
              <w:jc w:val="left"/>
              <w:textAlignment w:val="center"/>
              <w:rPr>
                <w:rFonts w:ascii="宋体" w:hAnsi="宋体" w:cs="宋体"/>
                <w:szCs w:val="21"/>
              </w:rPr>
            </w:pPr>
            <w:r>
              <w:rPr>
                <w:rFonts w:hint="eastAsia" w:ascii="宋体" w:hAnsi="宋体" w:cs="宋体"/>
                <w:kern w:val="0"/>
                <w:szCs w:val="21"/>
              </w:rPr>
              <w:t>2.其他:包含热泵基础和阀门水箱等附配件</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szCs w:val="21"/>
                <w:lang w:val="en-US" w:eastAsia="zh-CN"/>
              </w:rPr>
            </w:pPr>
            <w:r>
              <w:rPr>
                <w:rFonts w:hint="eastAsia" w:ascii="宋体" w:hAnsi="宋体" w:cs="宋体"/>
                <w:kern w:val="0"/>
                <w:szCs w:val="21"/>
                <w:lang w:val="en-US" w:eastAsia="zh-CN"/>
              </w:rPr>
              <w:t>13</w:t>
            </w:r>
          </w:p>
        </w:tc>
      </w:tr>
      <w:tr>
        <w:tblPrEx>
          <w:tblCellMar>
            <w:top w:w="0" w:type="dxa"/>
            <w:left w:w="108" w:type="dxa"/>
            <w:bottom w:w="0" w:type="dxa"/>
            <w:right w:w="108" w:type="dxa"/>
          </w:tblCellMar>
        </w:tblPrEx>
        <w:trPr>
          <w:trHeight w:val="9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11</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加湿设备</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1.名称:超声波纳米加湿器</w:t>
            </w:r>
          </w:p>
          <w:p>
            <w:pPr>
              <w:widowControl/>
              <w:jc w:val="left"/>
              <w:textAlignment w:val="center"/>
              <w:rPr>
                <w:rFonts w:ascii="宋体" w:hAnsi="宋体" w:cs="宋体"/>
                <w:szCs w:val="21"/>
              </w:rPr>
            </w:pPr>
            <w:r>
              <w:rPr>
                <w:rFonts w:hint="eastAsia" w:ascii="宋体" w:hAnsi="宋体" w:cs="宋体"/>
                <w:kern w:val="0"/>
                <w:szCs w:val="21"/>
              </w:rPr>
              <w:t>2.加湿量30kg/h，相对湿度控制在35-90%；3.工作电压 AC220V，单机功率 ≤2000W； 4.水分子颗粒≤5μm,加湿精度±5%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26</w:t>
            </w:r>
          </w:p>
        </w:tc>
      </w:tr>
      <w:tr>
        <w:tblPrEx>
          <w:tblCellMar>
            <w:top w:w="0" w:type="dxa"/>
            <w:left w:w="108" w:type="dxa"/>
            <w:bottom w:w="0" w:type="dxa"/>
            <w:right w:w="108" w:type="dxa"/>
          </w:tblCellMar>
        </w:tblPrEx>
        <w:trPr>
          <w:trHeight w:val="44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水泵</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1.扬程16m，流量7.8吨，口径50，输出功率750w，电压220V</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52</w:t>
            </w:r>
          </w:p>
        </w:tc>
      </w:tr>
      <w:tr>
        <w:tblPrEx>
          <w:tblCellMar>
            <w:top w:w="0" w:type="dxa"/>
            <w:left w:w="108" w:type="dxa"/>
            <w:bottom w:w="0" w:type="dxa"/>
            <w:right w:w="108" w:type="dxa"/>
          </w:tblCellMar>
        </w:tblPrEx>
        <w:trPr>
          <w:trHeight w:val="62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阀门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1.名称：球阀</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312</w:t>
            </w:r>
          </w:p>
        </w:tc>
      </w:tr>
      <w:tr>
        <w:tblPrEx>
          <w:tblCellMar>
            <w:top w:w="0" w:type="dxa"/>
            <w:left w:w="108" w:type="dxa"/>
            <w:bottom w:w="0" w:type="dxa"/>
            <w:right w:w="108" w:type="dxa"/>
          </w:tblCellMar>
        </w:tblPrEx>
        <w:trPr>
          <w:trHeight w:val="340" w:hRule="atLeast"/>
        </w:trPr>
        <w:tc>
          <w:tcPr>
            <w:tcW w:w="8909"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二、慈利县</w:t>
            </w:r>
          </w:p>
        </w:tc>
      </w:tr>
      <w:tr>
        <w:tblPrEx>
          <w:tblCellMar>
            <w:top w:w="0" w:type="dxa"/>
            <w:left w:w="108" w:type="dxa"/>
            <w:bottom w:w="0" w:type="dxa"/>
            <w:right w:w="108" w:type="dxa"/>
          </w:tblCellMar>
        </w:tblPrEx>
        <w:trPr>
          <w:trHeight w:val="6375"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rPr>
              <w:t>★</w:t>
            </w:r>
            <w:r>
              <w:rPr>
                <w:rFonts w:hint="eastAsia" w:ascii="宋体" w:hAnsi="宋体" w:cs="宋体"/>
                <w:kern w:val="0"/>
                <w:szCs w:val="21"/>
              </w:rPr>
              <w:t>晾房主体</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0"/>
              </w:numPr>
              <w:jc w:val="left"/>
              <w:textAlignment w:val="center"/>
              <w:rPr>
                <w:rFonts w:hint="eastAsia" w:ascii="宋体" w:hAnsi="宋体" w:cs="宋体"/>
                <w:kern w:val="0"/>
                <w:szCs w:val="21"/>
              </w:rPr>
            </w:pPr>
            <w:r>
              <w:rPr>
                <w:rFonts w:hint="eastAsia" w:ascii="宋体" w:hAnsi="宋体" w:cs="宋体"/>
                <w:kern w:val="0"/>
                <w:szCs w:val="21"/>
              </w:rPr>
              <w:t>内长30000mm、内宽7800mm、内高7000mm（含晾房顶高1050mm），晾制能力茄衣为8.5亩/座，茄芯为10亩/座。</w:t>
            </w:r>
          </w:p>
          <w:p>
            <w:pPr>
              <w:widowControl/>
              <w:numPr>
                <w:ilvl w:val="0"/>
                <w:numId w:val="10"/>
              </w:numPr>
              <w:ind w:left="0" w:leftChars="0" w:firstLine="0" w:firstLineChars="0"/>
              <w:jc w:val="left"/>
              <w:textAlignment w:val="center"/>
              <w:rPr>
                <w:rFonts w:hint="eastAsia" w:ascii="宋体" w:hAnsi="宋体" w:cs="宋体"/>
                <w:kern w:val="0"/>
                <w:szCs w:val="21"/>
              </w:rPr>
            </w:pPr>
            <w:r>
              <w:rPr>
                <w:rFonts w:hint="eastAsia" w:ascii="宋体" w:hAnsi="宋体" w:cs="宋体"/>
                <w:kern w:val="0"/>
                <w:szCs w:val="21"/>
              </w:rPr>
              <w:t>晾房正面前后大门规格均为2700mm×3050mm，热镀锌方管门框规格:60*60*2.0mm；四周排湿窗规格为1200mm×1200mm，开启方式采用自动翻转式；四周强制通风风机规格</w:t>
            </w:r>
            <w:r>
              <w:rPr>
                <w:rFonts w:ascii="Verdana" w:hAnsi="Verdana" w:cs="Verdana"/>
                <w:sz w:val="19"/>
                <w:szCs w:val="19"/>
                <w:shd w:val="clear" w:color="auto" w:fill="FFFFFF"/>
              </w:rPr>
              <w:t>≤</w:t>
            </w:r>
            <w:r>
              <w:rPr>
                <w:rFonts w:hint="eastAsia" w:ascii="宋体" w:hAnsi="宋体" w:cs="宋体"/>
                <w:kern w:val="0"/>
                <w:szCs w:val="21"/>
              </w:rPr>
              <w:t>100W；屋顶扰流风机</w:t>
            </w:r>
            <w:r>
              <w:rPr>
                <w:rFonts w:ascii="Verdana" w:hAnsi="Verdana" w:cs="Verdana"/>
                <w:sz w:val="19"/>
                <w:szCs w:val="19"/>
                <w:shd w:val="clear" w:color="auto" w:fill="FFFFFF"/>
              </w:rPr>
              <w:t>≤</w:t>
            </w:r>
            <w:r>
              <w:rPr>
                <w:rFonts w:hint="eastAsia" w:ascii="宋体" w:hAnsi="宋体" w:cs="宋体"/>
                <w:kern w:val="0"/>
                <w:szCs w:val="21"/>
              </w:rPr>
              <w:t>100W；晾烟架净高5700mm，共7台，底台距地面1500mm，2台至7台之间的台距均为700mm，装杆长1500mm。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3.1、</w:t>
            </w:r>
            <w:r>
              <w:rPr>
                <w:rFonts w:hint="eastAsia" w:ascii="宋体" w:hAnsi="宋体" w:cs="宋体"/>
                <w:kern w:val="0"/>
                <w:szCs w:val="21"/>
              </w:rPr>
              <w:t>晾房墙体采用50mm彩钢聚安酯板材（彩钢厚度≥0.3mm，BPS芯衬容重不小于38kg/m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），屋面采用彩钢聚安酯板材（彩钢厚度≥0.3mm，BPS芯衬容重不小于38kg/m</w:t>
            </w:r>
            <w:r>
              <w:rPr>
                <w:rFonts w:hint="eastAsia" w:ascii="宋体" w:hAnsi="宋体" w:cs="宋体"/>
                <w:kern w:val="0"/>
                <w:szCs w:val="21"/>
                <w:vertAlign w:val="superscript"/>
              </w:rPr>
              <w:t>3</w:t>
            </w:r>
            <w:r>
              <w:rPr>
                <w:rFonts w:hint="eastAsia" w:ascii="宋体" w:hAnsi="宋体" w:cs="宋体"/>
                <w:kern w:val="0"/>
                <w:szCs w:val="21"/>
              </w:rPr>
              <w:t>）；</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3.2、</w:t>
            </w:r>
            <w:r>
              <w:rPr>
                <w:rFonts w:hint="eastAsia" w:ascii="宋体" w:hAnsi="宋体" w:cs="宋体"/>
                <w:kern w:val="0"/>
                <w:szCs w:val="21"/>
              </w:rPr>
              <w:t>墙体立柱120mm×120mm热镀锌方管（壁厚≥3mm）；</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3.3、</w:t>
            </w:r>
            <w:r>
              <w:rPr>
                <w:rFonts w:hint="eastAsia" w:ascii="宋体" w:hAnsi="宋体" w:cs="宋体"/>
                <w:kern w:val="0"/>
                <w:szCs w:val="21"/>
              </w:rPr>
              <w:t>晾房顶横梁80 mm×80mm热镀锌方管（壁厚≥2mm）、加固斜撑40 mm×60mm热镀锌方管（壁厚≥2mm）、檩条40 mm×80mmC型钢（壁厚≥2mm）；</w:t>
            </w:r>
            <w:r>
              <w:rPr>
                <w:rFonts w:hint="eastAsia" w:ascii="宋体" w:hAnsi="宋体" w:cs="宋体"/>
                <w:kern w:val="0"/>
                <w:szCs w:val="21"/>
                <w:lang w:val="en-US" w:eastAsia="zh-CN"/>
              </w:rPr>
              <w:t>3.4、</w:t>
            </w:r>
            <w:r>
              <w:rPr>
                <w:rFonts w:hint="eastAsia" w:ascii="宋体" w:hAnsi="宋体" w:cs="宋体"/>
                <w:kern w:val="0"/>
                <w:szCs w:val="21"/>
              </w:rPr>
              <w:t>晾烟架采用60mm×60mm热镀锌方管（壁厚≥2mm）和40mm×60mm热镀锌方管（壁厚≥2mm）搭建；</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3.5、</w:t>
            </w:r>
            <w:r>
              <w:rPr>
                <w:rFonts w:hint="eastAsia" w:ascii="宋体" w:hAnsi="宋体" w:cs="宋体"/>
                <w:kern w:val="0"/>
                <w:szCs w:val="21"/>
              </w:rPr>
              <w:t>门芯（窗芯）材质与墙体一致，门框材质为60 mm×60mm热镀锌方管（壁厚≥2mm），用密封胶条进行密封处理；</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3.6、</w:t>
            </w:r>
            <w:r>
              <w:rPr>
                <w:rFonts w:hint="eastAsia" w:ascii="宋体" w:hAnsi="宋体" w:cs="宋体"/>
                <w:kern w:val="0"/>
                <w:szCs w:val="21"/>
              </w:rPr>
              <w:t>四周排湿窗框材质为30mm×50mmU型条（壁厚≥1mm），翻板材质为1mm镀锌板；</w:t>
            </w:r>
          </w:p>
          <w:p>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lang w:val="en-US" w:eastAsia="zh-CN"/>
              </w:rPr>
              <w:t>3.7</w:t>
            </w:r>
            <w:r>
              <w:rPr>
                <w:rFonts w:hint="eastAsia" w:ascii="宋体" w:hAnsi="宋体" w:cs="宋体"/>
                <w:kern w:val="0"/>
                <w:szCs w:val="21"/>
              </w:rPr>
              <w:t>室内地坪为本土夯实，高出室外地坪200mm；晾房屋顶采用轻钢骨架连接成为一个整体，彩钢板安置拉筋的上端；</w:t>
            </w:r>
          </w:p>
          <w:p>
            <w:pPr>
              <w:widowControl/>
              <w:numPr>
                <w:ilvl w:val="0"/>
                <w:numId w:val="0"/>
              </w:numPr>
              <w:ind w:leftChars="0"/>
              <w:jc w:val="left"/>
              <w:textAlignment w:val="center"/>
              <w:rPr>
                <w:rFonts w:ascii="宋体" w:hAnsi="宋体" w:cs="宋体"/>
                <w:szCs w:val="21"/>
              </w:rPr>
            </w:pPr>
            <w:r>
              <w:rPr>
                <w:rFonts w:hint="eastAsia" w:ascii="宋体" w:hAnsi="宋体" w:cs="宋体"/>
                <w:kern w:val="0"/>
                <w:szCs w:val="21"/>
                <w:lang w:val="en-US" w:eastAsia="zh-CN"/>
              </w:rPr>
              <w:t>3.8</w:t>
            </w:r>
            <w:r>
              <w:rPr>
                <w:rFonts w:hint="eastAsia" w:ascii="宋体" w:hAnsi="宋体" w:cs="宋体"/>
                <w:kern w:val="0"/>
                <w:szCs w:val="21"/>
              </w:rPr>
              <w:t>在保障晾房功能和安全牢固的前提下，可选用其他更环保耐用材质建造晾房。满足晾房主体使用年限不低于10年。</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1530" w:hRule="atLeast"/>
        </w:trPr>
        <w:tc>
          <w:tcPr>
            <w:tcW w:w="6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1177"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szCs w:val="21"/>
              </w:rPr>
            </w:pPr>
            <w:r>
              <w:rPr>
                <w:rFonts w:hint="eastAsia" w:ascii="宋体" w:hAnsi="宋体" w:cs="宋体"/>
                <w:kern w:val="0"/>
                <w:szCs w:val="21"/>
              </w:rPr>
              <w:t>编烟棚</w:t>
            </w:r>
          </w:p>
        </w:tc>
        <w:tc>
          <w:tcPr>
            <w:tcW w:w="470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钢绗架品种、规格:热镀锌方管，Q235B</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2.单榀质量:1.5t以内</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3.钢檩条品种、规格:C80*40*15*2.0mm</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4.刷漆要求:焊缝处按设计要求补刷油漆</w:t>
            </w:r>
          </w:p>
          <w:p>
            <w:pPr>
              <w:widowControl/>
              <w:numPr>
                <w:ilvl w:val="0"/>
                <w:numId w:val="11"/>
              </w:numPr>
              <w:jc w:val="left"/>
              <w:textAlignment w:val="center"/>
              <w:rPr>
                <w:rFonts w:ascii="宋体" w:hAnsi="宋体" w:cs="宋体"/>
                <w:kern w:val="0"/>
                <w:szCs w:val="21"/>
              </w:rPr>
            </w:pPr>
            <w:r>
              <w:rPr>
                <w:rFonts w:hint="eastAsia" w:ascii="宋体" w:hAnsi="宋体" w:cs="宋体"/>
                <w:kern w:val="0"/>
                <w:szCs w:val="21"/>
              </w:rPr>
              <w:t>5.屋面材料规格:0.3mm单层彩钢板，</w:t>
            </w:r>
          </w:p>
          <w:p>
            <w:pPr>
              <w:widowControl/>
              <w:jc w:val="left"/>
              <w:textAlignment w:val="center"/>
              <w:rPr>
                <w:rFonts w:ascii="宋体" w:hAnsi="宋体" w:cs="宋体"/>
                <w:szCs w:val="21"/>
              </w:rPr>
            </w:pPr>
            <w:r>
              <w:rPr>
                <w:rFonts w:hint="eastAsia" w:ascii="宋体" w:hAnsi="宋体" w:cs="宋体"/>
                <w:kern w:val="0"/>
                <w:szCs w:val="21"/>
              </w:rPr>
              <w:t>6.屋面天沟钢材规格:1.2mm镀锌彩钢板。</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0.5</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5</w:t>
            </w:r>
          </w:p>
        </w:tc>
      </w:tr>
      <w:tr>
        <w:tblPrEx>
          <w:tblCellMar>
            <w:top w:w="0" w:type="dxa"/>
            <w:left w:w="108" w:type="dxa"/>
            <w:bottom w:w="0" w:type="dxa"/>
            <w:right w:w="108" w:type="dxa"/>
          </w:tblCellMar>
        </w:tblPrEx>
        <w:trPr>
          <w:trHeight w:val="91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保温水箱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1.名称：保温水箱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2.材质：不锈钢</w:t>
            </w:r>
          </w:p>
          <w:p>
            <w:pPr>
              <w:widowControl/>
              <w:jc w:val="left"/>
              <w:textAlignment w:val="center"/>
              <w:rPr>
                <w:rFonts w:hint="eastAsia" w:ascii="宋体" w:hAnsi="宋体" w:eastAsia="宋体" w:cs="宋体"/>
                <w:kern w:val="0"/>
                <w:szCs w:val="21"/>
                <w:vertAlign w:val="superscript"/>
                <w:lang w:eastAsia="zh-CN"/>
              </w:rPr>
            </w:pPr>
            <w:r>
              <w:rPr>
                <w:rFonts w:hint="eastAsia" w:ascii="宋体" w:hAnsi="宋体" w:cs="宋体"/>
                <w:kern w:val="0"/>
                <w:szCs w:val="21"/>
              </w:rPr>
              <w:t>3.容积：0.5m</w:t>
            </w:r>
            <w:r>
              <w:rPr>
                <w:rFonts w:hint="eastAsia" w:ascii="宋体" w:hAnsi="宋体" w:cs="宋体"/>
                <w:kern w:val="0"/>
                <w:szCs w:val="21"/>
                <w:vertAlign w:val="superscript"/>
              </w:rPr>
              <w:t>3</w:t>
            </w:r>
          </w:p>
          <w:p>
            <w:pPr>
              <w:widowControl/>
              <w:jc w:val="left"/>
              <w:textAlignment w:val="center"/>
              <w:rPr>
                <w:rFonts w:ascii="宋体" w:hAnsi="宋体" w:cs="宋体"/>
                <w:szCs w:val="21"/>
              </w:rPr>
            </w:pPr>
            <w:r>
              <w:rPr>
                <w:rFonts w:hint="eastAsia" w:ascii="宋体" w:hAnsi="宋体" w:cs="宋体"/>
                <w:kern w:val="0"/>
                <w:szCs w:val="21"/>
              </w:rPr>
              <w:t>4.其他:包含0.6米高支架及管路安装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szCs w:val="21"/>
                <w:lang w:eastAsia="zh-CN"/>
              </w:rPr>
            </w:pPr>
            <w:r>
              <w:rPr>
                <w:rFonts w:hint="eastAsia" w:ascii="宋体" w:hAnsi="宋体" w:cs="宋体"/>
                <w:kern w:val="0"/>
                <w:szCs w:val="21"/>
                <w:lang w:val="en-US" w:eastAsia="zh-CN"/>
              </w:rPr>
              <w:t>5</w:t>
            </w:r>
          </w:p>
        </w:tc>
      </w:tr>
      <w:tr>
        <w:tblPrEx>
          <w:tblCellMar>
            <w:top w:w="0" w:type="dxa"/>
            <w:left w:w="108" w:type="dxa"/>
            <w:bottom w:w="0" w:type="dxa"/>
            <w:right w:w="108" w:type="dxa"/>
          </w:tblCellMar>
        </w:tblPrEx>
        <w:trPr>
          <w:trHeight w:val="90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4</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翅片散热管</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1.钢材品种、规格:DN32翅片管，Q235</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2.表面做防锈处理</w:t>
            </w:r>
          </w:p>
          <w:p>
            <w:pPr>
              <w:widowControl/>
              <w:jc w:val="left"/>
              <w:textAlignment w:val="center"/>
              <w:rPr>
                <w:rFonts w:ascii="宋体" w:hAnsi="宋体" w:cs="宋体"/>
                <w:szCs w:val="21"/>
              </w:rPr>
            </w:pPr>
            <w:r>
              <w:rPr>
                <w:rFonts w:hint="eastAsia" w:ascii="宋体" w:hAnsi="宋体" w:cs="宋体"/>
                <w:kern w:val="0"/>
                <w:szCs w:val="21"/>
              </w:rPr>
              <w:t>3.刷漆要求:焊缝处按设计要求补刷油漆</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米</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168</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1680</w:t>
            </w:r>
          </w:p>
        </w:tc>
      </w:tr>
      <w:tr>
        <w:tblPrEx>
          <w:tblCellMar>
            <w:top w:w="0" w:type="dxa"/>
            <w:left w:w="108" w:type="dxa"/>
            <w:bottom w:w="0" w:type="dxa"/>
            <w:right w:w="108" w:type="dxa"/>
          </w:tblCellMar>
        </w:tblPrEx>
        <w:trPr>
          <w:trHeight w:val="45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5</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过滤器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1.名称：过滤器</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6</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金属百叶窗</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1.窗代号及洞口尺寸:C1212 ，1200X1200mm</w:t>
            </w:r>
          </w:p>
          <w:p>
            <w:pPr>
              <w:widowControl/>
              <w:jc w:val="left"/>
              <w:textAlignment w:val="center"/>
              <w:rPr>
                <w:rFonts w:ascii="宋体" w:hAnsi="宋体" w:cs="宋体"/>
                <w:szCs w:val="21"/>
              </w:rPr>
            </w:pPr>
            <w:r>
              <w:rPr>
                <w:rFonts w:hint="eastAsia" w:ascii="宋体" w:hAnsi="宋体" w:cs="宋体"/>
                <w:kern w:val="0"/>
                <w:szCs w:val="21"/>
              </w:rPr>
              <w:t>2.框、扇材质: 1.5mm厚热镀锌板U型包边处理，1.2mm厚冷轧板翻板电动百叶窗</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樘</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36</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360</w:t>
            </w:r>
          </w:p>
        </w:tc>
      </w:tr>
      <w:tr>
        <w:tblPrEx>
          <w:tblCellMar>
            <w:top w:w="0" w:type="dxa"/>
            <w:left w:w="108" w:type="dxa"/>
            <w:bottom w:w="0" w:type="dxa"/>
            <w:right w:w="108" w:type="dxa"/>
          </w:tblCellMar>
        </w:tblPrEx>
        <w:trPr>
          <w:trHeight w:val="45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7</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轴流通风机</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1.名称:排湿风机</w:t>
            </w:r>
          </w:p>
          <w:p>
            <w:pPr>
              <w:widowControl/>
              <w:jc w:val="left"/>
              <w:textAlignment w:val="center"/>
              <w:rPr>
                <w:rFonts w:ascii="宋体" w:hAnsi="宋体" w:cs="宋体"/>
                <w:szCs w:val="21"/>
              </w:rPr>
            </w:pPr>
            <w:r>
              <w:rPr>
                <w:rFonts w:hint="eastAsia" w:ascii="宋体" w:hAnsi="宋体" w:cs="宋体"/>
                <w:kern w:val="0"/>
                <w:szCs w:val="21"/>
              </w:rPr>
              <w:t>2.规格:180W</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220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配电箱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1.名称:晾晒房配电箱</w:t>
            </w:r>
          </w:p>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2.型号:AX</w:t>
            </w:r>
          </w:p>
          <w:p>
            <w:pPr>
              <w:widowControl/>
              <w:jc w:val="left"/>
              <w:textAlignment w:val="center"/>
              <w:rPr>
                <w:rFonts w:ascii="宋体" w:hAnsi="宋体" w:cs="宋体"/>
                <w:szCs w:val="21"/>
              </w:rPr>
            </w:pPr>
            <w:r>
              <w:rPr>
                <w:rFonts w:hint="eastAsia" w:ascii="宋体" w:hAnsi="宋体" w:cs="宋体"/>
                <w:kern w:val="0"/>
                <w:szCs w:val="21"/>
              </w:rPr>
              <w:t>3.安装方式:挂墙明装</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9</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控制箱</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 xml:space="preserve">1.外形尺寸：400*500*180mm 2.工作电压：AC380V 3.防护等级：≥IP54 4.额定电流：不小于 30A 5.可满足配置设备和照明的使用及独立控制要求， 具有漏电、过载保护功能 </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地源(水源)热泵机组</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1.供电电压:AC380V±20%，三相四线制;热泵热水加热定输入功率:10KW，含循环热泵，加热最高温度:55C</w:t>
            </w:r>
          </w:p>
          <w:p>
            <w:pPr>
              <w:widowControl/>
              <w:jc w:val="left"/>
              <w:textAlignment w:val="center"/>
              <w:rPr>
                <w:rFonts w:ascii="宋体" w:hAnsi="宋体" w:cs="宋体"/>
                <w:szCs w:val="21"/>
              </w:rPr>
            </w:pPr>
            <w:r>
              <w:rPr>
                <w:rFonts w:hint="eastAsia" w:ascii="宋体" w:hAnsi="宋体" w:cs="宋体"/>
                <w:kern w:val="0"/>
                <w:szCs w:val="21"/>
              </w:rPr>
              <w:t>2.其他:包含热泵基础和阀门水箱等附配件</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szCs w:val="21"/>
                <w:lang w:eastAsia="zh-CN"/>
              </w:rPr>
            </w:pPr>
            <w:r>
              <w:rPr>
                <w:rFonts w:hint="eastAsia" w:ascii="宋体" w:hAnsi="宋体" w:cs="宋体"/>
                <w:kern w:val="0"/>
                <w:szCs w:val="21"/>
                <w:lang w:val="en-US" w:eastAsia="zh-CN"/>
              </w:rPr>
              <w:t>5</w:t>
            </w:r>
          </w:p>
        </w:tc>
      </w:tr>
      <w:tr>
        <w:tblPrEx>
          <w:tblCellMar>
            <w:top w:w="0" w:type="dxa"/>
            <w:left w:w="108" w:type="dxa"/>
            <w:bottom w:w="0" w:type="dxa"/>
            <w:right w:w="108" w:type="dxa"/>
          </w:tblCellMar>
        </w:tblPrEx>
        <w:trPr>
          <w:trHeight w:val="6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11</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加湿设备</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1.名称:超声波纳米加湿器</w:t>
            </w:r>
          </w:p>
          <w:p>
            <w:pPr>
              <w:widowControl/>
              <w:jc w:val="left"/>
              <w:textAlignment w:val="center"/>
              <w:rPr>
                <w:rFonts w:ascii="宋体" w:hAnsi="宋体" w:cs="宋体"/>
                <w:szCs w:val="21"/>
              </w:rPr>
            </w:pPr>
            <w:r>
              <w:rPr>
                <w:rFonts w:hint="eastAsia" w:ascii="宋体" w:hAnsi="宋体" w:cs="宋体"/>
                <w:kern w:val="0"/>
                <w:szCs w:val="21"/>
              </w:rPr>
              <w:t>2.加湿量30kg/h，相对湿度控制在35-90%；3.工作电压 AC220V，单机功率 ≤2000W； 4.水分子颗粒≤5μm,加湿精度±5%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r>
      <w:tr>
        <w:tblPrEx>
          <w:tblCellMar>
            <w:top w:w="0" w:type="dxa"/>
            <w:left w:w="108" w:type="dxa"/>
            <w:bottom w:w="0" w:type="dxa"/>
            <w:right w:w="108" w:type="dxa"/>
          </w:tblCellMar>
        </w:tblPrEx>
        <w:trPr>
          <w:trHeight w:val="28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水泵</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1.扬程16m，流量7.8吨，口径50，输出功率750w，电压220V</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台</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r>
      <w:tr>
        <w:tblPrEx>
          <w:tblCellMar>
            <w:top w:w="0" w:type="dxa"/>
            <w:left w:w="108" w:type="dxa"/>
            <w:bottom w:w="0" w:type="dxa"/>
            <w:right w:w="108" w:type="dxa"/>
          </w:tblCellMar>
        </w:tblPrEx>
        <w:trPr>
          <w:trHeight w:val="45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rPr>
              <w:t>13</w:t>
            </w:r>
          </w:p>
        </w:tc>
        <w:tc>
          <w:tcPr>
            <w:tcW w:w="117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ascii="宋体" w:hAnsi="宋体" w:cs="宋体"/>
                <w:szCs w:val="21"/>
              </w:rPr>
            </w:pPr>
            <w:r>
              <w:rPr>
                <w:rFonts w:hint="eastAsia" w:ascii="宋体" w:hAnsi="宋体" w:cs="宋体"/>
                <w:kern w:val="0"/>
                <w:szCs w:val="21"/>
              </w:rPr>
              <w:t>阀门</w:t>
            </w:r>
          </w:p>
        </w:tc>
        <w:tc>
          <w:tcPr>
            <w:tcW w:w="47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textAlignment w:val="center"/>
              <w:rPr>
                <w:rFonts w:hint="eastAsia" w:ascii="宋体" w:hAnsi="宋体" w:eastAsia="宋体" w:cs="宋体"/>
                <w:kern w:val="0"/>
                <w:szCs w:val="21"/>
                <w:lang w:eastAsia="zh-CN"/>
              </w:rPr>
            </w:pPr>
            <w:r>
              <w:rPr>
                <w:rFonts w:hint="eastAsia" w:ascii="宋体" w:hAnsi="宋体" w:cs="宋体"/>
                <w:kern w:val="0"/>
                <w:szCs w:val="21"/>
              </w:rPr>
              <w:t>1.名称：球阀</w:t>
            </w:r>
          </w:p>
          <w:p>
            <w:pPr>
              <w:widowControl/>
              <w:jc w:val="left"/>
              <w:textAlignment w:val="center"/>
              <w:rPr>
                <w:rFonts w:ascii="宋体" w:hAnsi="宋体" w:cs="宋体"/>
                <w:szCs w:val="21"/>
              </w:rPr>
            </w:pPr>
            <w:r>
              <w:rPr>
                <w:rFonts w:hint="eastAsia" w:ascii="宋体" w:hAnsi="宋体" w:cs="宋体"/>
                <w:kern w:val="0"/>
                <w:szCs w:val="21"/>
              </w:rPr>
              <w:t>2.规格：DN50</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8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r>
    </w:tbl>
    <w:p>
      <w:pPr>
        <w:pStyle w:val="2"/>
        <w:ind w:firstLine="0" w:firstLineChars="0"/>
        <w:rPr>
          <w:rFonts w:ascii="宋体" w:hAnsi="宋体" w:cs="宋体"/>
          <w:sz w:val="32"/>
        </w:rPr>
      </w:pPr>
      <w:r>
        <w:rPr>
          <w:rFonts w:ascii="宋体" w:hAnsi="宋体" w:cs="宋体"/>
          <w:sz w:val="32"/>
        </w:rPr>
        <w:t>注</w:t>
      </w:r>
      <w:r>
        <w:rPr>
          <w:rFonts w:hint="eastAsia" w:ascii="宋体" w:hAnsi="宋体" w:cs="宋体"/>
          <w:sz w:val="32"/>
        </w:rPr>
        <w:t>：此采购清单中用“★”符号标明的条款为实质性要求和条件，对其中任何一条的偏离为实质性偏离，其投标无效。</w:t>
      </w:r>
    </w:p>
    <w:p>
      <w:pPr>
        <w:pStyle w:val="2"/>
        <w:ind w:firstLine="640"/>
        <w:rPr>
          <w:rFonts w:ascii="宋体" w:hAnsi="宋体" w:cs="宋体"/>
          <w:sz w:val="32"/>
        </w:rPr>
      </w:pPr>
    </w:p>
    <w:p>
      <w:pPr>
        <w:pStyle w:val="2"/>
        <w:ind w:firstLine="640"/>
        <w:rPr>
          <w:rFonts w:ascii="宋体" w:hAnsi="宋体" w:cs="宋体"/>
          <w:sz w:val="32"/>
        </w:rPr>
      </w:pPr>
    </w:p>
    <w:p>
      <w:pPr>
        <w:pStyle w:val="2"/>
        <w:ind w:firstLine="640"/>
        <w:rPr>
          <w:rFonts w:ascii="宋体" w:hAnsi="宋体" w:cs="宋体"/>
          <w:sz w:val="32"/>
        </w:rPr>
      </w:pPr>
    </w:p>
    <w:p>
      <w:pPr>
        <w:pStyle w:val="2"/>
        <w:ind w:firstLine="640"/>
        <w:rPr>
          <w:rFonts w:ascii="宋体" w:hAnsi="宋体" w:cs="宋体"/>
          <w:sz w:val="32"/>
        </w:rPr>
      </w:pPr>
    </w:p>
    <w:p>
      <w:pPr>
        <w:pStyle w:val="2"/>
        <w:ind w:firstLine="640"/>
        <w:rPr>
          <w:rFonts w:ascii="宋体" w:hAnsi="宋体" w:cs="宋体"/>
          <w:sz w:val="32"/>
        </w:rPr>
      </w:pPr>
    </w:p>
    <w:p/>
    <w:p>
      <w:pPr>
        <w:pStyle w:val="3"/>
        <w:spacing w:line="600" w:lineRule="exact"/>
        <w:rPr>
          <w:rFonts w:ascii="宋体" w:hAnsi="宋体" w:cs="宋体"/>
          <w:sz w:val="32"/>
        </w:rPr>
      </w:pPr>
      <w:r>
        <w:rPr>
          <w:rFonts w:hint="eastAsia" w:ascii="宋体" w:hAnsi="宋体" w:cs="宋体"/>
          <w:sz w:val="32"/>
        </w:rPr>
        <w:t>第六章 投标文件的组成</w:t>
      </w:r>
      <w:bookmarkEnd w:id="18"/>
      <w:bookmarkEnd w:id="21"/>
    </w:p>
    <w:p>
      <w:pPr>
        <w:adjustRightInd w:val="0"/>
        <w:snapToGrid w:val="0"/>
        <w:spacing w:line="360" w:lineRule="auto"/>
        <w:rPr>
          <w:rFonts w:ascii="宋体" w:hAnsi="宋体" w:cs="宋体"/>
        </w:rPr>
      </w:pPr>
    </w:p>
    <w:p>
      <w:pPr>
        <w:adjustRightInd w:val="0"/>
        <w:snapToGrid w:val="0"/>
        <w:spacing w:before="156" w:beforeLines="50" w:line="360" w:lineRule="auto"/>
        <w:outlineLvl w:val="0"/>
        <w:rPr>
          <w:rFonts w:ascii="宋体" w:hAnsi="宋体" w:cs="宋体"/>
          <w:b/>
          <w:szCs w:val="21"/>
        </w:rPr>
      </w:pPr>
      <w:r>
        <w:rPr>
          <w:rFonts w:hint="eastAsia" w:ascii="宋体" w:hAnsi="宋体" w:cs="宋体"/>
          <w:b/>
          <w:szCs w:val="21"/>
        </w:rPr>
        <w:t>商务部分</w:t>
      </w:r>
    </w:p>
    <w:p>
      <w:pPr>
        <w:numPr>
          <w:ilvl w:val="0"/>
          <w:numId w:val="12"/>
        </w:numPr>
        <w:adjustRightInd w:val="0"/>
        <w:snapToGrid w:val="0"/>
        <w:spacing w:before="156" w:beforeLines="50" w:line="360" w:lineRule="auto"/>
        <w:ind w:firstLine="420" w:firstLineChars="200"/>
        <w:jc w:val="left"/>
      </w:pPr>
      <w:r>
        <w:rPr>
          <w:rFonts w:hint="eastAsia" w:ascii="宋体" w:hAnsi="宋体" w:cs="宋体"/>
          <w:szCs w:val="21"/>
        </w:rPr>
        <w:t xml:space="preserve"> 投标函</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二、  开标一览表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三、  分项价格表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四、  商务条款响应/偏离表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五、  投标人具备投标资格的证明文件</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六、  投标人认为需要提供的其他文件</w:t>
      </w:r>
    </w:p>
    <w:p>
      <w:pPr>
        <w:adjustRightInd w:val="0"/>
        <w:snapToGrid w:val="0"/>
        <w:spacing w:before="156" w:beforeLines="50" w:line="360" w:lineRule="auto"/>
        <w:rPr>
          <w:rFonts w:ascii="宋体" w:hAnsi="宋体" w:cs="宋体"/>
          <w:b/>
          <w:szCs w:val="21"/>
        </w:rPr>
      </w:pPr>
      <w:r>
        <w:rPr>
          <w:rFonts w:hint="eastAsia" w:ascii="宋体" w:hAnsi="宋体" w:cs="宋体"/>
          <w:b/>
          <w:szCs w:val="21"/>
        </w:rPr>
        <w:t>技术</w:t>
      </w:r>
      <w:r>
        <w:rPr>
          <w:rFonts w:hint="eastAsia" w:ascii="宋体" w:hAnsi="宋体" w:cs="宋体"/>
          <w:b/>
          <w:bCs/>
          <w:szCs w:val="21"/>
        </w:rPr>
        <w:t>部分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七、 服务方案说明</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八、 技术条件响应/偏离表</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九、 投标人为完成本招标服务项目所派出主要人员简历</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十、 投标人为完成本招标采购项目所具有的设备、器具</w:t>
      </w:r>
    </w:p>
    <w:p>
      <w:pPr>
        <w:adjustRightInd w:val="0"/>
        <w:snapToGrid w:val="0"/>
        <w:spacing w:before="156" w:beforeLines="50" w:line="360" w:lineRule="auto"/>
        <w:ind w:firstLine="560" w:firstLineChars="200"/>
        <w:jc w:val="left"/>
        <w:rPr>
          <w:rFonts w:ascii="宋体" w:hAnsi="宋体"/>
          <w:b/>
          <w:bCs/>
          <w:sz w:val="28"/>
          <w:szCs w:val="28"/>
        </w:rPr>
      </w:pPr>
      <w:r>
        <w:rPr>
          <w:rFonts w:hint="eastAsia" w:ascii="宋体" w:hAnsi="宋体"/>
          <w:b/>
          <w:bCs/>
          <w:sz w:val="28"/>
          <w:szCs w:val="28"/>
        </w:rPr>
        <w:t>注：投标人可编制资格审查索引表、符合性审查索引表、评审索引表，以便招标人及采购代理机构资格审查和评标委员会评审。</w:t>
      </w:r>
    </w:p>
    <w:p>
      <w:pPr>
        <w:pStyle w:val="17"/>
        <w:adjustRightInd w:val="0"/>
        <w:snapToGrid w:val="0"/>
        <w:spacing w:line="600" w:lineRule="exact"/>
        <w:jc w:val="center"/>
        <w:rPr>
          <w:rFonts w:hAnsi="宋体" w:cs="宋体"/>
          <w:b/>
          <w:bCs/>
          <w:sz w:val="24"/>
        </w:rPr>
      </w:pPr>
      <w:r>
        <w:rPr>
          <w:rFonts w:hint="eastAsia" w:hAnsi="宋体" w:cs="宋体"/>
          <w:b/>
          <w:bCs/>
          <w:sz w:val="28"/>
          <w:szCs w:val="28"/>
        </w:rPr>
        <w:br w:type="page"/>
      </w:r>
      <w:r>
        <w:rPr>
          <w:rFonts w:hint="eastAsia" w:hAnsi="宋体" w:cs="宋体"/>
          <w:sz w:val="24"/>
        </w:rPr>
        <w:t xml:space="preserve">                                                          </w:t>
      </w:r>
      <w:r>
        <w:rPr>
          <w:rFonts w:hint="eastAsia" w:hAnsi="宋体" w:cs="宋体"/>
          <w:b/>
          <w:bCs/>
          <w:sz w:val="24"/>
        </w:rPr>
        <w:t>正本或副本</w:t>
      </w:r>
    </w:p>
    <w:p>
      <w:pPr>
        <w:pStyle w:val="17"/>
        <w:adjustRightInd w:val="0"/>
        <w:snapToGrid w:val="0"/>
        <w:spacing w:line="600" w:lineRule="exact"/>
        <w:jc w:val="center"/>
        <w:rPr>
          <w:rFonts w:hAnsi="宋体" w:cs="宋体"/>
          <w:sz w:val="24"/>
        </w:rPr>
      </w:pPr>
    </w:p>
    <w:p>
      <w:pPr>
        <w:spacing w:line="600" w:lineRule="exact"/>
        <w:jc w:val="center"/>
        <w:rPr>
          <w:rFonts w:ascii="宋体" w:hAnsi="宋体" w:cs="宋体"/>
          <w:b/>
          <w:sz w:val="48"/>
          <w:szCs w:val="48"/>
        </w:rPr>
      </w:pPr>
    </w:p>
    <w:p>
      <w:pPr>
        <w:pStyle w:val="17"/>
        <w:adjustRightInd w:val="0"/>
        <w:snapToGrid w:val="0"/>
        <w:spacing w:line="600" w:lineRule="exact"/>
        <w:jc w:val="center"/>
        <w:rPr>
          <w:rFonts w:hint="eastAsia" w:ascii="黑体" w:hAnsi="黑体" w:eastAsia="黑体"/>
          <w:b/>
          <w:sz w:val="48"/>
          <w:szCs w:val="48"/>
          <w:lang w:eastAsia="zh-CN"/>
        </w:rPr>
      </w:pPr>
      <w:r>
        <w:rPr>
          <w:rFonts w:hint="eastAsia" w:ascii="黑体" w:hAnsi="黑体" w:eastAsia="黑体"/>
          <w:b/>
          <w:sz w:val="48"/>
          <w:szCs w:val="48"/>
          <w:lang w:eastAsia="zh-CN"/>
        </w:rPr>
        <w:t>张家界市烟草专卖局（公司）关于2023年雪茄烟晾晒房及配套设施采购项目（第二次）</w:t>
      </w:r>
    </w:p>
    <w:p>
      <w:pPr>
        <w:pStyle w:val="17"/>
        <w:adjustRightInd w:val="0"/>
        <w:snapToGrid w:val="0"/>
        <w:spacing w:line="600" w:lineRule="exact"/>
        <w:jc w:val="center"/>
        <w:rPr>
          <w:rFonts w:ascii="黑体" w:hAnsi="黑体" w:eastAsia="黑体"/>
          <w:b/>
          <w:sz w:val="48"/>
          <w:szCs w:val="48"/>
        </w:rPr>
      </w:pPr>
    </w:p>
    <w:p>
      <w:pPr>
        <w:pStyle w:val="17"/>
        <w:adjustRightInd w:val="0"/>
        <w:snapToGrid w:val="0"/>
        <w:spacing w:line="600" w:lineRule="exact"/>
        <w:jc w:val="center"/>
        <w:rPr>
          <w:rFonts w:ascii="黑体" w:hAnsi="黑体" w:eastAsia="黑体"/>
          <w:b/>
          <w:sz w:val="48"/>
          <w:szCs w:val="48"/>
        </w:rPr>
      </w:pPr>
    </w:p>
    <w:p>
      <w:pPr>
        <w:adjustRightInd w:val="0"/>
        <w:snapToGrid w:val="0"/>
        <w:jc w:val="center"/>
        <w:rPr>
          <w:rFonts w:ascii="宋体" w:hAnsi="宋体" w:cs="宋体"/>
          <w:b/>
          <w:sz w:val="84"/>
          <w:szCs w:val="84"/>
        </w:rPr>
      </w:pPr>
      <w:r>
        <w:rPr>
          <w:rFonts w:hint="eastAsia" w:ascii="宋体" w:hAnsi="宋体" w:cs="宋体"/>
          <w:b/>
          <w:sz w:val="84"/>
          <w:szCs w:val="84"/>
        </w:rPr>
        <w:t>投 标 文 件</w:t>
      </w:r>
    </w:p>
    <w:p>
      <w:pPr>
        <w:rPr>
          <w:rFonts w:ascii="宋体" w:hAnsi="宋体" w:cs="宋体"/>
          <w:sz w:val="28"/>
          <w:szCs w:val="28"/>
        </w:rPr>
      </w:pPr>
    </w:p>
    <w:p>
      <w:pPr>
        <w:spacing w:line="600" w:lineRule="exact"/>
        <w:rPr>
          <w:rFonts w:ascii="宋体" w:hAnsi="宋体" w:cs="宋体"/>
        </w:rPr>
      </w:pPr>
    </w:p>
    <w:p>
      <w:pPr>
        <w:spacing w:line="600" w:lineRule="exact"/>
        <w:rPr>
          <w:rFonts w:ascii="宋体" w:hAnsi="宋体" w:cs="宋体"/>
        </w:rPr>
      </w:pPr>
    </w:p>
    <w:p>
      <w:pPr>
        <w:spacing w:line="600" w:lineRule="exact"/>
        <w:rPr>
          <w:rFonts w:ascii="宋体" w:hAnsi="宋体" w:cs="宋体"/>
          <w:sz w:val="30"/>
          <w:szCs w:val="30"/>
        </w:rPr>
      </w:pPr>
      <w:r>
        <w:rPr>
          <w:rFonts w:hint="eastAsia" w:ascii="宋体" w:hAnsi="宋体" w:cs="宋体"/>
          <w:sz w:val="32"/>
          <w:szCs w:val="32"/>
        </w:rPr>
        <w:t xml:space="preserve">                     </w:t>
      </w:r>
    </w:p>
    <w:p>
      <w:pPr>
        <w:pStyle w:val="17"/>
        <w:spacing w:line="600" w:lineRule="exact"/>
        <w:ind w:firstLine="1120" w:firstLineChars="350"/>
        <w:rPr>
          <w:rFonts w:hint="eastAsia" w:hAnsi="宋体" w:cs="宋体"/>
          <w:b/>
          <w:sz w:val="32"/>
          <w:szCs w:val="32"/>
        </w:rPr>
      </w:pPr>
    </w:p>
    <w:p>
      <w:pPr>
        <w:pStyle w:val="17"/>
        <w:spacing w:line="600" w:lineRule="exact"/>
        <w:ind w:firstLine="1120" w:firstLineChars="350"/>
        <w:rPr>
          <w:rFonts w:hint="eastAsia" w:hAnsi="宋体" w:cs="宋体"/>
          <w:b/>
          <w:sz w:val="32"/>
          <w:szCs w:val="32"/>
        </w:rPr>
      </w:pPr>
    </w:p>
    <w:p>
      <w:pPr>
        <w:pStyle w:val="17"/>
        <w:spacing w:line="600" w:lineRule="exact"/>
        <w:ind w:firstLine="1120" w:firstLineChars="350"/>
        <w:rPr>
          <w:rFonts w:hAnsi="宋体" w:cs="宋体"/>
          <w:b/>
          <w:sz w:val="32"/>
          <w:szCs w:val="32"/>
        </w:rPr>
      </w:pPr>
      <w:r>
        <w:rPr>
          <w:rFonts w:hint="eastAsia" w:hAnsi="宋体" w:cs="宋体"/>
          <w:b/>
          <w:sz w:val="32"/>
          <w:szCs w:val="32"/>
        </w:rPr>
        <w:t>委托代理编号：________________</w:t>
      </w:r>
    </w:p>
    <w:p>
      <w:pPr>
        <w:pStyle w:val="17"/>
        <w:spacing w:line="600" w:lineRule="exact"/>
        <w:ind w:firstLine="1120" w:firstLineChars="350"/>
        <w:rPr>
          <w:rFonts w:hAnsi="宋体" w:cs="宋体"/>
          <w:b/>
          <w:sz w:val="32"/>
          <w:szCs w:val="32"/>
        </w:rPr>
      </w:pPr>
      <w:r>
        <w:rPr>
          <w:rFonts w:hint="eastAsia" w:hAnsi="宋体" w:cs="宋体"/>
          <w:b/>
          <w:sz w:val="32"/>
          <w:szCs w:val="32"/>
        </w:rPr>
        <w:t>投   标   人：</w:t>
      </w:r>
      <w:r>
        <w:rPr>
          <w:rFonts w:hint="eastAsia" w:hAnsi="宋体" w:cs="宋体"/>
          <w:b/>
          <w:sz w:val="32"/>
          <w:szCs w:val="32"/>
          <w:u w:val="single"/>
        </w:rPr>
        <w:t xml:space="preserve">            （盖章）   </w:t>
      </w:r>
      <w:r>
        <w:rPr>
          <w:rFonts w:hint="eastAsia" w:hAnsi="宋体" w:cs="宋体"/>
          <w:b/>
          <w:sz w:val="32"/>
          <w:szCs w:val="32"/>
        </w:rPr>
        <w:t xml:space="preserve">    </w:t>
      </w:r>
    </w:p>
    <w:p>
      <w:pPr>
        <w:pStyle w:val="17"/>
        <w:spacing w:line="600" w:lineRule="exact"/>
        <w:ind w:firstLine="1120" w:firstLineChars="350"/>
        <w:rPr>
          <w:rFonts w:hAnsi="宋体" w:cs="宋体"/>
          <w:sz w:val="32"/>
          <w:szCs w:val="32"/>
          <w:u w:val="single"/>
        </w:rPr>
      </w:pPr>
      <w:r>
        <w:rPr>
          <w:rFonts w:hint="eastAsia" w:hAnsi="宋体" w:cs="宋体"/>
          <w:b/>
          <w:sz w:val="32"/>
          <w:szCs w:val="32"/>
        </w:rPr>
        <w:t>法定代表人或其委托代理人：</w:t>
      </w:r>
      <w:r>
        <w:rPr>
          <w:rFonts w:hint="eastAsia" w:hAnsi="宋体" w:cs="宋体"/>
          <w:b/>
          <w:sz w:val="32"/>
          <w:szCs w:val="32"/>
          <w:u w:val="single"/>
        </w:rPr>
        <w:t xml:space="preserve">（签字或盖章） </w:t>
      </w:r>
      <w:r>
        <w:rPr>
          <w:rFonts w:hint="eastAsia" w:hAnsi="宋体" w:cs="宋体"/>
          <w:b/>
          <w:sz w:val="32"/>
          <w:szCs w:val="32"/>
        </w:rPr>
        <w:t xml:space="preserve">      </w:t>
      </w:r>
      <w:r>
        <w:rPr>
          <w:rFonts w:hint="eastAsia" w:hAnsi="宋体" w:cs="宋体"/>
          <w:sz w:val="32"/>
          <w:szCs w:val="32"/>
        </w:rPr>
        <w:t xml:space="preserve">      </w:t>
      </w:r>
      <w:r>
        <w:rPr>
          <w:rFonts w:hint="eastAsia" w:hAnsi="宋体" w:cs="宋体"/>
          <w:sz w:val="32"/>
          <w:szCs w:val="32"/>
          <w:u w:val="single"/>
        </w:rPr>
        <w:t xml:space="preserve">                          </w:t>
      </w:r>
    </w:p>
    <w:p>
      <w:pPr>
        <w:pStyle w:val="3"/>
        <w:spacing w:line="600" w:lineRule="exact"/>
        <w:rPr>
          <w:rFonts w:ascii="宋体" w:hAnsi="宋体" w:cs="宋体"/>
          <w:sz w:val="32"/>
          <w:szCs w:val="32"/>
        </w:rPr>
      </w:pPr>
    </w:p>
    <w:p>
      <w:pPr>
        <w:pStyle w:val="3"/>
        <w:spacing w:line="600" w:lineRule="exact"/>
        <w:rPr>
          <w:rFonts w:ascii="宋体" w:hAnsi="宋体" w:cs="宋体"/>
        </w:rPr>
      </w:pPr>
    </w:p>
    <w:p>
      <w:pPr>
        <w:adjustRightInd w:val="0"/>
        <w:snapToGrid w:val="0"/>
        <w:spacing w:line="600" w:lineRule="exact"/>
        <w:jc w:val="center"/>
        <w:outlineLvl w:val="0"/>
        <w:rPr>
          <w:rFonts w:ascii="宋体" w:hAnsi="宋体" w:cs="宋体"/>
          <w:sz w:val="32"/>
          <w:szCs w:val="32"/>
        </w:rPr>
      </w:pPr>
      <w:r>
        <w:rPr>
          <w:rFonts w:hint="eastAsia" w:ascii="宋体" w:hAnsi="宋体" w:cs="宋体"/>
          <w:sz w:val="32"/>
          <w:szCs w:val="32"/>
        </w:rPr>
        <w:t>年  月  日</w:t>
      </w:r>
    </w:p>
    <w:p>
      <w:pPr>
        <w:adjustRightInd w:val="0"/>
        <w:snapToGrid w:val="0"/>
        <w:spacing w:line="600" w:lineRule="exact"/>
        <w:ind w:firstLine="4800" w:firstLineChars="1500"/>
        <w:rPr>
          <w:rFonts w:ascii="宋体" w:hAnsi="宋体" w:cs="宋体"/>
          <w:sz w:val="32"/>
          <w:szCs w:val="32"/>
        </w:rPr>
        <w:sectPr>
          <w:footerReference r:id="rId13" w:type="first"/>
          <w:headerReference r:id="rId11" w:type="default"/>
          <w:footerReference r:id="rId12" w:type="default"/>
          <w:pgSz w:w="11906" w:h="16838"/>
          <w:pgMar w:top="1440" w:right="1588" w:bottom="1213" w:left="1588" w:header="851" w:footer="1255" w:gutter="0"/>
          <w:cols w:space="720" w:num="1"/>
          <w:titlePg/>
          <w:docGrid w:type="linesAndChars" w:linePitch="312" w:charSpace="0"/>
        </w:sect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adjustRightInd w:val="0"/>
        <w:snapToGrid w:val="0"/>
        <w:spacing w:line="600" w:lineRule="exact"/>
        <w:jc w:val="center"/>
        <w:rPr>
          <w:rFonts w:ascii="宋体" w:hAnsi="宋体" w:cs="宋体"/>
          <w:sz w:val="32"/>
          <w:szCs w:val="32"/>
        </w:rPr>
      </w:pPr>
    </w:p>
    <w:p>
      <w:pPr>
        <w:pStyle w:val="30"/>
        <w:ind w:firstLine="320"/>
        <w:rPr>
          <w:rFonts w:ascii="宋体" w:hAnsi="宋体" w:cs="宋体"/>
          <w:sz w:val="32"/>
          <w:szCs w:val="32"/>
        </w:rPr>
      </w:pPr>
    </w:p>
    <w:p>
      <w:pPr>
        <w:pStyle w:val="30"/>
        <w:ind w:firstLine="320"/>
        <w:rPr>
          <w:rFonts w:ascii="宋体" w:hAnsi="宋体" w:cs="宋体"/>
          <w:sz w:val="32"/>
          <w:szCs w:val="32"/>
        </w:rPr>
      </w:pPr>
    </w:p>
    <w:p>
      <w:pPr>
        <w:spacing w:line="360" w:lineRule="auto"/>
        <w:jc w:val="center"/>
        <w:rPr>
          <w:rFonts w:ascii="宋体" w:hAnsi="宋体" w:cs="宋体"/>
          <w:b/>
          <w:sz w:val="48"/>
          <w:szCs w:val="48"/>
        </w:rPr>
      </w:pPr>
      <w:r>
        <w:rPr>
          <w:rFonts w:hint="eastAsia" w:ascii="宋体" w:hAnsi="宋体" w:cs="宋体"/>
          <w:b/>
          <w:sz w:val="48"/>
          <w:szCs w:val="48"/>
        </w:rPr>
        <w:t xml:space="preserve"> 商务部分</w:t>
      </w: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pStyle w:val="30"/>
        <w:ind w:firstLine="482"/>
        <w:rPr>
          <w:rFonts w:ascii="宋体" w:hAnsi="宋体" w:cs="宋体"/>
          <w:b/>
          <w:sz w:val="48"/>
          <w:szCs w:val="48"/>
        </w:rPr>
      </w:pPr>
    </w:p>
    <w:p>
      <w:pPr>
        <w:adjustRightInd w:val="0"/>
        <w:snapToGrid w:val="0"/>
        <w:spacing w:line="360" w:lineRule="auto"/>
        <w:rPr>
          <w:rFonts w:ascii="宋体" w:hAnsi="宋体" w:cs="宋体"/>
          <w:b/>
          <w:sz w:val="28"/>
          <w:szCs w:val="21"/>
        </w:rPr>
      </w:pPr>
    </w:p>
    <w:p>
      <w:pPr>
        <w:adjustRightInd w:val="0"/>
        <w:snapToGrid w:val="0"/>
        <w:spacing w:line="360" w:lineRule="auto"/>
        <w:outlineLvl w:val="0"/>
        <w:rPr>
          <w:rFonts w:ascii="宋体" w:hAnsi="宋体" w:cs="宋体"/>
          <w:b/>
          <w:sz w:val="28"/>
          <w:szCs w:val="21"/>
        </w:rPr>
      </w:pPr>
      <w:r>
        <w:rPr>
          <w:rFonts w:hint="eastAsia" w:ascii="宋体" w:hAnsi="宋体" w:cs="宋体"/>
          <w:b/>
          <w:sz w:val="28"/>
          <w:szCs w:val="21"/>
        </w:rPr>
        <w:t>一、投标函</w:t>
      </w:r>
    </w:p>
    <w:p>
      <w:pPr>
        <w:adjustRightInd w:val="0"/>
        <w:snapToGrid w:val="0"/>
        <w:spacing w:line="360" w:lineRule="auto"/>
        <w:rPr>
          <w:rFonts w:ascii="宋体" w:hAnsi="宋体" w:cs="宋体"/>
          <w:b/>
          <w:sz w:val="28"/>
          <w:szCs w:val="21"/>
        </w:rPr>
      </w:pPr>
    </w:p>
    <w:p>
      <w:pPr>
        <w:pStyle w:val="15"/>
        <w:spacing w:before="3"/>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u w:val="single"/>
        </w:rPr>
        <w:t>湖南省烟草公司张家界市公司、 天策致远工程咨询管理有限公司</w:t>
      </w:r>
      <w:r>
        <w:rPr>
          <w:rFonts w:hint="eastAsia" w:ascii="宋体" w:hAnsi="宋体" w:cs="宋体"/>
          <w:szCs w:val="21"/>
        </w:rPr>
        <w:t>：</w:t>
      </w:r>
    </w:p>
    <w:p>
      <w:pPr>
        <w:adjustRightInd w:val="0"/>
        <w:snapToGrid w:val="0"/>
        <w:spacing w:before="156" w:beforeLines="50" w:line="360" w:lineRule="auto"/>
        <w:ind w:firstLine="435"/>
        <w:rPr>
          <w:rFonts w:ascii="宋体" w:hAnsi="宋体" w:cs="宋体"/>
          <w:szCs w:val="21"/>
        </w:rPr>
      </w:pPr>
      <w:r>
        <w:rPr>
          <w:rFonts w:hint="eastAsia" w:ascii="宋体" w:hAnsi="宋体" w:cs="宋体"/>
          <w:szCs w:val="21"/>
        </w:rPr>
        <w:t>根据贵方为</w:t>
      </w:r>
      <w:r>
        <w:rPr>
          <w:rFonts w:hint="eastAsia" w:ascii="宋体" w:hAnsi="宋体" w:cs="宋体"/>
          <w:szCs w:val="21"/>
          <w:u w:val="single"/>
        </w:rPr>
        <w:t xml:space="preserve">      （项目名称）       </w:t>
      </w: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 xml:space="preserve">），签字代表 </w:t>
      </w:r>
      <w:r>
        <w:rPr>
          <w:rFonts w:hint="eastAsia" w:ascii="宋体" w:hAnsi="宋体" w:cs="宋体"/>
          <w:szCs w:val="21"/>
          <w:u w:val="single"/>
        </w:rPr>
        <w:t xml:space="preserve">    （姓名、职务）    </w:t>
      </w:r>
      <w:r>
        <w:rPr>
          <w:rFonts w:hint="eastAsia" w:ascii="宋体" w:hAnsi="宋体" w:cs="宋体"/>
          <w:szCs w:val="21"/>
        </w:rPr>
        <w:t>经正式授权并代表投标人</w:t>
      </w:r>
      <w:r>
        <w:rPr>
          <w:rFonts w:hint="eastAsia" w:ascii="宋体" w:hAnsi="宋体" w:cs="宋体"/>
          <w:szCs w:val="21"/>
          <w:u w:val="single"/>
        </w:rPr>
        <w:t xml:space="preserve">   （投标人名称、地址）    </w:t>
      </w:r>
      <w:r>
        <w:rPr>
          <w:rFonts w:hint="eastAsia" w:ascii="宋体" w:hAnsi="宋体" w:cs="宋体"/>
          <w:szCs w:val="21"/>
        </w:rPr>
        <w:t xml:space="preserve"> 提交下述文件正本一份、副本</w:t>
      </w:r>
      <w:r>
        <w:rPr>
          <w:rFonts w:hint="eastAsia" w:ascii="宋体" w:hAnsi="宋体" w:cs="宋体"/>
          <w:szCs w:val="21"/>
          <w:u w:val="single"/>
        </w:rPr>
        <w:t xml:space="preserve">     </w:t>
      </w:r>
      <w:r>
        <w:rPr>
          <w:rFonts w:hint="eastAsia" w:ascii="宋体" w:hAnsi="宋体" w:cs="宋体"/>
          <w:szCs w:val="21"/>
        </w:rPr>
        <w:t>份及电子文件一份并在此声明，所递交的投标文件内容完整、真实。</w:t>
      </w:r>
    </w:p>
    <w:p>
      <w:pPr>
        <w:adjustRightInd w:val="0"/>
        <w:snapToGrid w:val="0"/>
        <w:spacing w:before="156" w:beforeLines="50" w:line="360" w:lineRule="auto"/>
        <w:ind w:firstLine="420" w:firstLineChars="200"/>
        <w:outlineLvl w:val="0"/>
        <w:rPr>
          <w:rFonts w:ascii="宋体" w:hAnsi="宋体" w:cs="宋体"/>
          <w:szCs w:val="21"/>
        </w:rPr>
      </w:pPr>
      <w:r>
        <w:rPr>
          <w:rFonts w:hint="eastAsia" w:ascii="宋体" w:hAnsi="宋体" w:cs="宋体"/>
          <w:szCs w:val="21"/>
        </w:rPr>
        <w:t xml:space="preserve">1、商务文件：投标函、开标一览表、分项价格表、商务条款响应/偏离表、中小企业声明函、投标人具备投标资格的证明文件； </w:t>
      </w:r>
    </w:p>
    <w:p>
      <w:pPr>
        <w:adjustRightInd w:val="0"/>
        <w:snapToGrid w:val="0"/>
        <w:spacing w:before="156" w:beforeLines="50" w:line="360" w:lineRule="auto"/>
        <w:ind w:firstLine="420" w:firstLineChars="200"/>
        <w:jc w:val="left"/>
        <w:rPr>
          <w:rFonts w:ascii="宋体" w:hAnsi="宋体" w:cs="宋体"/>
          <w:szCs w:val="21"/>
        </w:rPr>
      </w:pPr>
      <w:r>
        <w:rPr>
          <w:rFonts w:hint="eastAsia" w:ascii="宋体" w:hAnsi="宋体" w:cs="宋体"/>
          <w:szCs w:val="21"/>
        </w:rPr>
        <w:t>2、技术文件：服务方案说明、技术条件响应/偏离表、投标人为完成本招标服务项目拟派出主要人员简历、投标人为完成本招标服务项目所具有的设备、器具。</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在此，签字代表宣布同意如下：</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1、所附投标价格表中规定的应提交的服务投标总价为：</w:t>
      </w:r>
      <w:r>
        <w:rPr>
          <w:rFonts w:hint="eastAsia" w:ascii="宋体" w:hAnsi="宋体" w:cs="宋体"/>
          <w:szCs w:val="21"/>
          <w:u w:val="single"/>
        </w:rPr>
        <w:t xml:space="preserve">          元整</w:t>
      </w:r>
      <w:r>
        <w:rPr>
          <w:rFonts w:hint="eastAsia" w:ascii="宋体" w:hAnsi="宋体" w:cs="宋体"/>
          <w:szCs w:val="21"/>
        </w:rPr>
        <w:t>(人民币大写)。</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2、投标人将按招标文件的规定履行合同责任和义务。</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3、投标人已详细审查全部招标文件。我们完全理解并同意放弃对这方面有不明及误解的权力。</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4、本投标有效期为自招标文件规定的提交投标文件截止之日起</w:t>
      </w:r>
      <w:r>
        <w:rPr>
          <w:rFonts w:hint="eastAsia" w:ascii="宋体" w:hAnsi="宋体" w:cs="宋体"/>
          <w:szCs w:val="21"/>
          <w:u w:val="single"/>
        </w:rPr>
        <w:t xml:space="preserve">      </w:t>
      </w:r>
      <w:r>
        <w:rPr>
          <w:rFonts w:hint="eastAsia" w:ascii="宋体" w:hAnsi="宋体" w:cs="宋体"/>
          <w:szCs w:val="21"/>
        </w:rPr>
        <w:t>个日历日。在投标有效期内我方同意遵守本投标文件中的承诺且在此期限期满之前投标文件对我方具有法律约束力。</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5、根据招标文件第二章“投标人须知”第3条规定，我方承诺：</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(1) 我们依照有关法律的规定，没有偷税、漏税的行为，没有逃避缴纳社会保险资金的行为；</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(2) 与招标人和招标代理机构</w:t>
      </w:r>
      <w:r>
        <w:rPr>
          <w:rFonts w:hint="eastAsia" w:ascii="宋体" w:hAnsi="宋体" w:cs="宋体"/>
          <w:bCs/>
          <w:szCs w:val="21"/>
        </w:rPr>
        <w:t>无任何的隶属关系或者其他利害关系</w:t>
      </w:r>
      <w:r>
        <w:rPr>
          <w:rFonts w:hint="eastAsia" w:ascii="宋体" w:hAnsi="宋体" w:cs="宋体"/>
          <w:szCs w:val="21"/>
        </w:rPr>
        <w:t>。</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 xml:space="preserve">6、同意提供贵方可能要求的与其投标有关的一切数据或资料。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7、与本投标有关的一切正式往来信函请寄：</w:t>
      </w:r>
    </w:p>
    <w:p>
      <w:pPr>
        <w:spacing w:line="450" w:lineRule="exact"/>
        <w:ind w:firstLine="420" w:firstLineChars="200"/>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r>
        <w:rPr>
          <w:rFonts w:hint="eastAsia" w:ascii="宋体" w:hAnsi="宋体" w:cs="宋体"/>
          <w:szCs w:val="21"/>
        </w:rPr>
        <w:t xml:space="preserve">  </w:t>
      </w:r>
    </w:p>
    <w:p>
      <w:pPr>
        <w:spacing w:line="450" w:lineRule="exact"/>
        <w:ind w:firstLine="420" w:firstLineChars="200"/>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r>
        <w:rPr>
          <w:rFonts w:hint="eastAsia" w:ascii="宋体" w:hAnsi="宋体" w:cs="宋体"/>
          <w:szCs w:val="21"/>
        </w:rPr>
        <w:t xml:space="preserve">                              </w:t>
      </w:r>
    </w:p>
    <w:p>
      <w:pPr>
        <w:spacing w:line="450" w:lineRule="exact"/>
        <w:ind w:firstLine="420" w:firstLineChars="200"/>
        <w:rPr>
          <w:rFonts w:ascii="宋体" w:hAnsi="宋体" w:cs="宋体"/>
          <w:szCs w:val="21"/>
        </w:rPr>
      </w:pPr>
      <w:r>
        <w:rPr>
          <w:rFonts w:hint="eastAsia" w:ascii="宋体" w:hAnsi="宋体" w:cs="宋体"/>
          <w:szCs w:val="21"/>
        </w:rPr>
        <w:t>联 系 人：</w:t>
      </w:r>
      <w:r>
        <w:rPr>
          <w:rFonts w:hint="eastAsia" w:ascii="宋体" w:hAnsi="宋体" w:cs="宋体"/>
          <w:szCs w:val="21"/>
          <w:u w:val="single"/>
        </w:rPr>
        <w:t xml:space="preserve">                                 </w:t>
      </w:r>
    </w:p>
    <w:p>
      <w:pPr>
        <w:spacing w:line="450" w:lineRule="exact"/>
        <w:ind w:firstLine="420" w:firstLineChars="200"/>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pPr>
        <w:spacing w:line="450" w:lineRule="exact"/>
        <w:ind w:firstLine="420" w:firstLineChars="20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p>
    <w:p>
      <w:pPr>
        <w:spacing w:line="450" w:lineRule="exact"/>
        <w:ind w:firstLine="420" w:firstLineChars="200"/>
        <w:rPr>
          <w:rFonts w:ascii="宋体" w:hAnsi="宋体" w:cs="宋体"/>
          <w:szCs w:val="21"/>
        </w:rPr>
      </w:pPr>
      <w:r>
        <w:rPr>
          <w:rFonts w:hint="eastAsia" w:ascii="宋体" w:hAnsi="宋体" w:cs="宋体"/>
          <w:szCs w:val="21"/>
        </w:rPr>
        <w:t>电子函件：</w:t>
      </w:r>
      <w:r>
        <w:rPr>
          <w:rFonts w:hint="eastAsia" w:ascii="宋体" w:hAnsi="宋体" w:cs="宋体"/>
          <w:szCs w:val="21"/>
          <w:u w:val="single"/>
        </w:rPr>
        <w:t xml:space="preserve">                                 </w:t>
      </w:r>
    </w:p>
    <w:p>
      <w:pPr>
        <w:spacing w:line="450" w:lineRule="exact"/>
        <w:ind w:firstLine="420" w:firstLineChars="200"/>
        <w:rPr>
          <w:rFonts w:ascii="宋体" w:hAnsi="宋体" w:cs="宋体"/>
          <w:szCs w:val="21"/>
          <w:u w:val="single"/>
        </w:rPr>
      </w:pPr>
      <w:r>
        <w:rPr>
          <w:rFonts w:hint="eastAsia" w:ascii="宋体" w:hAnsi="宋体" w:cs="宋体"/>
          <w:szCs w:val="21"/>
        </w:rPr>
        <w:t>投标人开户银行（全称）：</w:t>
      </w:r>
      <w:r>
        <w:rPr>
          <w:rFonts w:hint="eastAsia" w:ascii="宋体" w:hAnsi="宋体" w:cs="宋体"/>
          <w:szCs w:val="21"/>
          <w:u w:val="single"/>
        </w:rPr>
        <w:t xml:space="preserve">                    </w:t>
      </w:r>
    </w:p>
    <w:p>
      <w:pPr>
        <w:spacing w:line="450" w:lineRule="exact"/>
        <w:ind w:firstLine="420" w:firstLineChars="200"/>
        <w:rPr>
          <w:rFonts w:ascii="宋体" w:hAnsi="宋体" w:cs="宋体"/>
          <w:szCs w:val="21"/>
        </w:rPr>
      </w:pPr>
      <w:r>
        <w:rPr>
          <w:rFonts w:hint="eastAsia" w:ascii="宋体" w:hAnsi="宋体" w:cs="宋体"/>
          <w:szCs w:val="21"/>
        </w:rPr>
        <w:t>投标人银行帐号：</w:t>
      </w:r>
      <w:r>
        <w:rPr>
          <w:rFonts w:hint="eastAsia" w:ascii="宋体" w:hAnsi="宋体" w:cs="宋体"/>
          <w:szCs w:val="21"/>
          <w:u w:val="single"/>
        </w:rPr>
        <w:t xml:space="preserve">                           </w:t>
      </w:r>
    </w:p>
    <w:p>
      <w:pPr>
        <w:pStyle w:val="30"/>
        <w:ind w:firstLine="210"/>
      </w:pPr>
    </w:p>
    <w:p>
      <w:pPr>
        <w:pStyle w:val="17"/>
        <w:adjustRightInd w:val="0"/>
        <w:snapToGrid w:val="0"/>
        <w:spacing w:before="156" w:beforeLines="50" w:line="360" w:lineRule="auto"/>
        <w:rPr>
          <w:rFonts w:hAnsi="宋体" w:cs="宋体"/>
        </w:rPr>
      </w:pPr>
    </w:p>
    <w:p>
      <w:pPr>
        <w:pStyle w:val="17"/>
        <w:adjustRightInd w:val="0"/>
        <w:snapToGrid w:val="0"/>
        <w:spacing w:before="156" w:beforeLines="50" w:line="360" w:lineRule="auto"/>
        <w:ind w:firstLine="210" w:firstLineChars="100"/>
        <w:rPr>
          <w:rFonts w:hAnsi="宋体" w:cs="宋体"/>
        </w:rPr>
      </w:pPr>
      <w:r>
        <w:rPr>
          <w:rFonts w:hint="eastAsia" w:hAnsi="宋体" w:cs="宋体"/>
        </w:rPr>
        <w:t>投标人名称(盖章)：</w:t>
      </w:r>
    </w:p>
    <w:p>
      <w:pPr>
        <w:adjustRightInd w:val="0"/>
        <w:snapToGrid w:val="0"/>
        <w:spacing w:before="156" w:beforeLines="50" w:line="360" w:lineRule="auto"/>
        <w:ind w:firstLine="210" w:firstLineChars="100"/>
        <w:rPr>
          <w:rFonts w:ascii="宋体" w:hAnsi="宋体" w:cs="宋体"/>
          <w:szCs w:val="21"/>
          <w:u w:val="single"/>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156" w:beforeLines="50" w:line="360" w:lineRule="auto"/>
        <w:ind w:firstLine="210" w:firstLineChars="100"/>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before="156" w:beforeLines="50" w:line="360" w:lineRule="auto"/>
        <w:ind w:left="-88" w:leftChars="-42"/>
        <w:rPr>
          <w:rFonts w:ascii="宋体" w:hAnsi="宋体" w:cs="宋体"/>
          <w:szCs w:val="21"/>
        </w:rPr>
      </w:pPr>
      <w:r>
        <w:rPr>
          <w:rFonts w:hint="eastAsia" w:ascii="宋体" w:hAnsi="宋体" w:cs="宋体"/>
          <w:b/>
          <w:szCs w:val="21"/>
        </w:rPr>
        <w:t>备注</w:t>
      </w:r>
      <w:r>
        <w:rPr>
          <w:rFonts w:hint="eastAsia" w:ascii="宋体" w:hAnsi="宋体" w:cs="宋体"/>
          <w:szCs w:val="21"/>
        </w:rPr>
        <w:t>：1、除可填报项目外，对本投标函的任何修改将被视为非实质性响应投标，在评标时将其视为无效投标。</w:t>
      </w:r>
    </w:p>
    <w:p>
      <w:pPr>
        <w:adjustRightInd w:val="0"/>
        <w:snapToGrid w:val="0"/>
        <w:spacing w:line="360" w:lineRule="auto"/>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adjustRightInd w:val="0"/>
        <w:snapToGrid w:val="0"/>
        <w:spacing w:line="360" w:lineRule="auto"/>
        <w:jc w:val="center"/>
        <w:rPr>
          <w:rFonts w:ascii="黑体" w:hAnsi="黑体" w:eastAsia="黑体"/>
          <w:sz w:val="30"/>
          <w:szCs w:val="30"/>
        </w:rPr>
      </w:pPr>
    </w:p>
    <w:p>
      <w:pPr>
        <w:pStyle w:val="2"/>
        <w:ind w:firstLine="600"/>
        <w:rPr>
          <w:rFonts w:ascii="黑体" w:hAnsi="黑体" w:eastAsia="黑体"/>
          <w:sz w:val="30"/>
          <w:szCs w:val="30"/>
        </w:rPr>
      </w:pPr>
    </w:p>
    <w:p>
      <w:pPr>
        <w:pStyle w:val="2"/>
        <w:ind w:firstLine="600"/>
        <w:rPr>
          <w:rFonts w:ascii="黑体" w:hAnsi="黑体" w:eastAsia="黑体"/>
          <w:sz w:val="30"/>
          <w:szCs w:val="30"/>
        </w:rPr>
      </w:pPr>
    </w:p>
    <w:p>
      <w:pPr>
        <w:adjustRightInd w:val="0"/>
        <w:snapToGrid w:val="0"/>
        <w:spacing w:line="360" w:lineRule="auto"/>
        <w:rPr>
          <w:b/>
          <w:bCs/>
          <w:sz w:val="28"/>
          <w:szCs w:val="28"/>
        </w:rPr>
      </w:pPr>
      <w:r>
        <w:rPr>
          <w:b/>
          <w:bCs/>
          <w:sz w:val="28"/>
          <w:szCs w:val="28"/>
        </w:rPr>
        <w:t>附件</w:t>
      </w:r>
      <w:r>
        <w:rPr>
          <w:rFonts w:hint="eastAsia"/>
          <w:b/>
          <w:bCs/>
          <w:sz w:val="28"/>
          <w:szCs w:val="28"/>
        </w:rPr>
        <w:t xml:space="preserve">   </w:t>
      </w:r>
    </w:p>
    <w:p>
      <w:pPr>
        <w:adjustRightInd w:val="0"/>
        <w:snapToGrid w:val="0"/>
        <w:spacing w:line="360" w:lineRule="auto"/>
        <w:ind w:firstLine="2880" w:firstLineChars="900"/>
        <w:jc w:val="left"/>
        <w:rPr>
          <w:rFonts w:ascii="宋体" w:cs="宋体"/>
          <w:kern w:val="0"/>
          <w:sz w:val="24"/>
          <w:szCs w:val="21"/>
        </w:rPr>
      </w:pPr>
      <w:r>
        <w:rPr>
          <w:rFonts w:hint="eastAsia" w:ascii="宋体" w:cs="宋体"/>
          <w:kern w:val="0"/>
          <w:sz w:val="32"/>
          <w:szCs w:val="32"/>
        </w:rPr>
        <w:t>无不良行为承诺书</w:t>
      </w:r>
    </w:p>
    <w:p>
      <w:pPr>
        <w:autoSpaceDE w:val="0"/>
        <w:autoSpaceDN w:val="0"/>
        <w:jc w:val="left"/>
        <w:rPr>
          <w:rFonts w:ascii="宋体" w:cs="宋体"/>
          <w:kern w:val="0"/>
          <w:sz w:val="24"/>
          <w:szCs w:val="24"/>
          <w:u w:val="single"/>
        </w:rPr>
      </w:pPr>
    </w:p>
    <w:p>
      <w:pPr>
        <w:autoSpaceDE w:val="0"/>
        <w:autoSpaceDN w:val="0"/>
        <w:jc w:val="left"/>
        <w:rPr>
          <w:rFonts w:ascii="宋体" w:cs="宋体"/>
          <w:kern w:val="0"/>
          <w:sz w:val="24"/>
          <w:szCs w:val="24"/>
        </w:rPr>
      </w:pPr>
      <w:r>
        <w:rPr>
          <w:rFonts w:hint="eastAsia" w:ascii="宋体" w:cs="宋体"/>
          <w:kern w:val="0"/>
          <w:sz w:val="24"/>
          <w:szCs w:val="24"/>
          <w:u w:val="single"/>
        </w:rPr>
        <w:t xml:space="preserve">我                </w:t>
      </w:r>
      <w:r>
        <w:rPr>
          <w:rFonts w:ascii="宋体" w:cs="宋体"/>
          <w:kern w:val="0"/>
          <w:sz w:val="24"/>
          <w:szCs w:val="24"/>
          <w:u w:val="single"/>
        </w:rPr>
        <w:t xml:space="preserve"> </w:t>
      </w:r>
      <w:r>
        <w:rPr>
          <w:rFonts w:hint="eastAsia" w:ascii="宋体" w:cs="宋体"/>
          <w:kern w:val="0"/>
          <w:sz w:val="24"/>
          <w:szCs w:val="24"/>
        </w:rPr>
        <w:t>郑重承诺：</w:t>
      </w:r>
    </w:p>
    <w:p>
      <w:pPr>
        <w:autoSpaceDE w:val="0"/>
        <w:autoSpaceDN w:val="0"/>
        <w:ind w:firstLine="480" w:firstLineChars="200"/>
        <w:jc w:val="left"/>
        <w:rPr>
          <w:rFonts w:ascii="宋体" w:hAnsi="宋体" w:cs="宋体"/>
          <w:kern w:val="0"/>
          <w:sz w:val="24"/>
          <w:szCs w:val="24"/>
        </w:rPr>
      </w:pPr>
      <w:r>
        <w:rPr>
          <w:rFonts w:hint="eastAsia" w:ascii="宋体" w:hAnsi="宋体" w:cs="宋体"/>
          <w:kern w:val="0"/>
          <w:sz w:val="24"/>
          <w:szCs w:val="24"/>
        </w:rPr>
        <w:t>我公司具有健全的财务会计制度，依法缴纳税收。我公司珍惜公司声誉，没有因腐败或欺诈行为而仍被政府或业主宣布取消投标资格的记录。</w:t>
      </w:r>
    </w:p>
    <w:p>
      <w:pPr>
        <w:autoSpaceDE w:val="0"/>
        <w:autoSpaceDN w:val="0"/>
        <w:ind w:firstLine="480" w:firstLineChars="200"/>
        <w:jc w:val="left"/>
        <w:rPr>
          <w:rFonts w:ascii="宋体" w:hAnsi="宋体"/>
          <w:sz w:val="24"/>
          <w:szCs w:val="24"/>
        </w:rPr>
      </w:pPr>
      <w:r>
        <w:rPr>
          <w:rFonts w:hint="eastAsia" w:ascii="宋体" w:hAnsi="宋体" w:cs="宋体"/>
          <w:kern w:val="0"/>
          <w:sz w:val="24"/>
          <w:szCs w:val="24"/>
        </w:rPr>
        <w:t>我公司</w:t>
      </w:r>
      <w:r>
        <w:rPr>
          <w:rFonts w:hint="eastAsia" w:ascii="宋体" w:hAnsi="宋体"/>
          <w:sz w:val="24"/>
          <w:szCs w:val="24"/>
        </w:rPr>
        <w:t>及法定代表人、主要负责人及工作人员在“中国裁判文书网”等近三年（以判决、裁定、决定时间与招标公告发出之日差推算）的刑事判决书、刑事裁定书及采购人所属行业内单位党政纪处分决定书中无行贿行为记录；近三年在“信用中国”网站、“国家企业信用信息公示系统”和“法院失信执行人查询平台”上无失信名单信息；</w:t>
      </w:r>
      <w:r>
        <w:rPr>
          <w:rFonts w:hint="eastAsia" w:ascii="宋体" w:hAnsi="宋体" w:cs="宋体"/>
          <w:kern w:val="0"/>
          <w:sz w:val="24"/>
          <w:szCs w:val="24"/>
        </w:rPr>
        <w:t>自</w:t>
      </w:r>
      <w:r>
        <w:rPr>
          <w:rFonts w:hint="eastAsia" w:ascii="宋体" w:hAnsi="宋体"/>
          <w:sz w:val="24"/>
          <w:szCs w:val="24"/>
        </w:rPr>
        <w:t>招标公告发出之日</w:t>
      </w:r>
      <w:r>
        <w:rPr>
          <w:rFonts w:hint="eastAsia" w:ascii="宋体" w:hAnsi="宋体" w:cs="宋体"/>
          <w:kern w:val="0"/>
          <w:sz w:val="24"/>
          <w:szCs w:val="24"/>
        </w:rPr>
        <w:t>起前一年，</w:t>
      </w:r>
      <w:r>
        <w:rPr>
          <w:rFonts w:hint="eastAsia" w:ascii="宋体" w:hAnsi="宋体"/>
          <w:sz w:val="24"/>
          <w:szCs w:val="24"/>
        </w:rPr>
        <w:t>在国家、地方人民政府及招投标相关行业主管部门公告中无不良行为记录及其他犯罪记录，我公司所提供的 “中国裁判文书网”</w:t>
      </w:r>
      <w:r>
        <w:rPr>
          <w:rFonts w:ascii="宋体" w:hAnsi="宋体"/>
          <w:sz w:val="24"/>
          <w:szCs w:val="24"/>
        </w:rPr>
        <w:t xml:space="preserve"> （http://wenshu.court.gov.cn）</w:t>
      </w:r>
      <w:r>
        <w:rPr>
          <w:rFonts w:hint="eastAsia" w:ascii="宋体" w:hAnsi="宋体"/>
          <w:sz w:val="24"/>
          <w:szCs w:val="24"/>
        </w:rPr>
        <w:t>、“信用中国”网站（www.creditchina.gov.cn）、“国家企业信用信息公示系统”（www.gsxt.gov.cn）和“法院失信被执行人名单信息公布与查询平台”（http://zxgk.court.gov.cn/zhixing/）的查询结果真实有效。如经查实存在以上不良行为或记录的，投标人资格审查不合格，采购人有权将我公司列入“黑名单”并实施禁入措施。</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我公司</w:t>
      </w:r>
      <w:r>
        <w:rPr>
          <w:sz w:val="24"/>
          <w:szCs w:val="24"/>
        </w:rPr>
        <w:t>不存在财产被司法机关接管或冻结且导致中标后合同无法履行的情形。</w:t>
      </w:r>
      <w:r>
        <w:rPr>
          <w:rFonts w:hint="eastAsia" w:ascii="宋体" w:cs="宋体"/>
          <w:kern w:val="0"/>
          <w:sz w:val="24"/>
          <w:szCs w:val="24"/>
        </w:rPr>
        <w:t>我公司</w:t>
      </w:r>
      <w:r>
        <w:rPr>
          <w:sz w:val="24"/>
          <w:szCs w:val="24"/>
        </w:rPr>
        <w:t>在投标时未被吊销营业执照。</w:t>
      </w:r>
    </w:p>
    <w:p>
      <w:pPr>
        <w:tabs>
          <w:tab w:val="left" w:pos="5355"/>
        </w:tabs>
        <w:ind w:firstLine="480" w:firstLineChars="200"/>
        <w:rPr>
          <w:sz w:val="24"/>
          <w:szCs w:val="24"/>
        </w:rPr>
      </w:pPr>
      <w:r>
        <w:rPr>
          <w:sz w:val="24"/>
          <w:szCs w:val="24"/>
        </w:rPr>
        <w:t>我公司与本次招标项目的</w:t>
      </w:r>
      <w:r>
        <w:rPr>
          <w:rFonts w:hint="eastAsia"/>
          <w:sz w:val="24"/>
          <w:szCs w:val="24"/>
        </w:rPr>
        <w:t>采购人不存在可能影响招标公正性的利害关系。我公司</w:t>
      </w:r>
      <w:r>
        <w:rPr>
          <w:rFonts w:hint="eastAsia" w:ascii="宋体" w:hAnsi="宋体"/>
          <w:kern w:val="0"/>
          <w:sz w:val="24"/>
          <w:szCs w:val="24"/>
        </w:rPr>
        <w:t>不存在</w:t>
      </w:r>
      <w:r>
        <w:rPr>
          <w:rFonts w:hint="eastAsia" w:ascii="宋体" w:hAnsi="宋体"/>
          <w:snapToGrid w:val="0"/>
          <w:kern w:val="0"/>
          <w:sz w:val="24"/>
          <w:szCs w:val="24"/>
        </w:rPr>
        <w:t>买卖资质、围标串标、转包分包、以虚假信息骗取中标、恶意违约、对招标人干部职工行贿或其他“围猎”行为。</w:t>
      </w:r>
    </w:p>
    <w:p>
      <w:pPr>
        <w:tabs>
          <w:tab w:val="left" w:pos="5355"/>
        </w:tabs>
        <w:ind w:firstLine="480" w:firstLineChars="200"/>
        <w:rPr>
          <w:rFonts w:ascii="宋体" w:hAnsi="宋体"/>
          <w:sz w:val="24"/>
          <w:szCs w:val="24"/>
        </w:rPr>
      </w:pPr>
      <w:r>
        <w:rPr>
          <w:rFonts w:ascii="宋体" w:hAnsi="宋体"/>
          <w:sz w:val="24"/>
          <w:szCs w:val="24"/>
        </w:rPr>
        <w:t>我</w:t>
      </w:r>
      <w:r>
        <w:rPr>
          <w:sz w:val="24"/>
          <w:szCs w:val="24"/>
        </w:rPr>
        <w:t>公</w:t>
      </w:r>
      <w:r>
        <w:rPr>
          <w:rFonts w:ascii="宋体" w:hAnsi="宋体"/>
          <w:sz w:val="24"/>
          <w:szCs w:val="24"/>
        </w:rPr>
        <w:t>司承诺，如果在</w:t>
      </w:r>
      <w:r>
        <w:rPr>
          <w:rFonts w:hint="eastAsia" w:ascii="宋体" w:hAnsi="宋体"/>
          <w:sz w:val="24"/>
          <w:szCs w:val="24"/>
        </w:rPr>
        <w:t>本项目</w:t>
      </w:r>
      <w:r>
        <w:rPr>
          <w:rFonts w:ascii="宋体" w:hAnsi="宋体"/>
          <w:sz w:val="24"/>
          <w:szCs w:val="24"/>
        </w:rPr>
        <w:t>招投标过程中，与</w:t>
      </w:r>
      <w:r>
        <w:rPr>
          <w:rFonts w:hint="eastAsia" w:ascii="宋体" w:hAnsi="宋体"/>
          <w:sz w:val="24"/>
          <w:szCs w:val="24"/>
        </w:rPr>
        <w:t>本项目</w:t>
      </w:r>
      <w:r>
        <w:rPr>
          <w:rFonts w:ascii="宋体" w:hAnsi="宋体"/>
          <w:sz w:val="24"/>
          <w:szCs w:val="24"/>
        </w:rPr>
        <w:t>其他投标人存在</w:t>
      </w:r>
      <w:r>
        <w:rPr>
          <w:rFonts w:hint="eastAsia" w:ascii="宋体" w:hAnsi="宋体"/>
          <w:sz w:val="24"/>
          <w:szCs w:val="24"/>
        </w:rPr>
        <w:t>单位负责人为同一人或者存在控股、管理关系等</w:t>
      </w:r>
      <w:r>
        <w:rPr>
          <w:rFonts w:hint="eastAsia"/>
          <w:sz w:val="24"/>
          <w:szCs w:val="24"/>
        </w:rPr>
        <w:t>可能影响招标公正性的</w:t>
      </w:r>
      <w:r>
        <w:rPr>
          <w:rFonts w:hint="eastAsia" w:ascii="宋体" w:hAnsi="宋体"/>
          <w:sz w:val="24"/>
          <w:szCs w:val="24"/>
        </w:rPr>
        <w:t>关联关系或利害关系的</w:t>
      </w:r>
      <w:r>
        <w:rPr>
          <w:rFonts w:ascii="宋体" w:hAnsi="宋体"/>
          <w:sz w:val="24"/>
          <w:szCs w:val="24"/>
        </w:rPr>
        <w:t>，投标无效；如果中标，我司愿意无条件放弃中标资格，并接受采购人、招标代理机构或评标委员会依据有关法律法规、规章和招标文件相关规定进行的任何处理。</w:t>
      </w:r>
    </w:p>
    <w:p>
      <w:pPr>
        <w:tabs>
          <w:tab w:val="left" w:pos="5355"/>
        </w:tabs>
        <w:ind w:firstLine="480" w:firstLineChars="200"/>
        <w:rPr>
          <w:rFonts w:ascii="宋体" w:hAnsi="宋体"/>
          <w:sz w:val="24"/>
          <w:szCs w:val="24"/>
        </w:rPr>
      </w:pPr>
      <w:r>
        <w:rPr>
          <w:rFonts w:hint="eastAsia" w:ascii="宋体" w:hAnsi="宋体"/>
          <w:sz w:val="24"/>
          <w:szCs w:val="24"/>
        </w:rPr>
        <w:t>我公司承诺，在驻工业和信息化部纪检监察组等相关单位或部门案件查办中，积极提供证据、配合履行作证义务，如果发生拒不配合监委调查工作的情形，采购人有权对我公司采取警示约谈、降低考核评价分数、降低供货份额、缩短服务期限、终止或解除合同等多种处理措施。</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我公司对上述内容的补充说明：</w:t>
      </w:r>
      <w:r>
        <w:rPr>
          <w:rFonts w:hint="eastAsia" w:ascii="宋体" w:cs="宋体"/>
          <w:kern w:val="0"/>
          <w:sz w:val="24"/>
          <w:szCs w:val="24"/>
          <w:u w:val="single"/>
        </w:rPr>
        <w:t xml:space="preserve">                                 </w:t>
      </w:r>
      <w:r>
        <w:rPr>
          <w:rFonts w:hint="eastAsia" w:ascii="宋体" w:cs="宋体"/>
          <w:kern w:val="0"/>
          <w:sz w:val="24"/>
          <w:szCs w:val="24"/>
        </w:rPr>
        <w:t xml:space="preserve"> 。</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我公司承诺，如我公司在投标文件中没有充分披露公司本承诺书中所述的相关负面信息，视同弄虚作假，我公司自愿接受采购人做出的取消投标资格、取消中标资格、解除已签署的合同、</w:t>
      </w:r>
      <w:r>
        <w:rPr>
          <w:rFonts w:hint="eastAsia"/>
          <w:sz w:val="24"/>
          <w:szCs w:val="24"/>
        </w:rPr>
        <w:t>实施禁入措施</w:t>
      </w:r>
      <w:r>
        <w:rPr>
          <w:rFonts w:hint="eastAsia" w:ascii="宋体" w:cs="宋体"/>
          <w:kern w:val="0"/>
          <w:sz w:val="24"/>
          <w:szCs w:val="24"/>
        </w:rPr>
        <w:t>等处理决定，并不得向采购人提出相关异议、不得向采购人主张相关权利。</w:t>
      </w:r>
    </w:p>
    <w:p>
      <w:pPr>
        <w:autoSpaceDE w:val="0"/>
        <w:autoSpaceDN w:val="0"/>
        <w:ind w:firstLine="480" w:firstLineChars="200"/>
        <w:jc w:val="left"/>
        <w:rPr>
          <w:rFonts w:ascii="宋体" w:cs="宋体"/>
          <w:kern w:val="0"/>
          <w:sz w:val="24"/>
          <w:szCs w:val="24"/>
        </w:rPr>
      </w:pPr>
      <w:r>
        <w:rPr>
          <w:rFonts w:hint="eastAsia" w:ascii="宋体" w:cs="宋体"/>
          <w:kern w:val="0"/>
          <w:sz w:val="24"/>
          <w:szCs w:val="24"/>
        </w:rPr>
        <w:t>特此承诺！</w:t>
      </w:r>
    </w:p>
    <w:p>
      <w:pPr>
        <w:autoSpaceDE w:val="0"/>
        <w:autoSpaceDN w:val="0"/>
        <w:jc w:val="right"/>
        <w:rPr>
          <w:rFonts w:ascii="宋体" w:cs="宋体"/>
          <w:kern w:val="0"/>
          <w:sz w:val="24"/>
          <w:szCs w:val="24"/>
        </w:rPr>
      </w:pPr>
      <w:r>
        <w:rPr>
          <w:rFonts w:hint="eastAsia" w:ascii="宋体" w:cs="宋体"/>
          <w:kern w:val="0"/>
          <w:sz w:val="24"/>
          <w:szCs w:val="24"/>
        </w:rPr>
        <w:t>投标授权人代表签名：</w:t>
      </w:r>
    </w:p>
    <w:p>
      <w:pPr>
        <w:autoSpaceDE w:val="0"/>
        <w:autoSpaceDN w:val="0"/>
        <w:jc w:val="right"/>
        <w:rPr>
          <w:rFonts w:ascii="宋体" w:cs="宋体"/>
          <w:kern w:val="0"/>
          <w:sz w:val="24"/>
          <w:szCs w:val="24"/>
        </w:rPr>
      </w:pPr>
      <w:r>
        <w:rPr>
          <w:rFonts w:hint="eastAsia" w:ascii="宋体" w:cs="宋体"/>
          <w:kern w:val="0"/>
          <w:sz w:val="24"/>
          <w:szCs w:val="24"/>
        </w:rPr>
        <w:t>投标单位盖章</w:t>
      </w:r>
    </w:p>
    <w:p>
      <w:pPr>
        <w:jc w:val="right"/>
        <w:outlineLvl w:val="0"/>
        <w:rPr>
          <w:sz w:val="24"/>
          <w:szCs w:val="24"/>
        </w:rPr>
      </w:pPr>
      <w:r>
        <w:rPr>
          <w:rFonts w:hint="eastAsia" w:ascii="宋体" w:cs="宋体"/>
          <w:kern w:val="0"/>
          <w:sz w:val="24"/>
          <w:szCs w:val="24"/>
        </w:rPr>
        <w:t>日期：</w:t>
      </w:r>
      <w:r>
        <w:rPr>
          <w:rFonts w:ascii="宋体" w:cs="宋体"/>
          <w:kern w:val="0"/>
          <w:sz w:val="24"/>
          <w:szCs w:val="24"/>
        </w:rPr>
        <w:t xml:space="preserve"> </w:t>
      </w:r>
      <w:r>
        <w:rPr>
          <w:rFonts w:hint="eastAsia" w:ascii="宋体" w:cs="宋体"/>
          <w:kern w:val="0"/>
          <w:sz w:val="24"/>
          <w:szCs w:val="24"/>
        </w:rPr>
        <w:t>年</w:t>
      </w:r>
      <w:r>
        <w:rPr>
          <w:rFonts w:ascii="宋体" w:cs="宋体"/>
          <w:kern w:val="0"/>
          <w:sz w:val="24"/>
          <w:szCs w:val="24"/>
        </w:rPr>
        <w:t xml:space="preserve"> </w:t>
      </w:r>
      <w:r>
        <w:rPr>
          <w:rFonts w:hint="eastAsia" w:ascii="宋体" w:cs="宋体"/>
          <w:kern w:val="0"/>
          <w:sz w:val="24"/>
          <w:szCs w:val="24"/>
        </w:rPr>
        <w:t>月</w:t>
      </w:r>
      <w:r>
        <w:rPr>
          <w:rFonts w:ascii="宋体" w:cs="宋体"/>
          <w:kern w:val="0"/>
          <w:sz w:val="24"/>
          <w:szCs w:val="24"/>
        </w:rPr>
        <w:t xml:space="preserve"> </w:t>
      </w:r>
      <w:r>
        <w:rPr>
          <w:rFonts w:hint="eastAsia" w:ascii="宋体" w:cs="宋体"/>
          <w:kern w:val="0"/>
          <w:sz w:val="24"/>
          <w:szCs w:val="24"/>
        </w:rPr>
        <w:t>日</w:t>
      </w:r>
    </w:p>
    <w:p>
      <w:pPr>
        <w:pStyle w:val="30"/>
        <w:ind w:firstLine="210"/>
        <w:rPr>
          <w:rFonts w:ascii="宋体" w:hAnsi="宋体" w:cs="宋体"/>
          <w:szCs w:val="21"/>
        </w:rPr>
      </w:pPr>
    </w:p>
    <w:p>
      <w:pPr>
        <w:pStyle w:val="30"/>
        <w:ind w:firstLine="210"/>
        <w:rPr>
          <w:rFonts w:ascii="宋体" w:hAnsi="宋体" w:cs="宋体"/>
          <w:szCs w:val="21"/>
        </w:rPr>
      </w:pPr>
    </w:p>
    <w:p>
      <w:pPr>
        <w:pStyle w:val="30"/>
        <w:ind w:firstLine="210"/>
        <w:rPr>
          <w:rFonts w:ascii="宋体" w:hAnsi="宋体" w:cs="宋体"/>
          <w:szCs w:val="21"/>
        </w:rPr>
      </w:pPr>
    </w:p>
    <w:p>
      <w:pPr>
        <w:widowControl/>
        <w:spacing w:line="360" w:lineRule="auto"/>
        <w:ind w:left="-88" w:leftChars="-42"/>
        <w:jc w:val="left"/>
        <w:rPr>
          <w:rFonts w:ascii="宋体" w:hAnsi="宋体" w:cs="宋体"/>
          <w:b/>
          <w:sz w:val="28"/>
          <w:szCs w:val="21"/>
        </w:rPr>
      </w:pPr>
      <w:r>
        <w:rPr>
          <w:rFonts w:hint="eastAsia" w:ascii="宋体" w:hAnsi="宋体" w:cs="宋体"/>
          <w:b/>
          <w:sz w:val="28"/>
          <w:szCs w:val="21"/>
        </w:rPr>
        <w:t>二、开标一览表</w:t>
      </w:r>
    </w:p>
    <w:p>
      <w:pPr>
        <w:adjustRightInd w:val="0"/>
        <w:snapToGrid w:val="0"/>
        <w:spacing w:line="600" w:lineRule="exact"/>
        <w:ind w:left="-88" w:leftChars="-42"/>
        <w:jc w:val="center"/>
        <w:rPr>
          <w:rFonts w:ascii="宋体" w:hAnsi="宋体" w:cs="宋体"/>
          <w:sz w:val="24"/>
          <w:szCs w:val="24"/>
        </w:rPr>
      </w:pPr>
    </w:p>
    <w:p>
      <w:pPr>
        <w:adjustRightInd w:val="0"/>
        <w:snapToGrid w:val="0"/>
        <w:spacing w:line="360" w:lineRule="auto"/>
        <w:ind w:left="-88" w:leftChars="-42"/>
        <w:rPr>
          <w:rFonts w:ascii="宋体" w:hAnsi="宋体" w:cs="宋体"/>
          <w:szCs w:val="21"/>
        </w:rPr>
      </w:pP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金额单位：人民币元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7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项目名称</w:t>
            </w:r>
          </w:p>
        </w:tc>
        <w:tc>
          <w:tcPr>
            <w:tcW w:w="7191" w:type="dxa"/>
            <w:vAlign w:val="center"/>
          </w:tcPr>
          <w:p>
            <w:pPr>
              <w:adjustRightInd w:val="0"/>
              <w:snapToGrid w:val="0"/>
              <w:spacing w:before="156" w:beforeLines="50"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投标报价</w:t>
            </w:r>
          </w:p>
        </w:tc>
        <w:tc>
          <w:tcPr>
            <w:tcW w:w="7191" w:type="dxa"/>
            <w:vAlign w:val="center"/>
          </w:tcPr>
          <w:p>
            <w:pPr>
              <w:adjustRightInd w:val="0"/>
              <w:snapToGrid w:val="0"/>
              <w:spacing w:before="156" w:beforeLines="50" w:line="360" w:lineRule="auto"/>
              <w:rPr>
                <w:rFonts w:ascii="宋体" w:hAnsi="宋体" w:cs="宋体"/>
                <w:b/>
                <w:szCs w:val="21"/>
                <w:u w:val="single"/>
              </w:rPr>
            </w:pPr>
            <w:r>
              <w:rPr>
                <w:rFonts w:hint="eastAsia" w:ascii="宋体" w:hAnsi="宋体" w:cs="宋体"/>
                <w:b/>
                <w:szCs w:val="21"/>
              </w:rPr>
              <w:t>（大写）人民币</w:t>
            </w:r>
            <w:r>
              <w:rPr>
                <w:rFonts w:hint="eastAsia" w:ascii="宋体" w:hAnsi="宋体" w:cs="宋体"/>
                <w:b/>
                <w:szCs w:val="21"/>
                <w:u w:val="single"/>
              </w:rPr>
              <w:t xml:space="preserve">               元整</w:t>
            </w:r>
          </w:p>
          <w:p>
            <w:pPr>
              <w:adjustRightInd w:val="0"/>
              <w:snapToGrid w:val="0"/>
              <w:spacing w:before="156" w:beforeLines="50" w:line="360" w:lineRule="auto"/>
              <w:rPr>
                <w:rFonts w:ascii="宋体" w:hAnsi="宋体" w:cs="宋体"/>
                <w:b/>
                <w:szCs w:val="21"/>
                <w:u w:val="single"/>
              </w:rPr>
            </w:pPr>
            <w:r>
              <w:rPr>
                <w:rFonts w:hint="eastAsia" w:ascii="宋体" w:hAnsi="宋体" w:cs="宋体"/>
                <w:b/>
                <w:szCs w:val="21"/>
              </w:rPr>
              <w:t>（小写）</w:t>
            </w:r>
            <w:r>
              <w:rPr>
                <w:rFonts w:hint="eastAsia" w:ascii="宋体" w:hAnsi="宋体" w:cs="宋体"/>
                <w:b/>
                <w:szCs w:val="21"/>
                <w:u w:val="single"/>
              </w:rPr>
              <w:t xml:space="preserve">￥                    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质量标准</w:t>
            </w:r>
          </w:p>
        </w:tc>
        <w:tc>
          <w:tcPr>
            <w:tcW w:w="7191" w:type="dxa"/>
            <w:vAlign w:val="center"/>
          </w:tcPr>
          <w:p>
            <w:pPr>
              <w:adjustRightInd w:val="0"/>
              <w:snapToGrid w:val="0"/>
              <w:spacing w:before="156" w:beforeLines="50"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交货期</w:t>
            </w:r>
          </w:p>
        </w:tc>
        <w:tc>
          <w:tcPr>
            <w:tcW w:w="7191" w:type="dxa"/>
            <w:vAlign w:val="center"/>
          </w:tcPr>
          <w:p>
            <w:pPr>
              <w:adjustRightInd w:val="0"/>
              <w:snapToGrid w:val="0"/>
              <w:spacing w:before="156" w:beforeLines="50"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投标保证金</w:t>
            </w:r>
          </w:p>
        </w:tc>
        <w:tc>
          <w:tcPr>
            <w:tcW w:w="7191" w:type="dxa"/>
            <w:vAlign w:val="center"/>
          </w:tcPr>
          <w:p>
            <w:pPr>
              <w:adjustRightInd w:val="0"/>
              <w:snapToGrid w:val="0"/>
              <w:spacing w:line="360" w:lineRule="auto"/>
              <w:rPr>
                <w:rFonts w:ascii="宋体" w:hAnsi="宋体" w:cs="宋体"/>
                <w:b/>
                <w:szCs w:val="21"/>
              </w:rPr>
            </w:pPr>
            <w:r>
              <w:rPr>
                <w:rFonts w:hint="eastAsia" w:ascii="宋体" w:hAnsi="宋体" w:cs="宋体"/>
                <w:b/>
                <w:szCs w:val="21"/>
              </w:rPr>
              <w:t>投标保证金：</w:t>
            </w:r>
          </w:p>
          <w:p>
            <w:pPr>
              <w:adjustRightInd w:val="0"/>
              <w:snapToGrid w:val="0"/>
              <w:spacing w:line="360" w:lineRule="auto"/>
              <w:rPr>
                <w:rFonts w:ascii="宋体" w:hAnsi="宋体" w:cs="宋体"/>
                <w:szCs w:val="21"/>
              </w:rPr>
            </w:pPr>
            <w:r>
              <w:rPr>
                <w:rFonts w:hint="eastAsia" w:ascii="宋体" w:hAnsi="宋体" w:cs="宋体"/>
                <w:szCs w:val="21"/>
              </w:rPr>
              <w:t>金额：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before="156" w:beforeLines="50" w:line="360" w:lineRule="auto"/>
              <w:rPr>
                <w:rFonts w:ascii="宋体" w:hAnsi="宋体" w:cs="宋体"/>
                <w:b/>
                <w:szCs w:val="21"/>
              </w:rPr>
            </w:pPr>
            <w:r>
              <w:rPr>
                <w:rFonts w:hint="eastAsia" w:ascii="宋体" w:hAnsi="宋体" w:cs="宋体"/>
                <w:szCs w:val="21"/>
              </w:rPr>
              <w:t>交纳形式： □银行转帐  □支票  □汇票  □本票  □金融机构、担保机构出具的保函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vAlign w:val="center"/>
          </w:tcPr>
          <w:p>
            <w:pPr>
              <w:adjustRightInd w:val="0"/>
              <w:snapToGrid w:val="0"/>
              <w:spacing w:before="156" w:beforeLines="50" w:line="360" w:lineRule="auto"/>
              <w:jc w:val="center"/>
              <w:rPr>
                <w:rFonts w:ascii="宋体" w:hAnsi="宋体" w:cs="宋体"/>
                <w:b/>
                <w:szCs w:val="21"/>
              </w:rPr>
            </w:pPr>
            <w:r>
              <w:rPr>
                <w:rFonts w:hint="eastAsia" w:ascii="宋体" w:hAnsi="宋体" w:cs="宋体"/>
                <w:b/>
                <w:szCs w:val="21"/>
              </w:rPr>
              <w:t>备注</w:t>
            </w:r>
          </w:p>
        </w:tc>
        <w:tc>
          <w:tcPr>
            <w:tcW w:w="7191" w:type="dxa"/>
            <w:vAlign w:val="center"/>
          </w:tcPr>
          <w:p>
            <w:pPr>
              <w:adjustRightInd w:val="0"/>
              <w:snapToGrid w:val="0"/>
              <w:spacing w:before="156" w:beforeLines="50" w:line="360" w:lineRule="auto"/>
              <w:rPr>
                <w:rFonts w:ascii="宋体" w:hAnsi="宋体" w:cs="宋体"/>
                <w:b/>
                <w:szCs w:val="21"/>
              </w:rPr>
            </w:pPr>
          </w:p>
        </w:tc>
      </w:tr>
    </w:tbl>
    <w:p>
      <w:pPr>
        <w:adjustRightInd w:val="0"/>
        <w:snapToGrid w:val="0"/>
        <w:spacing w:line="360" w:lineRule="auto"/>
        <w:ind w:left="-88" w:leftChars="-42"/>
        <w:rPr>
          <w:rFonts w:ascii="宋体" w:hAnsi="宋体" w:cs="宋体"/>
          <w:b/>
          <w:szCs w:val="21"/>
        </w:rPr>
      </w:pPr>
    </w:p>
    <w:p>
      <w:pPr>
        <w:adjustRightInd w:val="0"/>
        <w:snapToGrid w:val="0"/>
        <w:spacing w:line="360" w:lineRule="auto"/>
        <w:ind w:left="-88" w:leftChars="-42"/>
        <w:rPr>
          <w:rFonts w:ascii="宋体" w:hAnsi="宋体" w:cs="宋体"/>
          <w:szCs w:val="21"/>
        </w:rPr>
      </w:pPr>
      <w:r>
        <w:rPr>
          <w:rFonts w:hint="eastAsia" w:ascii="宋体" w:hAnsi="宋体" w:cs="宋体"/>
          <w:b/>
          <w:szCs w:val="21"/>
        </w:rPr>
        <w:t>备注：</w:t>
      </w:r>
      <w:r>
        <w:rPr>
          <w:rFonts w:hint="eastAsia" w:ascii="宋体" w:hAnsi="宋体" w:cs="宋体"/>
          <w:szCs w:val="21"/>
        </w:rPr>
        <w:t>（1）应按照第二章“投标须知”第15条的要求报价。</w:t>
      </w:r>
    </w:p>
    <w:p>
      <w:pPr>
        <w:adjustRightInd w:val="0"/>
        <w:snapToGrid w:val="0"/>
        <w:spacing w:line="360" w:lineRule="auto"/>
        <w:ind w:firstLine="420" w:firstLineChars="200"/>
        <w:rPr>
          <w:rFonts w:ascii="宋体" w:hAnsi="宋体" w:cs="宋体"/>
          <w:b/>
          <w:bCs/>
          <w:szCs w:val="21"/>
          <w:u w:val="single"/>
        </w:rPr>
      </w:pPr>
      <w:r>
        <w:rPr>
          <w:rFonts w:hint="eastAsia" w:ascii="宋体" w:hAnsi="宋体" w:cs="宋体"/>
          <w:szCs w:val="21"/>
        </w:rPr>
        <w:t>（2）根据第二章“投标须知”第14.4款、第15.6款、第26.4款的规定，</w:t>
      </w:r>
      <w:r>
        <w:rPr>
          <w:rFonts w:hint="eastAsia" w:ascii="宋体" w:hAnsi="宋体" w:cs="宋体"/>
          <w:b/>
          <w:bCs/>
          <w:szCs w:val="21"/>
          <w:u w:val="single"/>
        </w:rPr>
        <w:t>投标人在投标总价外另有价格折扣的，应当直接在投标总价中给出。</w:t>
      </w:r>
    </w:p>
    <w:p>
      <w:pPr>
        <w:adjustRightInd w:val="0"/>
        <w:snapToGrid w:val="0"/>
        <w:spacing w:line="360" w:lineRule="auto"/>
        <w:ind w:firstLine="420" w:firstLineChars="200"/>
        <w:rPr>
          <w:rFonts w:ascii="宋体" w:hAnsi="宋体" w:cs="宋体"/>
          <w:szCs w:val="21"/>
        </w:rPr>
      </w:pPr>
    </w:p>
    <w:p>
      <w:pPr>
        <w:adjustRightInd w:val="0"/>
        <w:snapToGrid w:val="0"/>
        <w:spacing w:line="360" w:lineRule="auto"/>
        <w:rPr>
          <w:rFonts w:ascii="宋体" w:hAnsi="宋体" w:cs="宋体"/>
          <w:szCs w:val="21"/>
        </w:rPr>
      </w:pPr>
    </w:p>
    <w:p>
      <w:pPr>
        <w:adjustRightInd w:val="0"/>
        <w:snapToGrid w:val="0"/>
        <w:spacing w:line="360" w:lineRule="auto"/>
        <w:rPr>
          <w:rFonts w:ascii="宋体" w:hAnsi="宋体" w:cs="宋体"/>
          <w:szCs w:val="21"/>
        </w:rPr>
      </w:pPr>
      <w:r>
        <w:rPr>
          <w:rFonts w:hint="eastAsia" w:ascii="宋体" w:hAnsi="宋体" w:cs="宋体"/>
          <w:szCs w:val="21"/>
        </w:rPr>
        <w:t>投标人名称（单位章）：</w:t>
      </w:r>
    </w:p>
    <w:p>
      <w:pPr>
        <w:adjustRightInd w:val="0"/>
        <w:snapToGrid w:val="0"/>
        <w:spacing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r>
        <w:rPr>
          <w:rFonts w:hint="eastAsia" w:ascii="宋体" w:hAnsi="宋体" w:cs="宋体"/>
          <w:szCs w:val="21"/>
        </w:rPr>
        <w:t>_</w:t>
      </w:r>
    </w:p>
    <w:p>
      <w:pPr>
        <w:adjustRightInd w:val="0"/>
        <w:snapToGrid w:val="0"/>
        <w:spacing w:line="36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line="360" w:lineRule="auto"/>
        <w:rPr>
          <w:rFonts w:ascii="宋体" w:hAnsi="宋体" w:cs="宋体"/>
          <w:sz w:val="24"/>
          <w:szCs w:val="24"/>
        </w:rPr>
      </w:pPr>
    </w:p>
    <w:p>
      <w:pPr>
        <w:adjustRightInd w:val="0"/>
        <w:snapToGrid w:val="0"/>
        <w:spacing w:line="360" w:lineRule="auto"/>
        <w:rPr>
          <w:rFonts w:ascii="宋体" w:hAnsi="宋体" w:cs="宋体"/>
          <w:sz w:val="24"/>
          <w:szCs w:val="24"/>
        </w:rPr>
      </w:pPr>
    </w:p>
    <w:p>
      <w:pPr>
        <w:pStyle w:val="2"/>
        <w:ind w:firstLine="480"/>
        <w:rPr>
          <w:rFonts w:ascii="宋体" w:hAnsi="宋体" w:cs="宋体"/>
          <w:sz w:val="24"/>
          <w:szCs w:val="24"/>
        </w:rPr>
      </w:pPr>
    </w:p>
    <w:p>
      <w:pPr>
        <w:pStyle w:val="31"/>
        <w:ind w:left="0" w:leftChars="0" w:firstLine="0" w:firstLineChars="0"/>
        <w:rPr>
          <w:rFonts w:ascii="宋体" w:hAnsi="宋体" w:cs="宋体"/>
          <w:sz w:val="24"/>
          <w:szCs w:val="24"/>
        </w:rPr>
      </w:pPr>
    </w:p>
    <w:p>
      <w:pPr>
        <w:pStyle w:val="12"/>
      </w:pPr>
    </w:p>
    <w:p>
      <w:pPr>
        <w:pStyle w:val="5"/>
        <w:adjustRightInd w:val="0"/>
        <w:snapToGrid w:val="0"/>
        <w:spacing w:before="0" w:after="0" w:line="360" w:lineRule="auto"/>
        <w:jc w:val="center"/>
        <w:rPr>
          <w:rFonts w:ascii="黑体" w:hAnsi="宋体" w:eastAsia="黑体"/>
          <w:sz w:val="28"/>
          <w:szCs w:val="28"/>
        </w:rPr>
      </w:pPr>
      <w:bookmarkStart w:id="24" w:name="_Toc25418"/>
      <w:r>
        <w:rPr>
          <w:rFonts w:hint="eastAsia" w:ascii="黑体" w:hAnsi="宋体" w:eastAsia="黑体"/>
          <w:sz w:val="28"/>
          <w:szCs w:val="28"/>
        </w:rPr>
        <w:t>三、分项报价</w:t>
      </w:r>
      <w:bookmarkEnd w:id="24"/>
    </w:p>
    <w:p>
      <w:pPr>
        <w:pStyle w:val="6"/>
        <w:jc w:val="left"/>
        <w:rPr>
          <w:rFonts w:ascii="黑体" w:hAnsi="宋体" w:cs="微软雅黑"/>
          <w:b w:val="0"/>
          <w:kern w:val="0"/>
          <w:sz w:val="21"/>
          <w:szCs w:val="21"/>
        </w:rPr>
      </w:pPr>
      <w:bookmarkStart w:id="25" w:name="_Toc4027"/>
      <w:r>
        <w:rPr>
          <w:rFonts w:hint="eastAsia" w:ascii="黑体" w:hAnsi="华文中宋" w:cs="宋体"/>
          <w:b w:val="0"/>
          <w:bCs w:val="0"/>
          <w:spacing w:val="6"/>
          <w:kern w:val="0"/>
          <w:sz w:val="21"/>
          <w:szCs w:val="21"/>
        </w:rPr>
        <w:t xml:space="preserve">附件6-1 </w:t>
      </w:r>
      <w:r>
        <w:rPr>
          <w:rFonts w:hint="eastAsia" w:ascii="黑体" w:hAnsi="宋体" w:cs="微软雅黑"/>
          <w:b w:val="0"/>
          <w:spacing w:val="-2"/>
          <w:kern w:val="0"/>
          <w:sz w:val="21"/>
          <w:szCs w:val="21"/>
        </w:rPr>
        <w:t>分</w:t>
      </w:r>
      <w:r>
        <w:rPr>
          <w:rFonts w:hint="eastAsia" w:ascii="黑体" w:hAnsi="宋体" w:cs="微软雅黑"/>
          <w:b w:val="0"/>
          <w:kern w:val="0"/>
          <w:sz w:val="21"/>
          <w:szCs w:val="21"/>
        </w:rPr>
        <w:t>项</w:t>
      </w:r>
      <w:r>
        <w:rPr>
          <w:rFonts w:hint="eastAsia" w:ascii="黑体" w:hAnsi="宋体" w:cs="微软雅黑"/>
          <w:b w:val="0"/>
          <w:spacing w:val="-2"/>
          <w:kern w:val="0"/>
          <w:sz w:val="21"/>
          <w:szCs w:val="21"/>
        </w:rPr>
        <w:t>报</w:t>
      </w:r>
      <w:r>
        <w:rPr>
          <w:rFonts w:hint="eastAsia" w:ascii="黑体" w:hAnsi="宋体" w:cs="微软雅黑"/>
          <w:b w:val="0"/>
          <w:kern w:val="0"/>
          <w:sz w:val="21"/>
          <w:szCs w:val="21"/>
        </w:rPr>
        <w:t>价说明</w:t>
      </w:r>
      <w:bookmarkEnd w:id="25"/>
      <w:r>
        <w:rPr>
          <w:rFonts w:hint="eastAsia" w:ascii="黑体" w:hAnsi="宋体" w:cs="微软雅黑"/>
          <w:b w:val="0"/>
          <w:kern w:val="0"/>
          <w:sz w:val="21"/>
          <w:szCs w:val="21"/>
        </w:rPr>
        <w:t xml:space="preserve">  </w:t>
      </w:r>
    </w:p>
    <w:p>
      <w:pPr>
        <w:autoSpaceDE w:val="0"/>
        <w:autoSpaceDN w:val="0"/>
        <w:adjustRightInd w:val="0"/>
        <w:snapToGrid w:val="0"/>
        <w:spacing w:line="360" w:lineRule="auto"/>
        <w:jc w:val="center"/>
        <w:rPr>
          <w:rFonts w:ascii="黑体" w:hAnsi="宋体" w:eastAsia="黑体" w:cs="微软雅黑"/>
          <w:b/>
          <w:kern w:val="0"/>
          <w:sz w:val="28"/>
          <w:szCs w:val="28"/>
        </w:rPr>
      </w:pPr>
      <w:r>
        <w:rPr>
          <w:rFonts w:hint="eastAsia" w:ascii="黑体" w:hAnsi="宋体" w:eastAsia="黑体" w:cs="微软雅黑"/>
          <w:b/>
          <w:spacing w:val="-2"/>
          <w:kern w:val="0"/>
          <w:sz w:val="28"/>
          <w:szCs w:val="28"/>
        </w:rPr>
        <w:t>分</w:t>
      </w:r>
      <w:r>
        <w:rPr>
          <w:rFonts w:hint="eastAsia" w:ascii="黑体" w:hAnsi="宋体" w:eastAsia="黑体" w:cs="微软雅黑"/>
          <w:b/>
          <w:kern w:val="0"/>
          <w:sz w:val="28"/>
          <w:szCs w:val="28"/>
        </w:rPr>
        <w:t>项</w:t>
      </w:r>
      <w:r>
        <w:rPr>
          <w:rFonts w:hint="eastAsia" w:ascii="黑体" w:hAnsi="宋体" w:eastAsia="黑体" w:cs="微软雅黑"/>
          <w:b/>
          <w:spacing w:val="-2"/>
          <w:kern w:val="0"/>
          <w:sz w:val="28"/>
          <w:szCs w:val="28"/>
        </w:rPr>
        <w:t>报</w:t>
      </w:r>
      <w:r>
        <w:rPr>
          <w:rFonts w:hint="eastAsia" w:ascii="黑体" w:hAnsi="宋体" w:eastAsia="黑体" w:cs="微软雅黑"/>
          <w:b/>
          <w:kern w:val="0"/>
          <w:sz w:val="28"/>
          <w:szCs w:val="28"/>
        </w:rPr>
        <w:t>价说明</w:t>
      </w:r>
    </w:p>
    <w:p>
      <w:pPr>
        <w:autoSpaceDE w:val="0"/>
        <w:autoSpaceDN w:val="0"/>
        <w:adjustRightInd w:val="0"/>
        <w:snapToGrid w:val="0"/>
        <w:spacing w:line="360" w:lineRule="auto"/>
        <w:jc w:val="left"/>
        <w:rPr>
          <w:rFonts w:ascii="宋体" w:hAnsi="宋体" w:cs="微软雅黑"/>
          <w:kern w:val="0"/>
          <w:szCs w:val="21"/>
        </w:rPr>
      </w:pPr>
      <w:r>
        <w:rPr>
          <w:rFonts w:hint="eastAsia" w:ascii="宋体" w:hAnsi="宋体" w:cs="微软雅黑"/>
          <w:kern w:val="0"/>
          <w:szCs w:val="21"/>
        </w:rPr>
        <w:t>备注：投标人应按招标文件第二章相关要求，对本节</w:t>
      </w:r>
      <w:r>
        <w:rPr>
          <w:rFonts w:hint="eastAsia" w:ascii="宋体" w:hAnsi="宋体"/>
          <w:bCs/>
          <w:szCs w:val="21"/>
        </w:rPr>
        <w:t>“</w:t>
      </w:r>
      <w:r>
        <w:rPr>
          <w:rFonts w:hint="eastAsia" w:ascii="宋体" w:hAnsi="宋体" w:cs="微软雅黑"/>
          <w:kern w:val="0"/>
          <w:szCs w:val="21"/>
        </w:rPr>
        <w:t>分项报价明细表</w:t>
      </w:r>
      <w:r>
        <w:rPr>
          <w:rFonts w:hint="eastAsia" w:ascii="宋体" w:hAnsi="宋体"/>
          <w:bCs/>
          <w:szCs w:val="21"/>
        </w:rPr>
        <w:t>”进行</w:t>
      </w:r>
      <w:r>
        <w:rPr>
          <w:rFonts w:hint="eastAsia" w:ascii="宋体" w:hAnsi="宋体" w:cs="微软雅黑"/>
          <w:kern w:val="0"/>
          <w:szCs w:val="21"/>
        </w:rPr>
        <w:t>编制，并说明。</w:t>
      </w:r>
    </w:p>
    <w:p/>
    <w:p>
      <w:pPr>
        <w:pStyle w:val="6"/>
        <w:jc w:val="left"/>
        <w:rPr>
          <w:rFonts w:ascii="黑体" w:hAnsi="宋体" w:cs="微软雅黑"/>
          <w:b w:val="0"/>
          <w:kern w:val="0"/>
          <w:sz w:val="21"/>
          <w:szCs w:val="21"/>
        </w:rPr>
      </w:pPr>
      <w:bookmarkStart w:id="26" w:name="_Toc2189"/>
      <w:r>
        <w:rPr>
          <w:rFonts w:hint="eastAsia" w:ascii="黑体" w:hAnsi="华文中宋" w:cs="宋体"/>
          <w:b w:val="0"/>
          <w:bCs w:val="0"/>
          <w:spacing w:val="6"/>
          <w:kern w:val="0"/>
          <w:sz w:val="21"/>
          <w:szCs w:val="21"/>
        </w:rPr>
        <w:t xml:space="preserve">附件6-2 </w:t>
      </w:r>
      <w:r>
        <w:rPr>
          <w:rFonts w:hint="eastAsia" w:ascii="黑体" w:hAnsi="宋体" w:cs="微软雅黑"/>
          <w:b w:val="0"/>
          <w:spacing w:val="-2"/>
          <w:kern w:val="0"/>
          <w:position w:val="-3"/>
          <w:sz w:val="21"/>
          <w:szCs w:val="21"/>
        </w:rPr>
        <w:t>分</w:t>
      </w:r>
      <w:r>
        <w:rPr>
          <w:rFonts w:hint="eastAsia" w:ascii="黑体" w:hAnsi="宋体" w:cs="微软雅黑"/>
          <w:b w:val="0"/>
          <w:kern w:val="0"/>
          <w:position w:val="-3"/>
          <w:sz w:val="21"/>
          <w:szCs w:val="21"/>
        </w:rPr>
        <w:t>项</w:t>
      </w:r>
      <w:r>
        <w:rPr>
          <w:rFonts w:hint="eastAsia" w:ascii="黑体" w:hAnsi="宋体" w:cs="微软雅黑"/>
          <w:b w:val="0"/>
          <w:spacing w:val="-2"/>
          <w:kern w:val="0"/>
          <w:position w:val="-3"/>
          <w:sz w:val="21"/>
          <w:szCs w:val="21"/>
        </w:rPr>
        <w:t>报</w:t>
      </w:r>
      <w:r>
        <w:rPr>
          <w:rFonts w:hint="eastAsia" w:ascii="黑体" w:hAnsi="宋体" w:cs="微软雅黑"/>
          <w:b w:val="0"/>
          <w:kern w:val="0"/>
          <w:position w:val="-3"/>
          <w:sz w:val="21"/>
          <w:szCs w:val="21"/>
        </w:rPr>
        <w:t>价明细表</w:t>
      </w:r>
      <w:bookmarkEnd w:id="26"/>
    </w:p>
    <w:p>
      <w:pPr>
        <w:adjustRightInd w:val="0"/>
        <w:snapToGrid w:val="0"/>
        <w:spacing w:line="360" w:lineRule="auto"/>
        <w:jc w:val="center"/>
        <w:rPr>
          <w:rFonts w:ascii="黑体" w:hAnsi="宋体" w:eastAsia="黑体" w:cs="微软雅黑"/>
          <w:b/>
          <w:kern w:val="0"/>
          <w:position w:val="-3"/>
          <w:sz w:val="28"/>
          <w:szCs w:val="28"/>
        </w:rPr>
      </w:pPr>
      <w:r>
        <w:rPr>
          <w:rFonts w:hint="eastAsia" w:ascii="黑体" w:hAnsi="宋体" w:eastAsia="黑体" w:cs="微软雅黑"/>
          <w:b/>
          <w:spacing w:val="-2"/>
          <w:kern w:val="0"/>
          <w:position w:val="-3"/>
          <w:sz w:val="28"/>
          <w:szCs w:val="28"/>
        </w:rPr>
        <w:t>分</w:t>
      </w:r>
      <w:r>
        <w:rPr>
          <w:rFonts w:hint="eastAsia" w:ascii="黑体" w:hAnsi="宋体" w:eastAsia="黑体" w:cs="微软雅黑"/>
          <w:b/>
          <w:kern w:val="0"/>
          <w:position w:val="-3"/>
          <w:sz w:val="28"/>
          <w:szCs w:val="28"/>
        </w:rPr>
        <w:t>项</w:t>
      </w:r>
      <w:r>
        <w:rPr>
          <w:rFonts w:hint="eastAsia" w:ascii="黑体" w:hAnsi="宋体" w:eastAsia="黑体" w:cs="微软雅黑"/>
          <w:b/>
          <w:spacing w:val="-2"/>
          <w:kern w:val="0"/>
          <w:position w:val="-3"/>
          <w:sz w:val="28"/>
          <w:szCs w:val="28"/>
        </w:rPr>
        <w:t>报</w:t>
      </w:r>
      <w:r>
        <w:rPr>
          <w:rFonts w:hint="eastAsia" w:ascii="黑体" w:hAnsi="宋体" w:eastAsia="黑体" w:cs="微软雅黑"/>
          <w:b/>
          <w:kern w:val="0"/>
          <w:position w:val="-3"/>
          <w:sz w:val="28"/>
          <w:szCs w:val="28"/>
        </w:rPr>
        <w:t>价明细表</w:t>
      </w:r>
    </w:p>
    <w:p>
      <w:pPr>
        <w:adjustRightInd w:val="0"/>
        <w:snapToGrid w:val="0"/>
        <w:spacing w:line="360" w:lineRule="auto"/>
        <w:rPr>
          <w:rFonts w:ascii="宋体" w:hAnsi="宋体"/>
          <w:szCs w:val="21"/>
        </w:rPr>
      </w:pPr>
      <w:r>
        <w:rPr>
          <w:rFonts w:hint="eastAsia" w:ascii="宋体" w:hAnsi="宋体"/>
          <w:szCs w:val="21"/>
          <w:lang w:eastAsia="zh-CN"/>
        </w:rPr>
        <w:t>委托代理</w:t>
      </w:r>
      <w:r>
        <w:rPr>
          <w:rFonts w:hint="eastAsia" w:ascii="宋体" w:hAnsi="宋体"/>
          <w:szCs w:val="21"/>
        </w:rPr>
        <w:t>编号：</w:t>
      </w:r>
      <w:r>
        <w:rPr>
          <w:rFonts w:hint="eastAsia" w:ascii="宋体" w:hAnsi="宋体"/>
          <w:szCs w:val="21"/>
          <w:u w:val="single"/>
        </w:rPr>
        <w:t xml:space="preserve">               </w:t>
      </w:r>
      <w:r>
        <w:rPr>
          <w:rFonts w:hint="eastAsia" w:ascii="宋体" w:hAnsi="宋体"/>
          <w:szCs w:val="21"/>
        </w:rPr>
        <w:t xml:space="preserve">                   项目名称：</w:t>
      </w:r>
      <w:r>
        <w:rPr>
          <w:rFonts w:hint="eastAsia" w:ascii="宋体" w:hAnsi="宋体"/>
          <w:szCs w:val="21"/>
          <w:u w:val="single"/>
        </w:rPr>
        <w:t xml:space="preserve">                   </w:t>
      </w:r>
      <w:r>
        <w:rPr>
          <w:rFonts w:hint="eastAsia" w:ascii="宋体" w:hAnsi="宋体"/>
          <w:szCs w:val="21"/>
        </w:rPr>
        <w:t xml:space="preserve"> </w:t>
      </w:r>
    </w:p>
    <w:tbl>
      <w:tblPr>
        <w:tblStyle w:val="32"/>
        <w:tblW w:w="8874" w:type="dxa"/>
        <w:tblInd w:w="0" w:type="dxa"/>
        <w:tblLayout w:type="fixed"/>
        <w:tblCellMar>
          <w:top w:w="0" w:type="dxa"/>
          <w:left w:w="0" w:type="dxa"/>
          <w:bottom w:w="0" w:type="dxa"/>
          <w:right w:w="0" w:type="dxa"/>
        </w:tblCellMar>
      </w:tblPr>
      <w:tblGrid>
        <w:gridCol w:w="333"/>
        <w:gridCol w:w="1383"/>
        <w:gridCol w:w="2126"/>
        <w:gridCol w:w="1200"/>
        <w:gridCol w:w="1092"/>
        <w:gridCol w:w="910"/>
        <w:gridCol w:w="916"/>
        <w:gridCol w:w="914"/>
      </w:tblGrid>
      <w:tr>
        <w:tblPrEx>
          <w:tblCellMar>
            <w:top w:w="0" w:type="dxa"/>
            <w:left w:w="0" w:type="dxa"/>
            <w:bottom w:w="0" w:type="dxa"/>
            <w:right w:w="0" w:type="dxa"/>
          </w:tblCellMar>
        </w:tblPrEx>
        <w:trPr>
          <w:trHeight w:val="415" w:hRule="exact"/>
        </w:trPr>
        <w:tc>
          <w:tcPr>
            <w:tcW w:w="1716" w:type="dxa"/>
            <w:gridSpan w:val="2"/>
            <w:vMerge w:val="restart"/>
            <w:tcBorders>
              <w:top w:val="double" w:color="auto" w:sz="4" w:space="0"/>
              <w:left w:val="double" w:color="auto" w:sz="4" w:space="0"/>
              <w:right w:val="single" w:color="auto" w:sz="6"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szCs w:val="21"/>
                <w:lang w:val="en-US" w:eastAsia="zh-CN"/>
              </w:rPr>
              <w:t xml:space="preserve"> </w:t>
            </w:r>
            <w:r>
              <w:rPr>
                <w:rFonts w:hint="eastAsia" w:ascii="宋体" w:hAnsi="宋体" w:cs="微软雅黑"/>
                <w:kern w:val="0"/>
                <w:position w:val="-1"/>
                <w:szCs w:val="21"/>
              </w:rPr>
              <w:t>标的名称</w:t>
            </w:r>
          </w:p>
        </w:tc>
        <w:tc>
          <w:tcPr>
            <w:tcW w:w="2126" w:type="dxa"/>
            <w:vMerge w:val="restart"/>
            <w:tcBorders>
              <w:top w:val="double" w:color="auto" w:sz="4"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szCs w:val="21"/>
              </w:rPr>
            </w:pPr>
            <w:r>
              <w:rPr>
                <w:rFonts w:hint="eastAsia" w:ascii="宋体" w:hAnsi="宋体"/>
                <w:szCs w:val="21"/>
              </w:rPr>
              <w:t>规格型号</w:t>
            </w:r>
          </w:p>
          <w:p>
            <w:pPr>
              <w:autoSpaceDE w:val="0"/>
              <w:autoSpaceDN w:val="0"/>
              <w:adjustRightInd w:val="0"/>
              <w:snapToGrid w:val="0"/>
              <w:spacing w:line="360" w:lineRule="auto"/>
              <w:ind w:right="-20"/>
              <w:jc w:val="center"/>
              <w:rPr>
                <w:rFonts w:ascii="宋体" w:hAnsi="宋体"/>
                <w:szCs w:val="21"/>
              </w:rPr>
            </w:pPr>
            <w:r>
              <w:rPr>
                <w:rFonts w:hint="eastAsia" w:ascii="宋体" w:hAnsi="宋体"/>
                <w:szCs w:val="21"/>
              </w:rPr>
              <w:t>（或项目特征描述</w:t>
            </w:r>
            <w:r>
              <w:rPr>
                <w:rFonts w:ascii="宋体" w:hAnsi="宋体"/>
                <w:szCs w:val="21"/>
              </w:rPr>
              <w:t>）</w:t>
            </w:r>
          </w:p>
        </w:tc>
        <w:tc>
          <w:tcPr>
            <w:tcW w:w="1200" w:type="dxa"/>
            <w:vMerge w:val="restart"/>
            <w:tcBorders>
              <w:top w:val="double" w:color="auto" w:sz="4"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right="-20"/>
              <w:jc w:val="center"/>
              <w:rPr>
                <w:rFonts w:ascii="宋体" w:hAnsi="宋体"/>
                <w:szCs w:val="21"/>
              </w:rPr>
            </w:pPr>
            <w:r>
              <w:rPr>
                <w:rFonts w:hint="eastAsia" w:ascii="宋体" w:hAnsi="宋体"/>
                <w:szCs w:val="21"/>
              </w:rPr>
              <w:t>品牌/产地</w:t>
            </w:r>
          </w:p>
        </w:tc>
        <w:tc>
          <w:tcPr>
            <w:tcW w:w="1092" w:type="dxa"/>
            <w:vMerge w:val="restart"/>
            <w:tcBorders>
              <w:top w:val="double" w:color="auto" w:sz="4" w:space="0"/>
              <w:left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kern w:val="0"/>
                <w:szCs w:val="21"/>
              </w:rPr>
              <w:t>数量/单位</w:t>
            </w:r>
          </w:p>
        </w:tc>
        <w:tc>
          <w:tcPr>
            <w:tcW w:w="1826" w:type="dxa"/>
            <w:gridSpan w:val="2"/>
            <w:tcBorders>
              <w:top w:val="double" w:color="auto" w:sz="4"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cs="微软雅黑"/>
                <w:kern w:val="0"/>
                <w:position w:val="-1"/>
                <w:szCs w:val="21"/>
              </w:rPr>
              <w:t>金额（元）</w:t>
            </w:r>
          </w:p>
        </w:tc>
        <w:tc>
          <w:tcPr>
            <w:tcW w:w="914" w:type="dxa"/>
            <w:vMerge w:val="restart"/>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napToGrid w:val="0"/>
              <w:spacing w:line="360" w:lineRule="auto"/>
              <w:ind w:right="-20"/>
              <w:jc w:val="center"/>
              <w:rPr>
                <w:rFonts w:ascii="宋体" w:hAnsi="宋体" w:cs="微软雅黑"/>
                <w:kern w:val="0"/>
                <w:position w:val="-1"/>
                <w:szCs w:val="21"/>
              </w:rPr>
            </w:pPr>
            <w:r>
              <w:rPr>
                <w:rFonts w:hint="eastAsia" w:ascii="宋体" w:hAnsi="宋体" w:cs="微软雅黑"/>
                <w:kern w:val="0"/>
                <w:position w:val="-1"/>
                <w:szCs w:val="21"/>
              </w:rPr>
              <w:t>备注</w:t>
            </w:r>
          </w:p>
        </w:tc>
      </w:tr>
      <w:tr>
        <w:tblPrEx>
          <w:tblCellMar>
            <w:top w:w="0" w:type="dxa"/>
            <w:left w:w="0" w:type="dxa"/>
            <w:bottom w:w="0" w:type="dxa"/>
            <w:right w:w="0" w:type="dxa"/>
          </w:tblCellMar>
        </w:tblPrEx>
        <w:trPr>
          <w:trHeight w:val="415" w:hRule="exact"/>
        </w:trPr>
        <w:tc>
          <w:tcPr>
            <w:tcW w:w="1716" w:type="dxa"/>
            <w:gridSpan w:val="2"/>
            <w:vMerge w:val="continue"/>
            <w:tcBorders>
              <w:left w:val="double" w:color="auto" w:sz="4" w:space="0"/>
              <w:bottom w:val="single" w:color="auto" w:sz="6" w:space="0"/>
              <w:right w:val="single" w:color="auto" w:sz="6" w:space="0"/>
            </w:tcBorders>
          </w:tcPr>
          <w:p>
            <w:pPr>
              <w:autoSpaceDE w:val="0"/>
              <w:autoSpaceDN w:val="0"/>
              <w:adjustRightInd w:val="0"/>
              <w:snapToGrid w:val="0"/>
              <w:spacing w:line="360" w:lineRule="auto"/>
              <w:ind w:left="352" w:right="-20"/>
              <w:jc w:val="left"/>
              <w:rPr>
                <w:rFonts w:ascii="宋体" w:hAnsi="宋体"/>
                <w:kern w:val="0"/>
                <w:szCs w:val="21"/>
              </w:rPr>
            </w:pPr>
          </w:p>
        </w:tc>
        <w:tc>
          <w:tcPr>
            <w:tcW w:w="2126" w:type="dxa"/>
            <w:vMerge w:val="continue"/>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kern w:val="0"/>
                <w:szCs w:val="21"/>
              </w:rPr>
            </w:pPr>
          </w:p>
        </w:tc>
        <w:tc>
          <w:tcPr>
            <w:tcW w:w="1200" w:type="dxa"/>
            <w:vMerge w:val="continue"/>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right="-20"/>
              <w:jc w:val="center"/>
              <w:rPr>
                <w:rFonts w:ascii="宋体" w:hAnsi="宋体"/>
                <w:kern w:val="0"/>
                <w:szCs w:val="21"/>
              </w:rPr>
            </w:pPr>
          </w:p>
        </w:tc>
        <w:tc>
          <w:tcPr>
            <w:tcW w:w="1092" w:type="dxa"/>
            <w:vMerge w:val="continue"/>
            <w:tcBorders>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kern w:val="0"/>
                <w:szCs w:val="21"/>
              </w:rPr>
            </w:pPr>
          </w:p>
        </w:tc>
        <w:tc>
          <w:tcPr>
            <w:tcW w:w="910" w:type="dxa"/>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napToGrid w:val="0"/>
              <w:spacing w:line="360" w:lineRule="auto"/>
              <w:ind w:right="-20"/>
              <w:jc w:val="center"/>
              <w:rPr>
                <w:rFonts w:ascii="宋体" w:hAnsi="宋体"/>
                <w:kern w:val="0"/>
                <w:szCs w:val="21"/>
              </w:rPr>
            </w:pPr>
            <w:r>
              <w:rPr>
                <w:rFonts w:hint="eastAsia" w:ascii="宋体" w:hAnsi="宋体" w:cs="微软雅黑"/>
                <w:kern w:val="0"/>
                <w:position w:val="-1"/>
                <w:szCs w:val="21"/>
              </w:rPr>
              <w:t>单价</w:t>
            </w:r>
          </w:p>
        </w:tc>
        <w:tc>
          <w:tcPr>
            <w:tcW w:w="91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ind w:left="70" w:right="-20"/>
              <w:jc w:val="center"/>
              <w:rPr>
                <w:rFonts w:ascii="宋体" w:hAnsi="宋体"/>
                <w:kern w:val="0"/>
                <w:szCs w:val="21"/>
              </w:rPr>
            </w:pPr>
            <w:r>
              <w:rPr>
                <w:rFonts w:hint="eastAsia" w:ascii="宋体" w:hAnsi="宋体"/>
                <w:kern w:val="0"/>
                <w:szCs w:val="21"/>
              </w:rPr>
              <w:t>小计</w:t>
            </w:r>
          </w:p>
        </w:tc>
        <w:tc>
          <w:tcPr>
            <w:tcW w:w="914" w:type="dxa"/>
            <w:vMerge w:val="continue"/>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ind w:left="422" w:right="-20"/>
              <w:jc w:val="left"/>
              <w:rPr>
                <w:rFonts w:ascii="宋体" w:hAnsi="宋体"/>
                <w:kern w:val="0"/>
                <w:szCs w:val="21"/>
              </w:rPr>
            </w:pPr>
          </w:p>
        </w:tc>
      </w:tr>
      <w:tr>
        <w:tblPrEx>
          <w:tblCellMar>
            <w:top w:w="0" w:type="dxa"/>
            <w:left w:w="0" w:type="dxa"/>
            <w:bottom w:w="0" w:type="dxa"/>
            <w:right w:w="0" w:type="dxa"/>
          </w:tblCellMar>
        </w:tblPrEx>
        <w:trPr>
          <w:trHeight w:val="378"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1</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2</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3</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4</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rPr>
                <w:rFonts w:ascii="宋体" w:hAnsi="宋体" w:cs="宋体"/>
              </w:rPr>
            </w:pPr>
            <w:r>
              <w:rPr>
                <w:rFonts w:hint="eastAsia" w:ascii="宋体" w:hAnsi="宋体" w:cs="宋体"/>
              </w:rPr>
              <w:t>5</w:t>
            </w:r>
          </w:p>
        </w:tc>
        <w:tc>
          <w:tcPr>
            <w:tcW w:w="138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333" w:type="dxa"/>
            <w:tcBorders>
              <w:top w:val="single" w:color="auto" w:sz="6" w:space="0"/>
              <w:left w:val="double" w:color="auto" w:sz="4" w:space="0"/>
              <w:bottom w:val="single" w:color="auto" w:sz="6" w:space="0"/>
              <w:right w:val="single" w:color="auto" w:sz="6" w:space="0"/>
            </w:tcBorders>
            <w:vAlign w:val="center"/>
          </w:tcPr>
          <w:p>
            <w:pPr>
              <w:jc w:val="center"/>
            </w:pPr>
            <w:r>
              <w:t>…</w:t>
            </w:r>
          </w:p>
        </w:tc>
        <w:tc>
          <w:tcPr>
            <w:tcW w:w="1383"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ind w:left="527" w:right="507"/>
              <w:jc w:val="center"/>
              <w:rPr>
                <w:rFonts w:ascii="宋体" w:hAnsi="宋体"/>
                <w:kern w:val="0"/>
                <w:szCs w:val="21"/>
              </w:rPr>
            </w:pPr>
          </w:p>
        </w:tc>
        <w:tc>
          <w:tcPr>
            <w:tcW w:w="212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120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1092"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jc w:val="left"/>
              <w:rPr>
                <w:rFonts w:ascii="宋体" w:hAnsi="宋体"/>
                <w:kern w:val="0"/>
                <w:szCs w:val="21"/>
              </w:rPr>
            </w:pPr>
          </w:p>
        </w:tc>
        <w:tc>
          <w:tcPr>
            <w:tcW w:w="910"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single" w:color="auto" w:sz="6"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r>
        <w:tblPrEx>
          <w:tblCellMar>
            <w:top w:w="0" w:type="dxa"/>
            <w:left w:w="0" w:type="dxa"/>
            <w:bottom w:w="0" w:type="dxa"/>
            <w:right w:w="0" w:type="dxa"/>
          </w:tblCellMar>
        </w:tblPrEx>
        <w:trPr>
          <w:trHeight w:val="415" w:hRule="exact"/>
        </w:trPr>
        <w:tc>
          <w:tcPr>
            <w:tcW w:w="7044" w:type="dxa"/>
            <w:gridSpan w:val="6"/>
            <w:tcBorders>
              <w:top w:val="single" w:color="auto" w:sz="6" w:space="0"/>
              <w:left w:val="double" w:color="auto" w:sz="4" w:space="0"/>
              <w:bottom w:val="double" w:color="auto" w:sz="4" w:space="0"/>
              <w:right w:val="single" w:color="auto" w:sz="6" w:space="0"/>
            </w:tcBorders>
            <w:vAlign w:val="center"/>
          </w:tcPr>
          <w:p>
            <w:pPr>
              <w:autoSpaceDE w:val="0"/>
              <w:autoSpaceDN w:val="0"/>
              <w:adjustRightInd w:val="0"/>
              <w:snapToGrid w:val="0"/>
              <w:spacing w:line="360" w:lineRule="auto"/>
              <w:jc w:val="center"/>
              <w:rPr>
                <w:rFonts w:ascii="宋体" w:hAnsi="宋体"/>
                <w:kern w:val="0"/>
                <w:szCs w:val="21"/>
              </w:rPr>
            </w:pPr>
            <w:r>
              <w:rPr>
                <w:rFonts w:hint="eastAsia" w:ascii="宋体" w:hAnsi="宋体" w:cs="微软雅黑"/>
                <w:kern w:val="0"/>
                <w:position w:val="-1"/>
                <w:szCs w:val="21"/>
              </w:rPr>
              <w:t>投标报价（元）：</w:t>
            </w:r>
          </w:p>
        </w:tc>
        <w:tc>
          <w:tcPr>
            <w:tcW w:w="916" w:type="dxa"/>
            <w:tcBorders>
              <w:top w:val="single" w:color="auto" w:sz="6" w:space="0"/>
              <w:left w:val="single" w:color="auto" w:sz="6" w:space="0"/>
              <w:bottom w:val="double" w:color="auto" w:sz="4" w:space="0"/>
              <w:right w:val="single" w:color="auto" w:sz="6" w:space="0"/>
            </w:tcBorders>
          </w:tcPr>
          <w:p>
            <w:pPr>
              <w:autoSpaceDE w:val="0"/>
              <w:autoSpaceDN w:val="0"/>
              <w:adjustRightInd w:val="0"/>
              <w:snapToGrid w:val="0"/>
              <w:spacing w:line="360" w:lineRule="auto"/>
              <w:jc w:val="left"/>
              <w:rPr>
                <w:rFonts w:ascii="宋体" w:hAnsi="宋体"/>
                <w:kern w:val="0"/>
                <w:szCs w:val="21"/>
              </w:rPr>
            </w:pPr>
          </w:p>
        </w:tc>
        <w:tc>
          <w:tcPr>
            <w:tcW w:w="914" w:type="dxa"/>
            <w:tcBorders>
              <w:top w:val="single" w:color="auto" w:sz="6" w:space="0"/>
              <w:left w:val="single" w:color="auto" w:sz="6" w:space="0"/>
              <w:bottom w:val="double" w:color="auto" w:sz="4" w:space="0"/>
              <w:right w:val="double" w:color="auto" w:sz="4" w:space="0"/>
            </w:tcBorders>
          </w:tcPr>
          <w:p>
            <w:pPr>
              <w:autoSpaceDE w:val="0"/>
              <w:autoSpaceDN w:val="0"/>
              <w:adjustRightInd w:val="0"/>
              <w:snapToGrid w:val="0"/>
              <w:spacing w:line="360" w:lineRule="auto"/>
              <w:jc w:val="left"/>
              <w:rPr>
                <w:rFonts w:ascii="宋体" w:hAnsi="宋体"/>
                <w:kern w:val="0"/>
                <w:szCs w:val="21"/>
              </w:rPr>
            </w:pPr>
          </w:p>
        </w:tc>
      </w:tr>
    </w:tbl>
    <w:p>
      <w:pPr>
        <w:adjustRightInd w:val="0"/>
        <w:snapToGrid w:val="0"/>
        <w:spacing w:line="360" w:lineRule="auto"/>
        <w:rPr>
          <w:rFonts w:ascii="宋体" w:hAnsi="宋体" w:cs="宋体"/>
          <w:szCs w:val="21"/>
        </w:rPr>
      </w:pPr>
      <w:r>
        <w:rPr>
          <w:rFonts w:hint="eastAsia" w:ascii="宋体" w:hAnsi="宋体" w:cs="宋体"/>
          <w:szCs w:val="21"/>
        </w:rPr>
        <w:t>说明：</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本表为合同包内所有货物的报价明细表，投标人应当按照第二章“投标人须知”第15条的要求报价。此表中的“投标总价”应与《报价一览表》中的“投标总价”一致。若有不一致，则以《报价一览表》中的“投标总价”为准。</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第6项的单价应包括服务项目中必不可少的各项费用。</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单价与总价不符时，以单价为准，并修正总价。</w:t>
      </w:r>
    </w:p>
    <w:p>
      <w:pPr>
        <w:numPr>
          <w:ilvl w:val="0"/>
          <w:numId w:val="13"/>
        </w:numPr>
        <w:adjustRightInd w:val="0"/>
        <w:snapToGrid w:val="0"/>
        <w:spacing w:line="360" w:lineRule="auto"/>
        <w:ind w:firstLine="420" w:firstLineChars="200"/>
        <w:rPr>
          <w:rFonts w:ascii="宋体" w:hAnsi="宋体" w:cs="宋体"/>
          <w:szCs w:val="21"/>
        </w:rPr>
      </w:pPr>
      <w:r>
        <w:rPr>
          <w:rFonts w:hint="eastAsia" w:ascii="宋体" w:hAnsi="宋体" w:cs="宋体"/>
          <w:szCs w:val="21"/>
        </w:rPr>
        <w:t>投标总价是包内各项服务费用的总和。</w:t>
      </w:r>
    </w:p>
    <w:p>
      <w:pPr>
        <w:adjustRightInd w:val="0"/>
        <w:snapToGrid w:val="0"/>
        <w:spacing w:line="360" w:lineRule="auto"/>
        <w:rPr>
          <w:rFonts w:ascii="宋体" w:hAnsi="宋体"/>
          <w:szCs w:val="21"/>
        </w:rPr>
      </w:pPr>
    </w:p>
    <w:p>
      <w:pPr>
        <w:adjustRightInd w:val="0"/>
        <w:snapToGrid w:val="0"/>
        <w:spacing w:line="360" w:lineRule="auto"/>
        <w:rPr>
          <w:rFonts w:ascii="宋体" w:hAnsi="宋体"/>
          <w:szCs w:val="21"/>
        </w:rPr>
      </w:pPr>
      <w:r>
        <w:rPr>
          <w:rFonts w:hint="eastAsia" w:ascii="宋体" w:hAnsi="宋体"/>
          <w:szCs w:val="21"/>
        </w:rPr>
        <w:t>投标人名称（盖单位章）：</w:t>
      </w:r>
    </w:p>
    <w:p>
      <w:pPr>
        <w:adjustRightInd w:val="0"/>
        <w:snapToGrid w:val="0"/>
        <w:spacing w:line="360" w:lineRule="auto"/>
        <w:rPr>
          <w:rFonts w:ascii="宋体" w:hAnsi="宋体"/>
          <w:szCs w:val="21"/>
        </w:rPr>
      </w:pPr>
      <w:r>
        <w:rPr>
          <w:rFonts w:hint="eastAsia" w:ascii="宋体" w:hAnsi="宋体" w:cs="微软雅黑"/>
          <w:spacing w:val="-2"/>
          <w:kern w:val="0"/>
          <w:szCs w:val="21"/>
        </w:rPr>
        <w:t>法</w:t>
      </w:r>
      <w:r>
        <w:rPr>
          <w:rFonts w:hint="eastAsia" w:ascii="宋体" w:hAnsi="宋体" w:cs="微软雅黑"/>
          <w:kern w:val="0"/>
          <w:szCs w:val="21"/>
        </w:rPr>
        <w:t>定</w:t>
      </w:r>
      <w:r>
        <w:rPr>
          <w:rFonts w:hint="eastAsia" w:ascii="宋体" w:hAnsi="宋体" w:cs="微软雅黑"/>
          <w:spacing w:val="-2"/>
          <w:kern w:val="0"/>
          <w:szCs w:val="21"/>
        </w:rPr>
        <w:t>代</w:t>
      </w:r>
      <w:r>
        <w:rPr>
          <w:rFonts w:hint="eastAsia" w:ascii="宋体" w:hAnsi="宋体" w:cs="微软雅黑"/>
          <w:kern w:val="0"/>
          <w:szCs w:val="21"/>
        </w:rPr>
        <w:t>表</w:t>
      </w:r>
      <w:r>
        <w:rPr>
          <w:rFonts w:hint="eastAsia" w:ascii="宋体" w:hAnsi="宋体" w:cs="微软雅黑"/>
          <w:spacing w:val="-2"/>
          <w:kern w:val="0"/>
          <w:szCs w:val="21"/>
        </w:rPr>
        <w:t>人</w:t>
      </w:r>
      <w:r>
        <w:rPr>
          <w:rFonts w:hint="eastAsia" w:ascii="宋体" w:hAnsi="宋体" w:cs="微软雅黑"/>
          <w:kern w:val="0"/>
          <w:szCs w:val="21"/>
        </w:rPr>
        <w:t>（</w:t>
      </w:r>
      <w:r>
        <w:rPr>
          <w:rFonts w:hint="eastAsia" w:ascii="宋体" w:hAnsi="宋体" w:cs="微软雅黑"/>
          <w:spacing w:val="-2"/>
          <w:kern w:val="0"/>
          <w:szCs w:val="21"/>
        </w:rPr>
        <w:t>单</w:t>
      </w:r>
      <w:r>
        <w:rPr>
          <w:rFonts w:hint="eastAsia" w:ascii="宋体" w:hAnsi="宋体" w:cs="微软雅黑"/>
          <w:kern w:val="0"/>
          <w:szCs w:val="21"/>
        </w:rPr>
        <w:t>位</w:t>
      </w:r>
      <w:r>
        <w:rPr>
          <w:rFonts w:hint="eastAsia" w:ascii="宋体" w:hAnsi="宋体" w:cs="微软雅黑"/>
          <w:spacing w:val="-2"/>
          <w:kern w:val="0"/>
          <w:szCs w:val="21"/>
        </w:rPr>
        <w:t>负</w:t>
      </w:r>
      <w:r>
        <w:rPr>
          <w:rFonts w:hint="eastAsia" w:ascii="宋体" w:hAnsi="宋体" w:cs="微软雅黑"/>
          <w:kern w:val="0"/>
          <w:szCs w:val="21"/>
        </w:rPr>
        <w:t>责人</w:t>
      </w:r>
      <w:r>
        <w:rPr>
          <w:rFonts w:hint="eastAsia" w:ascii="宋体" w:hAnsi="宋体" w:cs="微软雅黑"/>
          <w:spacing w:val="-2"/>
          <w:kern w:val="0"/>
          <w:szCs w:val="21"/>
        </w:rPr>
        <w:t>）</w:t>
      </w:r>
      <w:r>
        <w:rPr>
          <w:rFonts w:hint="eastAsia" w:ascii="宋体" w:hAnsi="宋体"/>
          <w:szCs w:val="21"/>
        </w:rPr>
        <w:t>或其授权的代理人（签字或印章）：</w:t>
      </w:r>
      <w:r>
        <w:rPr>
          <w:rFonts w:hint="eastAsia" w:ascii="宋体" w:hAnsi="宋体"/>
          <w:szCs w:val="21"/>
          <w:u w:val="single"/>
        </w:rPr>
        <w:t xml:space="preserve">       </w:t>
      </w:r>
    </w:p>
    <w:p>
      <w:pPr>
        <w:adjustRightInd w:val="0"/>
        <w:snapToGrid w:val="0"/>
        <w:spacing w:line="360" w:lineRule="auto"/>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line="360" w:lineRule="auto"/>
        <w:rPr>
          <w:rFonts w:ascii="宋体" w:hAnsi="宋体"/>
          <w:szCs w:val="21"/>
        </w:rPr>
        <w:sectPr>
          <w:headerReference r:id="rId16" w:type="first"/>
          <w:footerReference r:id="rId19" w:type="first"/>
          <w:headerReference r:id="rId14" w:type="default"/>
          <w:footerReference r:id="rId17" w:type="default"/>
          <w:headerReference r:id="rId15" w:type="even"/>
          <w:footerReference r:id="rId18" w:type="even"/>
          <w:pgSz w:w="11906" w:h="16838"/>
          <w:pgMar w:top="1474" w:right="1474" w:bottom="1474" w:left="1588" w:header="851" w:footer="992" w:gutter="0"/>
          <w:cols w:space="720" w:num="1"/>
          <w:docGrid w:type="lines" w:linePitch="312" w:charSpace="0"/>
        </w:sectPr>
      </w:pPr>
    </w:p>
    <w:p>
      <w:pPr>
        <w:adjustRightInd w:val="0"/>
        <w:snapToGrid w:val="0"/>
        <w:spacing w:before="156" w:beforeLines="50" w:after="156" w:afterLines="50" w:line="360" w:lineRule="auto"/>
        <w:rPr>
          <w:rFonts w:ascii="宋体" w:hAnsi="宋体" w:cs="宋体"/>
          <w:b/>
          <w:bCs/>
          <w:sz w:val="28"/>
          <w:szCs w:val="28"/>
        </w:rPr>
      </w:pPr>
      <w:r>
        <w:rPr>
          <w:rFonts w:hint="eastAsia" w:ascii="宋体" w:hAnsi="宋体" w:cs="宋体"/>
          <w:b/>
          <w:bCs/>
          <w:sz w:val="28"/>
          <w:szCs w:val="21"/>
        </w:rPr>
        <w:t>四、</w:t>
      </w:r>
      <w:r>
        <w:rPr>
          <w:rFonts w:hint="eastAsia" w:ascii="宋体" w:hAnsi="宋体" w:cs="宋体"/>
          <w:b/>
          <w:bCs/>
          <w:sz w:val="28"/>
          <w:szCs w:val="28"/>
        </w:rPr>
        <w:t>商务条款响应/偏离表</w:t>
      </w:r>
    </w:p>
    <w:p>
      <w:pPr>
        <w:adjustRightInd w:val="0"/>
        <w:snapToGrid w:val="0"/>
        <w:spacing w:line="360" w:lineRule="auto"/>
        <w:ind w:left="-88" w:leftChars="-42"/>
        <w:jc w:val="left"/>
        <w:rPr>
          <w:rFonts w:ascii="宋体" w:hAnsi="宋体" w:cs="宋体"/>
          <w:b/>
          <w:szCs w:val="21"/>
        </w:rPr>
      </w:pPr>
    </w:p>
    <w:p>
      <w:pPr>
        <w:adjustRightInd w:val="0"/>
        <w:snapToGrid w:val="0"/>
        <w:spacing w:line="360" w:lineRule="auto"/>
        <w:rPr>
          <w:rFonts w:ascii="宋体" w:hAnsi="宋体" w:cs="宋体"/>
          <w:szCs w:val="21"/>
          <w:u w:val="single"/>
        </w:rPr>
      </w:pPr>
      <w:r>
        <w:rPr>
          <w:rFonts w:hint="eastAsia" w:ascii="宋体" w:hAnsi="宋体" w:cs="宋体"/>
          <w:spacing w:val="28"/>
          <w:szCs w:val="21"/>
        </w:rPr>
        <w:t>委托代理编号</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p>
    <w:tbl>
      <w:tblPr>
        <w:tblStyle w:val="32"/>
        <w:tblW w:w="0" w:type="auto"/>
        <w:tblInd w:w="-3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3"/>
        <w:gridCol w:w="1827"/>
        <w:gridCol w:w="2340"/>
        <w:gridCol w:w="2313"/>
        <w:gridCol w:w="1287"/>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9" w:hRule="atLeast"/>
        </w:trPr>
        <w:tc>
          <w:tcPr>
            <w:tcW w:w="873"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序号</w:t>
            </w:r>
          </w:p>
        </w:tc>
        <w:tc>
          <w:tcPr>
            <w:tcW w:w="1827"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招标文件条目号</w:t>
            </w:r>
          </w:p>
        </w:tc>
        <w:tc>
          <w:tcPr>
            <w:tcW w:w="2340"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招标文件的商务条款</w:t>
            </w:r>
          </w:p>
        </w:tc>
        <w:tc>
          <w:tcPr>
            <w:tcW w:w="2313"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投标文件的商务条款</w:t>
            </w:r>
          </w:p>
        </w:tc>
        <w:tc>
          <w:tcPr>
            <w:tcW w:w="1287"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响应/偏离</w:t>
            </w:r>
          </w:p>
        </w:tc>
        <w:tc>
          <w:tcPr>
            <w:tcW w:w="900" w:type="dxa"/>
            <w:vAlign w:val="center"/>
          </w:tcPr>
          <w:p>
            <w:pPr>
              <w:adjustRightInd w:val="0"/>
              <w:snapToGrid w:val="0"/>
              <w:spacing w:line="360" w:lineRule="auto"/>
              <w:ind w:left="-88" w:leftChars="-42"/>
              <w:jc w:val="center"/>
              <w:rPr>
                <w:rFonts w:ascii="宋体" w:hAnsi="宋体" w:cs="宋体"/>
                <w:szCs w:val="21"/>
              </w:rPr>
            </w:pPr>
            <w:r>
              <w:rPr>
                <w:rFonts w:hint="eastAsia" w:ascii="宋体" w:hAnsi="宋体" w:cs="宋体"/>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9"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0" w:hRule="atLeast"/>
        </w:trPr>
        <w:tc>
          <w:tcPr>
            <w:tcW w:w="873" w:type="dxa"/>
            <w:vAlign w:val="center"/>
          </w:tcPr>
          <w:p>
            <w:pPr>
              <w:adjustRightInd w:val="0"/>
              <w:snapToGrid w:val="0"/>
              <w:spacing w:line="360" w:lineRule="auto"/>
              <w:ind w:left="-88" w:leftChars="-42"/>
              <w:jc w:val="center"/>
              <w:rPr>
                <w:rFonts w:ascii="宋体" w:hAnsi="宋体" w:cs="宋体"/>
                <w:szCs w:val="21"/>
              </w:rPr>
            </w:pPr>
          </w:p>
        </w:tc>
        <w:tc>
          <w:tcPr>
            <w:tcW w:w="1827" w:type="dxa"/>
            <w:vAlign w:val="center"/>
          </w:tcPr>
          <w:p>
            <w:pPr>
              <w:adjustRightInd w:val="0"/>
              <w:snapToGrid w:val="0"/>
              <w:spacing w:line="360" w:lineRule="auto"/>
              <w:ind w:left="-88" w:leftChars="-42"/>
              <w:jc w:val="center"/>
              <w:rPr>
                <w:rFonts w:ascii="宋体" w:hAnsi="宋体" w:cs="宋体"/>
                <w:szCs w:val="21"/>
              </w:rPr>
            </w:pPr>
          </w:p>
        </w:tc>
        <w:tc>
          <w:tcPr>
            <w:tcW w:w="2340" w:type="dxa"/>
            <w:vAlign w:val="center"/>
          </w:tcPr>
          <w:p>
            <w:pPr>
              <w:adjustRightInd w:val="0"/>
              <w:snapToGrid w:val="0"/>
              <w:spacing w:line="360" w:lineRule="auto"/>
              <w:ind w:left="-88" w:leftChars="-42"/>
              <w:jc w:val="center"/>
              <w:rPr>
                <w:rFonts w:ascii="宋体" w:hAnsi="宋体" w:cs="宋体"/>
                <w:szCs w:val="21"/>
              </w:rPr>
            </w:pPr>
          </w:p>
        </w:tc>
        <w:tc>
          <w:tcPr>
            <w:tcW w:w="2313" w:type="dxa"/>
            <w:vAlign w:val="center"/>
          </w:tcPr>
          <w:p>
            <w:pPr>
              <w:adjustRightInd w:val="0"/>
              <w:snapToGrid w:val="0"/>
              <w:spacing w:line="360" w:lineRule="auto"/>
              <w:ind w:left="-88" w:leftChars="-42"/>
              <w:jc w:val="center"/>
              <w:rPr>
                <w:rFonts w:ascii="宋体" w:hAnsi="宋体" w:cs="宋体"/>
                <w:szCs w:val="21"/>
              </w:rPr>
            </w:pPr>
          </w:p>
        </w:tc>
        <w:tc>
          <w:tcPr>
            <w:tcW w:w="1287"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bl>
    <w:p>
      <w:pPr>
        <w:adjustRightInd w:val="0"/>
        <w:snapToGrid w:val="0"/>
        <w:spacing w:line="360" w:lineRule="auto"/>
        <w:ind w:left="-88" w:leftChars="-42"/>
        <w:rPr>
          <w:rFonts w:ascii="宋体" w:hAnsi="宋体" w:cs="宋体"/>
          <w:szCs w:val="21"/>
        </w:rPr>
      </w:pPr>
      <w:r>
        <w:rPr>
          <w:rFonts w:hint="eastAsia" w:ascii="宋体" w:hAnsi="宋体" w:cs="宋体"/>
          <w:szCs w:val="21"/>
        </w:rPr>
        <w:t>备注：1.“响应/偏离”栏应注明“响应”或“偏离”。</w:t>
      </w:r>
    </w:p>
    <w:p>
      <w:pPr>
        <w:adjustRightInd w:val="0"/>
        <w:snapToGrid w:val="0"/>
        <w:spacing w:line="360" w:lineRule="auto"/>
        <w:ind w:left="-88" w:leftChars="-42"/>
        <w:rPr>
          <w:rFonts w:ascii="宋体" w:hAnsi="宋体" w:cs="宋体"/>
          <w:szCs w:val="21"/>
        </w:rPr>
      </w:pPr>
      <w:r>
        <w:rPr>
          <w:rFonts w:hint="eastAsia" w:ascii="宋体" w:hAnsi="宋体" w:cs="宋体"/>
          <w:szCs w:val="21"/>
        </w:rPr>
        <w:t xml:space="preserve">      2. 关于“偏离”的解释，见招标文件第二章《投标人须知》第19.1款。</w:t>
      </w: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line="360" w:lineRule="auto"/>
        <w:ind w:left="-88" w:leftChars="-42"/>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b/>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sz w:val="24"/>
          <w:szCs w:val="21"/>
        </w:rPr>
      </w:pPr>
    </w:p>
    <w:p>
      <w:pPr>
        <w:pStyle w:val="17"/>
        <w:adjustRightInd w:val="0"/>
        <w:snapToGrid w:val="0"/>
        <w:spacing w:line="360" w:lineRule="auto"/>
        <w:rPr>
          <w:rFonts w:hAnsi="宋体" w:cs="宋体"/>
          <w:b/>
        </w:rPr>
      </w:pPr>
    </w:p>
    <w:p>
      <w:pPr>
        <w:pStyle w:val="17"/>
        <w:adjustRightInd w:val="0"/>
        <w:snapToGrid w:val="0"/>
        <w:spacing w:line="360" w:lineRule="auto"/>
        <w:rPr>
          <w:rFonts w:hAnsi="宋体" w:cs="宋体"/>
          <w:b/>
        </w:rPr>
      </w:pPr>
    </w:p>
    <w:p>
      <w:pPr>
        <w:pStyle w:val="17"/>
        <w:adjustRightInd w:val="0"/>
        <w:snapToGrid w:val="0"/>
        <w:spacing w:line="360" w:lineRule="auto"/>
        <w:rPr>
          <w:rFonts w:hAnsi="宋体" w:cs="宋体"/>
          <w:b/>
        </w:rPr>
      </w:pPr>
    </w:p>
    <w:p>
      <w:pPr>
        <w:pStyle w:val="17"/>
        <w:adjustRightInd w:val="0"/>
        <w:snapToGrid w:val="0"/>
        <w:spacing w:line="360" w:lineRule="auto"/>
        <w:rPr>
          <w:rFonts w:hAnsi="宋体" w:cs="宋体"/>
          <w:b/>
        </w:rPr>
      </w:pPr>
    </w:p>
    <w:p>
      <w:pPr>
        <w:adjustRightInd w:val="0"/>
        <w:snapToGrid w:val="0"/>
        <w:spacing w:line="360" w:lineRule="auto"/>
        <w:jc w:val="center"/>
        <w:rPr>
          <w:rFonts w:ascii="宋体" w:hAnsi="宋体" w:cs="宋体"/>
          <w:b/>
          <w:bCs/>
          <w:sz w:val="28"/>
          <w:szCs w:val="28"/>
        </w:rPr>
      </w:pPr>
      <w:r>
        <w:rPr>
          <w:rFonts w:hint="eastAsia" w:ascii="宋体" w:hAnsi="宋体" w:cs="宋体"/>
          <w:b/>
        </w:rPr>
        <w:br w:type="page"/>
      </w:r>
      <w:r>
        <w:rPr>
          <w:rFonts w:hint="eastAsia" w:ascii="宋体" w:hAnsi="宋体" w:cs="宋体"/>
          <w:b/>
          <w:bCs/>
          <w:sz w:val="28"/>
          <w:szCs w:val="28"/>
        </w:rPr>
        <w:t>五、投标人具备投标资格的证明文件</w:t>
      </w:r>
    </w:p>
    <w:p>
      <w:pPr>
        <w:pStyle w:val="17"/>
        <w:spacing w:line="360" w:lineRule="auto"/>
        <w:ind w:left="1935" w:hanging="1095"/>
        <w:jc w:val="center"/>
        <w:rPr>
          <w:rFonts w:hAnsi="宋体" w:cs="宋体"/>
          <w:b/>
          <w:bCs/>
        </w:rPr>
      </w:pPr>
      <w:r>
        <w:rPr>
          <w:rFonts w:hint="eastAsia" w:hAnsi="宋体" w:cs="宋体"/>
          <w:b/>
          <w:bCs/>
        </w:rPr>
        <w:t>填写须知</w:t>
      </w:r>
    </w:p>
    <w:p>
      <w:pPr>
        <w:adjustRightInd w:val="0"/>
        <w:snapToGrid w:val="0"/>
        <w:spacing w:before="156" w:beforeLines="50" w:line="360" w:lineRule="auto"/>
        <w:rPr>
          <w:rFonts w:ascii="宋体" w:hAnsi="宋体" w:cs="宋体"/>
          <w:b/>
          <w:bCs/>
          <w:szCs w:val="21"/>
        </w:rPr>
      </w:pPr>
      <w:r>
        <w:rPr>
          <w:rFonts w:hint="eastAsia" w:ascii="宋体" w:hAnsi="宋体" w:cs="宋体"/>
          <w:b/>
          <w:bCs/>
          <w:szCs w:val="21"/>
        </w:rPr>
        <w:t>（一）</w:t>
      </w:r>
      <w:r>
        <w:rPr>
          <w:rFonts w:hint="eastAsia" w:ascii="宋体" w:hAnsi="宋体" w:cs="宋体"/>
          <w:b/>
          <w:szCs w:val="21"/>
        </w:rPr>
        <w:t>投标人</w:t>
      </w:r>
      <w:r>
        <w:rPr>
          <w:rFonts w:hint="eastAsia" w:ascii="宋体" w:hAnsi="宋体" w:cs="宋体"/>
          <w:b/>
          <w:bCs/>
          <w:szCs w:val="21"/>
        </w:rPr>
        <w:t>有下列情形之一的，视为无效投标：</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1．</w:t>
      </w:r>
      <w:r>
        <w:rPr>
          <w:rFonts w:hint="eastAsia" w:ascii="宋体" w:hAnsi="宋体" w:cs="宋体"/>
          <w:bCs/>
          <w:szCs w:val="21"/>
        </w:rPr>
        <w:t>未按招标文件要求提交资格证明文件的；</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2．</w:t>
      </w:r>
      <w:r>
        <w:rPr>
          <w:rFonts w:hint="eastAsia" w:ascii="宋体" w:hAnsi="宋体" w:cs="宋体"/>
          <w:bCs/>
          <w:szCs w:val="21"/>
        </w:rPr>
        <w:t>提供的资格证明文件不符合招标文件要求或提供虚假资格证明文件的；</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3．</w:t>
      </w:r>
      <w:r>
        <w:rPr>
          <w:rFonts w:hint="eastAsia" w:ascii="宋体" w:hAnsi="宋体" w:cs="宋体"/>
          <w:bCs/>
          <w:szCs w:val="21"/>
        </w:rPr>
        <w:t>资格证明文件未按招标文件要求加盖投标人单位章、</w:t>
      </w:r>
      <w:r>
        <w:rPr>
          <w:rFonts w:hint="eastAsia" w:ascii="宋体" w:hAnsi="宋体" w:cs="宋体"/>
          <w:szCs w:val="21"/>
        </w:rPr>
        <w:t>签字</w:t>
      </w:r>
      <w:r>
        <w:rPr>
          <w:rFonts w:hint="eastAsia" w:ascii="宋体" w:hAnsi="宋体" w:cs="宋体"/>
          <w:bCs/>
          <w:szCs w:val="21"/>
        </w:rPr>
        <w:t>的；</w:t>
      </w:r>
    </w:p>
    <w:p>
      <w:pPr>
        <w:adjustRightInd w:val="0"/>
        <w:snapToGrid w:val="0"/>
        <w:spacing w:before="156" w:beforeLines="50"/>
        <w:ind w:firstLine="411" w:firstLineChars="196"/>
        <w:rPr>
          <w:rFonts w:ascii="宋体" w:hAnsi="宋体" w:cs="宋体"/>
          <w:bCs/>
          <w:szCs w:val="21"/>
        </w:rPr>
      </w:pPr>
      <w:r>
        <w:rPr>
          <w:rFonts w:hint="eastAsia" w:ascii="宋体" w:hAnsi="宋体" w:cs="宋体"/>
          <w:szCs w:val="21"/>
        </w:rPr>
        <w:t>4．</w:t>
      </w:r>
      <w:r>
        <w:rPr>
          <w:rFonts w:hint="eastAsia" w:ascii="宋体" w:hAnsi="宋体" w:cs="宋体"/>
          <w:bCs/>
          <w:szCs w:val="21"/>
        </w:rPr>
        <w:t>资格证明文件过了有效期的或未按有关规定年审合格的。</w:t>
      </w:r>
    </w:p>
    <w:p>
      <w:pPr>
        <w:tabs>
          <w:tab w:val="left" w:pos="4725"/>
        </w:tabs>
        <w:adjustRightInd w:val="0"/>
        <w:snapToGrid w:val="0"/>
        <w:spacing w:before="156" w:beforeLines="50" w:line="360" w:lineRule="auto"/>
        <w:rPr>
          <w:rFonts w:ascii="宋体" w:hAnsi="宋体" w:cs="宋体"/>
          <w:b/>
          <w:bCs/>
          <w:szCs w:val="21"/>
        </w:rPr>
      </w:pPr>
      <w:r>
        <w:rPr>
          <w:rFonts w:hint="eastAsia" w:ascii="宋体" w:hAnsi="宋体" w:cs="宋体"/>
          <w:b/>
          <w:bCs/>
          <w:szCs w:val="21"/>
        </w:rPr>
        <w:t>（二）</w:t>
      </w:r>
      <w:r>
        <w:rPr>
          <w:rFonts w:hint="eastAsia" w:ascii="宋体" w:hAnsi="宋体" w:cs="宋体"/>
          <w:b/>
          <w:szCs w:val="21"/>
        </w:rPr>
        <w:t>投标人</w:t>
      </w:r>
      <w:r>
        <w:rPr>
          <w:rFonts w:hint="eastAsia" w:ascii="宋体" w:hAnsi="宋体" w:cs="宋体"/>
          <w:b/>
          <w:bCs/>
          <w:szCs w:val="21"/>
        </w:rPr>
        <w:t>应提供的证明材料</w:t>
      </w:r>
    </w:p>
    <w:p>
      <w:pPr>
        <w:tabs>
          <w:tab w:val="left" w:pos="4725"/>
        </w:tabs>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szCs w:val="21"/>
        </w:rPr>
        <w:t>投标人</w:t>
      </w:r>
      <w:r>
        <w:rPr>
          <w:rFonts w:hint="eastAsia" w:ascii="宋体" w:hAnsi="宋体" w:cs="宋体"/>
          <w:bCs/>
          <w:szCs w:val="21"/>
        </w:rPr>
        <w:t>应按第一章“投标须知”第3.1</w:t>
      </w:r>
      <w:r>
        <w:rPr>
          <w:rFonts w:hint="eastAsia" w:ascii="宋体" w:hAnsi="宋体" w:cs="宋体"/>
          <w:kern w:val="0"/>
          <w:szCs w:val="21"/>
          <w:lang w:val="zh-CN"/>
        </w:rPr>
        <w:t>款</w:t>
      </w:r>
      <w:r>
        <w:rPr>
          <w:rFonts w:hint="eastAsia" w:ascii="宋体" w:hAnsi="宋体" w:cs="宋体"/>
          <w:bCs/>
          <w:szCs w:val="21"/>
        </w:rPr>
        <w:t>要求，提供下列证明材料，以满足第一章“投标须知”第3.1</w:t>
      </w:r>
      <w:r>
        <w:rPr>
          <w:rFonts w:hint="eastAsia" w:ascii="宋体" w:hAnsi="宋体" w:cs="宋体"/>
          <w:kern w:val="0"/>
          <w:szCs w:val="21"/>
          <w:lang w:val="zh-CN"/>
        </w:rPr>
        <w:t>款</w:t>
      </w:r>
      <w:r>
        <w:rPr>
          <w:rFonts w:hint="eastAsia" w:ascii="宋体" w:hAnsi="宋体" w:cs="宋体"/>
          <w:bCs/>
          <w:szCs w:val="21"/>
        </w:rPr>
        <w:t>规定的基本资格条件和特定资格条件要求：</w:t>
      </w:r>
      <w:r>
        <w:rPr>
          <w:rFonts w:hint="eastAsia" w:ascii="宋体" w:hAnsi="宋体" w:cs="宋体"/>
          <w:bCs/>
          <w:szCs w:val="21"/>
        </w:rPr>
        <w:tab/>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szCs w:val="21"/>
        </w:rPr>
        <w:t>附1、法定代表人身份证明（法定代表人作为签字代表的提供）；</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szCs w:val="21"/>
        </w:rPr>
        <w:t>附2、法定代表人授权委托书（委托代理人作为签字代表的提供并附法定代表人身份证明）；</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szCs w:val="21"/>
        </w:rPr>
        <w:t>附3、投标人基本资格条件的证明文件以及</w:t>
      </w:r>
      <w:r>
        <w:rPr>
          <w:rFonts w:hint="eastAsia" w:ascii="宋体" w:hAnsi="宋体" w:cs="宋体"/>
          <w:bCs/>
          <w:szCs w:val="21"/>
        </w:rPr>
        <w:t>法律、行政法规规定的其他条件证明材料</w:t>
      </w:r>
      <w:r>
        <w:rPr>
          <w:rFonts w:hint="eastAsia" w:ascii="宋体" w:hAnsi="宋体" w:cs="宋体"/>
          <w:szCs w:val="21"/>
        </w:rPr>
        <w:t xml:space="preserve">(提供法人、或者其他组织的营业执照、组织机构代码证等主体资格证明文件，自然人的身份证明、投标人在“信用中国（www.creditchina.gov.cn）”和“国家企业信用信息公示系统（www.gsxt.gov.cn)”的查询中无重大失信等被禁止投标记录、注册地人民银行开户许可证以及法律、行政法规规定的其他条件证明材料等) </w:t>
      </w:r>
      <w:r>
        <w:rPr>
          <w:rFonts w:hint="eastAsia" w:ascii="宋体" w:hAnsi="宋体" w:cs="宋体"/>
          <w:bCs/>
          <w:szCs w:val="21"/>
        </w:rPr>
        <w:t>；</w:t>
      </w:r>
      <w:r>
        <w:rPr>
          <w:rFonts w:hint="eastAsia" w:ascii="宋体" w:hAnsi="宋体" w:cs="宋体"/>
          <w:szCs w:val="21"/>
        </w:rPr>
        <w:t>（具体网站按招标公告全部实施查询）</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bCs/>
          <w:szCs w:val="21"/>
        </w:rPr>
        <w:t>附4、</w:t>
      </w:r>
      <w:r>
        <w:rPr>
          <w:rFonts w:hint="eastAsia" w:ascii="宋体" w:hAnsi="宋体" w:cs="宋体"/>
          <w:szCs w:val="21"/>
        </w:rPr>
        <w:t>财务状况报告、依法缴纳税收和社会保险费的证明材料；</w:t>
      </w:r>
    </w:p>
    <w:p>
      <w:pPr>
        <w:adjustRightInd w:val="0"/>
        <w:snapToGrid w:val="0"/>
        <w:spacing w:before="156" w:beforeLines="50" w:line="500" w:lineRule="exact"/>
        <w:ind w:firstLine="420" w:firstLineChars="200"/>
        <w:rPr>
          <w:rFonts w:ascii="宋体" w:hAnsi="宋体" w:cs="宋体"/>
          <w:szCs w:val="21"/>
        </w:rPr>
      </w:pPr>
      <w:r>
        <w:rPr>
          <w:rFonts w:hint="eastAsia" w:ascii="宋体" w:hAnsi="宋体" w:cs="宋体"/>
          <w:bCs/>
          <w:szCs w:val="21"/>
        </w:rPr>
        <w:t>附5、</w:t>
      </w:r>
      <w:r>
        <w:rPr>
          <w:rFonts w:hint="eastAsia" w:ascii="宋体" w:hAnsi="宋体" w:cs="宋体"/>
          <w:szCs w:val="21"/>
        </w:rPr>
        <w:t>投标人基本情况；</w:t>
      </w:r>
    </w:p>
    <w:p>
      <w:pPr>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bCs/>
          <w:szCs w:val="21"/>
        </w:rPr>
        <w:t>附6、参加 采购活动前三年内在经营活动中没有重大违法记录的书面声明；</w:t>
      </w:r>
    </w:p>
    <w:p>
      <w:pPr>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bCs/>
          <w:szCs w:val="21"/>
        </w:rPr>
        <w:t>附7、联合体协议书（本项目不适用）</w:t>
      </w:r>
    </w:p>
    <w:p>
      <w:pPr>
        <w:adjustRightInd w:val="0"/>
        <w:snapToGrid w:val="0"/>
        <w:spacing w:before="156" w:beforeLines="50" w:line="500" w:lineRule="exact"/>
        <w:ind w:firstLine="420" w:firstLineChars="200"/>
        <w:rPr>
          <w:rFonts w:ascii="宋体" w:hAnsi="宋体" w:cs="宋体"/>
          <w:bCs/>
          <w:szCs w:val="21"/>
        </w:rPr>
      </w:pPr>
      <w:r>
        <w:rPr>
          <w:rFonts w:hint="eastAsia" w:ascii="宋体" w:hAnsi="宋体" w:cs="宋体"/>
          <w:bCs/>
          <w:szCs w:val="21"/>
        </w:rPr>
        <w:t>附8、交纳投标保证金证明文件；</w:t>
      </w:r>
    </w:p>
    <w:p>
      <w:pPr>
        <w:adjustRightInd w:val="0"/>
        <w:snapToGrid w:val="0"/>
        <w:spacing w:before="156" w:beforeLines="50" w:line="500" w:lineRule="exact"/>
        <w:ind w:firstLine="480" w:firstLineChars="200"/>
        <w:rPr>
          <w:rFonts w:ascii="宋体" w:hAnsi="宋体" w:cs="宋体"/>
          <w:b/>
          <w:bCs/>
          <w:sz w:val="28"/>
          <w:szCs w:val="28"/>
        </w:rPr>
      </w:pPr>
      <w:r>
        <w:rPr>
          <w:rFonts w:hint="eastAsia" w:ascii="宋体" w:hAnsi="宋体" w:cs="宋体"/>
          <w:bCs/>
          <w:sz w:val="24"/>
          <w:szCs w:val="24"/>
        </w:rPr>
        <w:br w:type="page"/>
      </w:r>
      <w:r>
        <w:rPr>
          <w:rFonts w:hint="eastAsia" w:ascii="宋体" w:hAnsi="宋体" w:cs="宋体"/>
          <w:b/>
          <w:bCs/>
          <w:sz w:val="28"/>
          <w:szCs w:val="28"/>
        </w:rPr>
        <w:t>五</w:t>
      </w:r>
      <w:r>
        <w:rPr>
          <w:rFonts w:hint="eastAsia" w:ascii="宋体" w:hAnsi="宋体" w:cs="宋体"/>
          <w:b/>
          <w:sz w:val="28"/>
          <w:szCs w:val="28"/>
        </w:rPr>
        <w:t>（</w:t>
      </w:r>
      <w:r>
        <w:rPr>
          <w:rFonts w:hint="eastAsia" w:ascii="宋体" w:hAnsi="宋体" w:cs="宋体"/>
          <w:b/>
          <w:bCs/>
          <w:sz w:val="28"/>
          <w:szCs w:val="28"/>
        </w:rPr>
        <w:t>二）、附件1  法定代表人身份证明</w:t>
      </w:r>
    </w:p>
    <w:p>
      <w:pPr>
        <w:adjustRightInd w:val="0"/>
        <w:snapToGrid w:val="0"/>
        <w:spacing w:line="360" w:lineRule="auto"/>
        <w:rPr>
          <w:rFonts w:ascii="宋体" w:hAnsi="宋体" w:cs="宋体"/>
          <w:sz w:val="28"/>
          <w:szCs w:val="28"/>
        </w:rPr>
      </w:pP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szCs w:val="21"/>
        </w:rPr>
        <w:t>投标人</w:t>
      </w:r>
      <w:r>
        <w:rPr>
          <w:rFonts w:hint="eastAsia" w:ascii="宋体" w:hAnsi="宋体" w:cs="宋体"/>
          <w:kern w:val="0"/>
          <w:szCs w:val="21"/>
        </w:rPr>
        <w:t>名称：</w:t>
      </w:r>
      <w:r>
        <w:rPr>
          <w:rFonts w:hint="eastAsia" w:ascii="宋体" w:hAnsi="宋体" w:cs="宋体"/>
          <w:kern w:val="0"/>
          <w:szCs w:val="21"/>
          <w:u w:val="single"/>
        </w:rPr>
        <w:t xml:space="preserve">                  </w:t>
      </w:r>
      <w:r>
        <w:rPr>
          <w:rFonts w:hint="eastAsia" w:ascii="宋体" w:hAnsi="宋体" w:cs="宋体"/>
          <w:kern w:val="0"/>
          <w:szCs w:val="21"/>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注册号：</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注册地址：</w:t>
      </w:r>
      <w:r>
        <w:rPr>
          <w:rFonts w:hint="eastAsia" w:ascii="宋体" w:hAnsi="宋体" w:cs="宋体"/>
          <w:kern w:val="0"/>
          <w:szCs w:val="21"/>
          <w:u w:val="single"/>
        </w:rPr>
        <w:t xml:space="preserve">                                    </w:t>
      </w:r>
    </w:p>
    <w:p>
      <w:pPr>
        <w:adjustRightInd w:val="0"/>
        <w:snapToGrid w:val="0"/>
        <w:spacing w:before="50" w:line="360" w:lineRule="auto"/>
        <w:rPr>
          <w:rFonts w:ascii="宋体" w:hAnsi="宋体" w:cs="宋体"/>
          <w:kern w:val="0"/>
          <w:szCs w:val="21"/>
        </w:rPr>
      </w:pPr>
      <w:r>
        <w:rPr>
          <w:rFonts w:hint="eastAsia" w:ascii="宋体" w:hAnsi="宋体" w:cs="宋体"/>
          <w:kern w:val="0"/>
          <w:szCs w:val="21"/>
        </w:rPr>
        <w:t xml:space="preserve">成立时间：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utoSpaceDE w:val="0"/>
        <w:autoSpaceDN w:val="0"/>
        <w:adjustRightInd w:val="0"/>
        <w:snapToGrid w:val="0"/>
        <w:spacing w:before="156" w:beforeLines="50" w:line="360" w:lineRule="auto"/>
        <w:jc w:val="left"/>
        <w:rPr>
          <w:rFonts w:ascii="宋体" w:hAnsi="宋体" w:cs="宋体"/>
          <w:kern w:val="0"/>
          <w:szCs w:val="21"/>
          <w:u w:val="single"/>
        </w:rPr>
      </w:pPr>
      <w:r>
        <w:rPr>
          <w:rFonts w:hint="eastAsia" w:ascii="宋体" w:hAnsi="宋体" w:cs="宋体"/>
          <w:kern w:val="0"/>
          <w:szCs w:val="21"/>
        </w:rPr>
        <w:t>经营期限：</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u w:val="single"/>
        </w:rPr>
      </w:pPr>
      <w:r>
        <w:rPr>
          <w:rFonts w:hint="eastAsia" w:ascii="宋体" w:hAnsi="宋体" w:cs="宋体"/>
          <w:kern w:val="0"/>
          <w:szCs w:val="21"/>
        </w:rPr>
        <w:t>经营范围：主营：</w:t>
      </w:r>
      <w:r>
        <w:rPr>
          <w:rFonts w:hint="eastAsia" w:ascii="宋体" w:hAnsi="宋体" w:cs="宋体"/>
          <w:kern w:val="0"/>
          <w:szCs w:val="21"/>
          <w:u w:val="single"/>
        </w:rPr>
        <w:t xml:space="preserve">              </w:t>
      </w:r>
      <w:r>
        <w:rPr>
          <w:rFonts w:hint="eastAsia" w:ascii="宋体" w:hAnsi="宋体" w:cs="宋体"/>
          <w:kern w:val="0"/>
          <w:szCs w:val="21"/>
        </w:rPr>
        <w:t xml:space="preserve"> ；兼营：</w:t>
      </w:r>
      <w:r>
        <w:rPr>
          <w:rFonts w:hint="eastAsia" w:ascii="宋体" w:hAnsi="宋体" w:cs="宋体"/>
          <w:kern w:val="0"/>
          <w:szCs w:val="21"/>
          <w:u w:val="single"/>
        </w:rPr>
        <w:t xml:space="preserve">              </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姓名：</w:t>
      </w:r>
      <w:r>
        <w:rPr>
          <w:rFonts w:hint="eastAsia" w:ascii="宋体" w:hAnsi="宋体" w:cs="宋体"/>
          <w:kern w:val="0"/>
          <w:szCs w:val="21"/>
          <w:u w:val="single"/>
        </w:rPr>
        <w:t xml:space="preserve">         </w:t>
      </w:r>
      <w:r>
        <w:rPr>
          <w:rFonts w:hint="eastAsia" w:ascii="宋体" w:hAnsi="宋体" w:cs="宋体"/>
          <w:kern w:val="0"/>
          <w:szCs w:val="21"/>
        </w:rPr>
        <w:t xml:space="preserve"> 性别：</w:t>
      </w:r>
      <w:r>
        <w:rPr>
          <w:rFonts w:hint="eastAsia" w:ascii="宋体" w:hAnsi="宋体" w:cs="宋体"/>
          <w:kern w:val="0"/>
          <w:szCs w:val="21"/>
          <w:u w:val="single"/>
        </w:rPr>
        <w:t xml:space="preserve">      </w:t>
      </w:r>
      <w:r>
        <w:rPr>
          <w:rFonts w:hint="eastAsia" w:ascii="宋体" w:hAnsi="宋体" w:cs="宋体"/>
          <w:kern w:val="0"/>
          <w:szCs w:val="21"/>
        </w:rPr>
        <w:t xml:space="preserve"> 年龄：</w:t>
      </w:r>
      <w:r>
        <w:rPr>
          <w:rFonts w:hint="eastAsia" w:ascii="宋体" w:hAnsi="宋体" w:cs="宋体"/>
          <w:kern w:val="0"/>
          <w:szCs w:val="21"/>
          <w:u w:val="single"/>
        </w:rPr>
        <w:t xml:space="preserve">     </w:t>
      </w:r>
      <w:r>
        <w:rPr>
          <w:rFonts w:hint="eastAsia" w:ascii="宋体" w:hAnsi="宋体" w:cs="宋体"/>
          <w:kern w:val="0"/>
          <w:szCs w:val="21"/>
        </w:rPr>
        <w:t xml:space="preserve"> 职务：</w:t>
      </w:r>
      <w:r>
        <w:rPr>
          <w:rFonts w:hint="eastAsia" w:ascii="宋体" w:hAnsi="宋体" w:cs="宋体"/>
          <w:kern w:val="0"/>
          <w:szCs w:val="21"/>
          <w:u w:val="single"/>
        </w:rPr>
        <w:t xml:space="preserve">         </w:t>
      </w:r>
      <w:r>
        <w:rPr>
          <w:rFonts w:hint="eastAsia" w:ascii="宋体" w:hAnsi="宋体" w:cs="宋体"/>
          <w:kern w:val="0"/>
          <w:szCs w:val="21"/>
        </w:rPr>
        <w:t>系</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投标人</w:t>
      </w:r>
      <w:r>
        <w:rPr>
          <w:rFonts w:hint="eastAsia" w:ascii="宋体" w:hAnsi="宋体" w:cs="宋体"/>
          <w:kern w:val="0"/>
          <w:szCs w:val="21"/>
        </w:rPr>
        <w:t>名称）的法定代表人。</w:t>
      </w:r>
    </w:p>
    <w:p>
      <w:pPr>
        <w:autoSpaceDE w:val="0"/>
        <w:autoSpaceDN w:val="0"/>
        <w:adjustRightInd w:val="0"/>
        <w:snapToGrid w:val="0"/>
        <w:spacing w:before="156" w:beforeLines="50" w:line="360" w:lineRule="auto"/>
        <w:jc w:val="left"/>
        <w:rPr>
          <w:rFonts w:ascii="宋体" w:hAnsi="宋体" w:cs="宋体"/>
          <w:kern w:val="0"/>
          <w:szCs w:val="21"/>
        </w:rPr>
      </w:pPr>
      <w:r>
        <w:rPr>
          <w:rFonts w:hint="eastAsia" w:ascii="宋体" w:hAnsi="宋体" w:cs="宋体"/>
          <w:kern w:val="0"/>
          <w:szCs w:val="21"/>
        </w:rPr>
        <w:t>特此证明。</w:t>
      </w:r>
    </w:p>
    <w:tbl>
      <w:tblPr>
        <w:tblStyle w:val="32"/>
        <w:tblpPr w:leftFromText="180" w:rightFromText="180" w:vertAnchor="text" w:tblpX="-41" w:tblpY="3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3" w:hRule="atLeast"/>
        </w:trPr>
        <w:tc>
          <w:tcPr>
            <w:tcW w:w="8775" w:type="dxa"/>
          </w:tcPr>
          <w:p>
            <w:pPr>
              <w:adjustRightInd w:val="0"/>
              <w:snapToGrid w:val="0"/>
              <w:spacing w:before="156" w:beforeLines="50" w:line="360" w:lineRule="auto"/>
              <w:ind w:firstLine="105" w:firstLineChars="50"/>
              <w:rPr>
                <w:rFonts w:ascii="宋体" w:hAnsi="宋体" w:cs="宋体"/>
                <w:szCs w:val="21"/>
              </w:rPr>
            </w:pPr>
          </w:p>
          <w:p>
            <w:pPr>
              <w:adjustRightInd w:val="0"/>
              <w:snapToGrid w:val="0"/>
              <w:spacing w:before="156" w:beforeLines="50" w:line="360" w:lineRule="auto"/>
              <w:ind w:firstLine="105" w:firstLineChars="50"/>
              <w:rPr>
                <w:rFonts w:ascii="宋体" w:hAnsi="宋体" w:cs="宋体"/>
                <w:szCs w:val="21"/>
              </w:rPr>
            </w:pPr>
          </w:p>
          <w:p>
            <w:pPr>
              <w:adjustRightInd w:val="0"/>
              <w:snapToGrid w:val="0"/>
              <w:spacing w:before="156" w:beforeLines="50" w:line="360" w:lineRule="auto"/>
              <w:ind w:firstLine="2520" w:firstLineChars="1200"/>
              <w:rPr>
                <w:rFonts w:ascii="宋体" w:hAnsi="宋体" w:cs="宋体"/>
                <w:szCs w:val="21"/>
              </w:rPr>
            </w:pPr>
            <w:r>
              <w:rPr>
                <w:rFonts w:hint="eastAsia" w:ascii="宋体" w:hAnsi="宋体" w:cs="宋体"/>
                <w:szCs w:val="21"/>
              </w:rPr>
              <w:t>法定代表人身份证复印件</w:t>
            </w:r>
          </w:p>
        </w:tc>
      </w:tr>
    </w:tbl>
    <w:p>
      <w:pPr>
        <w:autoSpaceDE w:val="0"/>
        <w:autoSpaceDN w:val="0"/>
        <w:adjustRightInd w:val="0"/>
        <w:snapToGrid w:val="0"/>
        <w:spacing w:before="156" w:beforeLines="50" w:line="360" w:lineRule="auto"/>
        <w:jc w:val="left"/>
        <w:rPr>
          <w:rFonts w:ascii="宋体" w:hAnsi="宋体" w:cs="宋体"/>
          <w:kern w:val="0"/>
          <w:szCs w:val="21"/>
        </w:rPr>
      </w:pPr>
    </w:p>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ind w:right="420"/>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b/>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156" w:beforeLines="50" w:line="360" w:lineRule="auto"/>
        <w:ind w:right="420"/>
        <w:rPr>
          <w:rFonts w:ascii="宋体" w:hAnsi="宋体" w:cs="宋体"/>
          <w:szCs w:val="21"/>
        </w:rPr>
      </w:pPr>
    </w:p>
    <w:p>
      <w:pPr>
        <w:adjustRightInd w:val="0"/>
        <w:snapToGrid w:val="0"/>
        <w:spacing w:before="156" w:beforeLines="50" w:line="360" w:lineRule="auto"/>
        <w:ind w:right="420"/>
        <w:rPr>
          <w:rFonts w:ascii="宋体" w:hAnsi="宋体" w:cs="宋体"/>
          <w:b/>
          <w:bCs/>
          <w:sz w:val="28"/>
          <w:szCs w:val="28"/>
        </w:rPr>
      </w:pPr>
      <w:r>
        <w:rPr>
          <w:rFonts w:hint="eastAsia" w:ascii="宋体" w:hAnsi="宋体" w:cs="宋体"/>
          <w:sz w:val="24"/>
          <w:szCs w:val="24"/>
        </w:rPr>
        <w:br w:type="page"/>
      </w:r>
      <w:r>
        <w:rPr>
          <w:rFonts w:hint="eastAsia" w:ascii="宋体" w:hAnsi="宋体" w:cs="宋体"/>
          <w:sz w:val="24"/>
          <w:szCs w:val="24"/>
        </w:rPr>
        <w:t xml:space="preserve">      </w:t>
      </w:r>
      <w:r>
        <w:rPr>
          <w:rFonts w:hint="eastAsia" w:ascii="宋体" w:hAnsi="宋体" w:cs="宋体"/>
          <w:b/>
          <w:bCs/>
          <w:sz w:val="28"/>
          <w:szCs w:val="28"/>
        </w:rPr>
        <w:t>五（二）、附件2  法定代表人授权委托书</w:t>
      </w:r>
    </w:p>
    <w:p>
      <w:pPr>
        <w:adjustRightInd w:val="0"/>
        <w:snapToGrid w:val="0"/>
        <w:spacing w:line="360" w:lineRule="auto"/>
        <w:rPr>
          <w:rFonts w:ascii="宋体" w:hAnsi="宋体" w:cs="宋体"/>
          <w:sz w:val="28"/>
          <w:szCs w:val="28"/>
        </w:rPr>
      </w:pPr>
    </w:p>
    <w:p>
      <w:pPr>
        <w:autoSpaceDE w:val="0"/>
        <w:autoSpaceDN w:val="0"/>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 xml:space="preserve">      （姓名、职务）     </w:t>
      </w:r>
      <w:r>
        <w:rPr>
          <w:rFonts w:hint="eastAsia" w:ascii="宋体" w:hAnsi="宋体" w:cs="宋体"/>
          <w:kern w:val="0"/>
          <w:szCs w:val="21"/>
        </w:rPr>
        <w:t>系</w:t>
      </w:r>
      <w:r>
        <w:rPr>
          <w:rFonts w:hint="eastAsia" w:ascii="宋体" w:hAnsi="宋体" w:cs="宋体"/>
          <w:kern w:val="0"/>
          <w:szCs w:val="21"/>
          <w:u w:val="single"/>
        </w:rPr>
        <w:t xml:space="preserve">         （</w:t>
      </w:r>
      <w:r>
        <w:rPr>
          <w:rFonts w:hint="eastAsia" w:ascii="宋体" w:hAnsi="宋体" w:cs="宋体"/>
          <w:szCs w:val="21"/>
          <w:u w:val="single"/>
        </w:rPr>
        <w:t>投标人</w:t>
      </w:r>
      <w:r>
        <w:rPr>
          <w:rFonts w:hint="eastAsia" w:ascii="宋体" w:hAnsi="宋体" w:cs="宋体"/>
          <w:kern w:val="0"/>
          <w:szCs w:val="21"/>
          <w:u w:val="single"/>
        </w:rPr>
        <w:t xml:space="preserve">名称）        </w:t>
      </w:r>
      <w:r>
        <w:rPr>
          <w:rFonts w:hint="eastAsia" w:ascii="宋体" w:hAnsi="宋体" w:cs="宋体"/>
          <w:kern w:val="0"/>
          <w:szCs w:val="21"/>
        </w:rPr>
        <w:t xml:space="preserve"> 的法定代表人，现授权</w:t>
      </w:r>
      <w:r>
        <w:rPr>
          <w:rFonts w:hint="eastAsia" w:ascii="宋体" w:hAnsi="宋体" w:cs="宋体"/>
          <w:kern w:val="0"/>
          <w:szCs w:val="21"/>
          <w:u w:val="single"/>
        </w:rPr>
        <w:t xml:space="preserve">      （姓名、职务）     </w:t>
      </w:r>
      <w:r>
        <w:rPr>
          <w:rFonts w:hint="eastAsia" w:ascii="宋体" w:hAnsi="宋体" w:cs="宋体"/>
          <w:kern w:val="0"/>
          <w:szCs w:val="21"/>
        </w:rPr>
        <w:t>为我方代理人。代理人根据授权，以我方名义签署、澄清、说明、补正、递交、撤回、修改</w:t>
      </w:r>
      <w:r>
        <w:rPr>
          <w:rFonts w:hint="eastAsia" w:ascii="宋体" w:hAnsi="宋体" w:cs="宋体"/>
          <w:kern w:val="0"/>
          <w:szCs w:val="21"/>
          <w:u w:val="single"/>
        </w:rPr>
        <w:t xml:space="preserve">                （项目名称、</w:t>
      </w:r>
      <w:r>
        <w:rPr>
          <w:rFonts w:hint="eastAsia" w:ascii="宋体" w:hAnsi="宋体" w:cs="宋体"/>
          <w:kern w:val="0"/>
          <w:szCs w:val="21"/>
          <w:u w:val="single"/>
          <w:lang w:eastAsia="zh-CN"/>
        </w:rPr>
        <w:t>委托代理</w:t>
      </w:r>
      <w:r>
        <w:rPr>
          <w:rFonts w:hint="eastAsia" w:ascii="宋体" w:hAnsi="宋体" w:cs="宋体"/>
          <w:kern w:val="0"/>
          <w:szCs w:val="21"/>
          <w:u w:val="single"/>
        </w:rPr>
        <w:t xml:space="preserve">编号） </w:t>
      </w:r>
      <w:r>
        <w:rPr>
          <w:rFonts w:hint="eastAsia" w:ascii="宋体" w:hAnsi="宋体" w:cs="宋体"/>
          <w:kern w:val="0"/>
          <w:szCs w:val="21"/>
        </w:rPr>
        <w:t>投标文件、签订合同和处理有关事宜，其法律后果由我方承担。</w:t>
      </w:r>
    </w:p>
    <w:p>
      <w:pPr>
        <w:autoSpaceDE w:val="0"/>
        <w:autoSpaceDN w:val="0"/>
        <w:adjustRightInd w:val="0"/>
        <w:snapToGrid w:val="0"/>
        <w:spacing w:before="156" w:beforeLines="50" w:line="360" w:lineRule="auto"/>
        <w:ind w:firstLine="420" w:firstLineChars="200"/>
        <w:jc w:val="left"/>
        <w:rPr>
          <w:rFonts w:ascii="宋体" w:hAnsi="宋体" w:cs="宋体"/>
          <w:kern w:val="0"/>
          <w:szCs w:val="21"/>
        </w:rPr>
      </w:pPr>
      <w:r>
        <w:rPr>
          <w:rFonts w:hint="eastAsia" w:ascii="宋体" w:hAnsi="宋体" w:cs="宋体"/>
          <w:kern w:val="0"/>
          <w:szCs w:val="21"/>
        </w:rPr>
        <w:t>委托期限：</w:t>
      </w:r>
      <w:r>
        <w:rPr>
          <w:rFonts w:hint="eastAsia" w:ascii="宋体" w:hAnsi="宋体" w:cs="宋体"/>
          <w:kern w:val="0"/>
          <w:szCs w:val="21"/>
          <w:u w:val="single"/>
        </w:rPr>
        <w:t xml:space="preserve">                                     </w:t>
      </w:r>
      <w:r>
        <w:rPr>
          <w:rFonts w:hint="eastAsia" w:ascii="宋体" w:hAnsi="宋体" w:cs="宋体"/>
          <w:kern w:val="0"/>
          <w:szCs w:val="21"/>
        </w:rPr>
        <w:t xml:space="preserve"> 。</w:t>
      </w:r>
    </w:p>
    <w:p>
      <w:pPr>
        <w:adjustRightInd w:val="0"/>
        <w:snapToGrid w:val="0"/>
        <w:spacing w:before="156" w:beforeLines="50" w:line="360" w:lineRule="auto"/>
        <w:ind w:firstLine="435"/>
        <w:rPr>
          <w:rFonts w:ascii="宋体" w:hAnsi="宋体" w:cs="宋体"/>
          <w:kern w:val="0"/>
          <w:szCs w:val="21"/>
        </w:rPr>
      </w:pPr>
      <w:r>
        <w:rPr>
          <w:rFonts w:hint="eastAsia" w:ascii="宋体" w:hAnsi="宋体" w:cs="宋体"/>
          <w:kern w:val="0"/>
          <w:szCs w:val="21"/>
        </w:rPr>
        <w:t>代理人无转委托权。</w:t>
      </w:r>
    </w:p>
    <w:p>
      <w:pPr>
        <w:adjustRightInd w:val="0"/>
        <w:snapToGrid w:val="0"/>
        <w:spacing w:before="156" w:beforeLines="50" w:line="360" w:lineRule="auto"/>
        <w:ind w:firstLine="435"/>
        <w:rPr>
          <w:rFonts w:ascii="宋体" w:hAnsi="宋体" w:cs="宋体"/>
          <w:szCs w:val="21"/>
        </w:rPr>
      </w:pPr>
      <w:r>
        <w:rPr>
          <w:rFonts w:hint="eastAsia" w:ascii="宋体" w:hAnsi="宋体" w:cs="宋体"/>
          <w:szCs w:val="21"/>
        </w:rPr>
        <w:t>本授权书于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日签字生效，特此声明。</w:t>
      </w:r>
    </w:p>
    <w:p>
      <w:pPr>
        <w:spacing w:line="450" w:lineRule="exact"/>
        <w:ind w:firstLine="435"/>
        <w:rPr>
          <w:rFonts w:ascii="宋体" w:hAnsi="宋体" w:cs="宋体"/>
          <w:szCs w:val="21"/>
        </w:rPr>
      </w:pPr>
      <w:r>
        <w:rPr>
          <w:rFonts w:hint="eastAsia" w:ascii="宋体" w:hAnsi="宋体" w:cs="宋体"/>
          <w:szCs w:val="21"/>
        </w:rPr>
        <w:t>委托代理人身份证复印件：</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8528" w:type="dxa"/>
            <w:vAlign w:val="center"/>
          </w:tcPr>
          <w:p>
            <w:pPr>
              <w:spacing w:line="450" w:lineRule="exact"/>
              <w:jc w:val="center"/>
              <w:rPr>
                <w:rFonts w:ascii="宋体" w:hAnsi="宋体" w:cs="宋体"/>
                <w:sz w:val="24"/>
              </w:rPr>
            </w:pPr>
            <w:r>
              <w:rPr>
                <w:rFonts w:hint="eastAsia" w:ascii="宋体" w:hAnsi="宋体" w:cs="宋体"/>
                <w:szCs w:val="21"/>
              </w:rPr>
              <w:t>身份证正反两面</w:t>
            </w:r>
          </w:p>
        </w:tc>
      </w:tr>
    </w:tbl>
    <w:p>
      <w:pPr>
        <w:spacing w:line="450" w:lineRule="exact"/>
        <w:ind w:firstLine="420" w:firstLineChars="200"/>
        <w:rPr>
          <w:rFonts w:ascii="宋体" w:hAnsi="宋体" w:cs="宋体"/>
          <w:szCs w:val="21"/>
        </w:rPr>
      </w:pPr>
      <w:r>
        <w:rPr>
          <w:rFonts w:hint="eastAsia" w:ascii="宋体" w:hAnsi="宋体" w:cs="宋体"/>
          <w:szCs w:val="21"/>
        </w:rPr>
        <w:t>附：法定代表人身份证明</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8528" w:type="dxa"/>
            <w:vAlign w:val="center"/>
          </w:tcPr>
          <w:p>
            <w:pPr>
              <w:spacing w:line="450" w:lineRule="exact"/>
              <w:jc w:val="center"/>
              <w:rPr>
                <w:rFonts w:ascii="宋体" w:hAnsi="宋体" w:cs="宋体"/>
                <w:sz w:val="24"/>
              </w:rPr>
            </w:pPr>
            <w:r>
              <w:rPr>
                <w:rFonts w:hint="eastAsia" w:ascii="宋体" w:hAnsi="宋体" w:cs="宋体"/>
                <w:szCs w:val="21"/>
              </w:rPr>
              <w:t>身份证正反两面</w:t>
            </w:r>
          </w:p>
        </w:tc>
      </w:tr>
    </w:tbl>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156" w:beforeLines="50" w:line="360" w:lineRule="auto"/>
        <w:ind w:right="420"/>
        <w:rPr>
          <w:rFonts w:ascii="宋体" w:hAnsi="宋体" w:cs="宋体"/>
          <w:szCs w:val="21"/>
        </w:rPr>
      </w:pPr>
      <w:r>
        <w:rPr>
          <w:rFonts w:hint="eastAsia" w:ascii="宋体" w:hAnsi="宋体" w:cs="宋体"/>
          <w:szCs w:val="21"/>
        </w:rPr>
        <w:t>法定代表人（签字）：</w:t>
      </w:r>
      <w:r>
        <w:rPr>
          <w:rFonts w:hint="eastAsia" w:ascii="宋体" w:hAnsi="宋体" w:cs="宋体"/>
          <w:szCs w:val="21"/>
          <w:u w:val="single"/>
        </w:rPr>
        <w:t xml:space="preserve">                     </w:t>
      </w:r>
    </w:p>
    <w:p>
      <w:pPr>
        <w:adjustRightInd w:val="0"/>
        <w:snapToGrid w:val="0"/>
        <w:spacing w:before="156" w:beforeLines="50" w:line="360" w:lineRule="auto"/>
        <w:ind w:right="420"/>
        <w:rPr>
          <w:rFonts w:ascii="宋体" w:hAnsi="宋体" w:cs="宋体"/>
          <w:szCs w:val="21"/>
        </w:rPr>
      </w:pPr>
      <w:r>
        <w:rPr>
          <w:rFonts w:hint="eastAsia" w:ascii="宋体" w:hAnsi="宋体" w:cs="宋体"/>
          <w:szCs w:val="21"/>
        </w:rPr>
        <w:t>委托代理人（签字）：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b/>
          <w:bCs/>
          <w:sz w:val="28"/>
          <w:szCs w:val="28"/>
        </w:rPr>
        <w:sectPr>
          <w:pgSz w:w="11906" w:h="16838"/>
          <w:pgMar w:top="1440" w:right="1588" w:bottom="1213" w:left="1588" w:header="851" w:footer="1255" w:gutter="0"/>
          <w:cols w:space="720" w:num="1"/>
          <w:titlePg/>
          <w:docGrid w:type="linesAndChars" w:linePitch="312" w:charSpace="0"/>
        </w:sectPr>
      </w:pPr>
    </w:p>
    <w:p>
      <w:pPr>
        <w:adjustRightInd w:val="0"/>
        <w:snapToGrid w:val="0"/>
        <w:spacing w:before="50" w:line="360" w:lineRule="auto"/>
        <w:rPr>
          <w:rFonts w:ascii="宋体" w:hAnsi="宋体" w:cs="宋体"/>
          <w:b/>
          <w:bCs/>
          <w:sz w:val="28"/>
          <w:szCs w:val="28"/>
        </w:rPr>
      </w:pPr>
      <w:r>
        <w:rPr>
          <w:rFonts w:hint="eastAsia" w:ascii="宋体" w:hAnsi="宋体" w:cs="宋体"/>
          <w:b/>
          <w:bCs/>
          <w:sz w:val="28"/>
          <w:szCs w:val="28"/>
        </w:rPr>
        <w:t>五（二）、附件3 投标人基本资格条件的证明文件以及法律、行政法规规定的其他条件证明材料</w:t>
      </w:r>
    </w:p>
    <w:p>
      <w:pPr>
        <w:adjustRightInd w:val="0"/>
        <w:snapToGrid w:val="0"/>
        <w:spacing w:line="360" w:lineRule="auto"/>
        <w:ind w:firstLine="420" w:firstLineChars="200"/>
        <w:rPr>
          <w:rFonts w:ascii="宋体" w:hAnsi="宋体" w:cs="宋体"/>
          <w:szCs w:val="21"/>
        </w:rPr>
      </w:pPr>
      <w:bookmarkStart w:id="27" w:name="_Toc294206747"/>
      <w:bookmarkStart w:id="28" w:name="_Toc294186064"/>
      <w:r>
        <w:rPr>
          <w:rFonts w:hint="eastAsia" w:ascii="宋体" w:hAnsi="宋体" w:cs="宋体"/>
          <w:szCs w:val="21"/>
        </w:rPr>
        <w:t>提供第二章“投标须知”第3.1</w:t>
      </w:r>
      <w:r>
        <w:rPr>
          <w:rFonts w:hint="eastAsia" w:ascii="宋体" w:hAnsi="宋体" w:cs="宋体"/>
          <w:kern w:val="0"/>
          <w:szCs w:val="21"/>
          <w:lang w:val="zh-CN"/>
        </w:rPr>
        <w:t>款</w:t>
      </w:r>
      <w:r>
        <w:rPr>
          <w:rFonts w:hint="eastAsia" w:ascii="宋体" w:hAnsi="宋体" w:cs="宋体"/>
          <w:szCs w:val="21"/>
        </w:rPr>
        <w:t>规定的资质提供法人、或者其他组织的营业执照、组织机构代码证等主体资格证明文件，自然人的身份证明、（包括投标人从事投标货物的生产、销售或经营、安装、集成等）证明材料、投标人近一个月内在“信用中国（www.creditchina.gov.cn）”和“国家企业信用信息公示系统（www.gsxt.gov.cn)”的查询中无重大失信等被禁止投标记录（查询记录截图打印件加盖公章）、注册地人民银行开户许可证以及法律、行政法规规定的其他条件证明材料。（具体网站按招标公告全部实施查询）</w:t>
      </w:r>
    </w:p>
    <w:p>
      <w:pPr>
        <w:adjustRightInd w:val="0"/>
        <w:snapToGrid w:val="0"/>
        <w:spacing w:before="156" w:beforeLines="50" w:line="360" w:lineRule="auto"/>
        <w:outlineLvl w:val="0"/>
        <w:rPr>
          <w:rFonts w:ascii="宋体" w:hAnsi="宋体" w:cs="宋体"/>
          <w:b/>
          <w:bCs/>
          <w:sz w:val="24"/>
        </w:rPr>
      </w:pPr>
      <w:r>
        <w:rPr>
          <w:rFonts w:hint="eastAsia" w:ascii="宋体" w:hAnsi="宋体" w:cs="宋体"/>
          <w:szCs w:val="21"/>
        </w:rPr>
        <w:br w:type="page"/>
      </w:r>
      <w:r>
        <w:rPr>
          <w:rFonts w:hint="eastAsia" w:ascii="宋体" w:hAnsi="宋体" w:cs="宋体"/>
          <w:b/>
          <w:bCs/>
          <w:sz w:val="28"/>
          <w:szCs w:val="28"/>
        </w:rPr>
        <w:t>五（二）、附件4  财务状况报告、依法缴纳税收和社会保险费的证明材料</w:t>
      </w:r>
    </w:p>
    <w:p>
      <w:pPr>
        <w:adjustRightInd w:val="0"/>
        <w:snapToGrid w:val="0"/>
        <w:spacing w:line="360" w:lineRule="auto"/>
        <w:rPr>
          <w:rFonts w:ascii="宋体" w:hAnsi="宋体" w:cs="宋体"/>
          <w:sz w:val="28"/>
          <w:szCs w:val="28"/>
        </w:rPr>
      </w:pPr>
    </w:p>
    <w:p>
      <w:pPr>
        <w:spacing w:line="360" w:lineRule="auto"/>
        <w:ind w:firstLine="420" w:firstLineChars="200"/>
        <w:rPr>
          <w:rFonts w:ascii="宋体" w:hAnsi="宋体" w:cs="宋体"/>
          <w:szCs w:val="21"/>
        </w:rPr>
      </w:pPr>
      <w:r>
        <w:rPr>
          <w:rFonts w:hint="eastAsia" w:ascii="宋体" w:hAnsi="宋体" w:cs="宋体"/>
          <w:szCs w:val="21"/>
        </w:rPr>
        <w:t>备注：1、投标人财务状况良好，须提供2021或2022年度财务审计报告，审计报告中无否定意见或无法表示意见；新成立的公司（成立时间不足一年的），需提供银行资信证明文件；</w:t>
      </w:r>
    </w:p>
    <w:p>
      <w:pPr>
        <w:spacing w:before="156" w:beforeLines="50" w:line="360" w:lineRule="auto"/>
        <w:ind w:firstLine="630" w:firstLineChars="300"/>
        <w:rPr>
          <w:rFonts w:ascii="宋体" w:hAnsi="宋体" w:cs="宋体"/>
          <w:szCs w:val="21"/>
        </w:rPr>
      </w:pPr>
      <w:r>
        <w:rPr>
          <w:rFonts w:hint="eastAsia" w:ascii="宋体" w:hAnsi="宋体" w:cs="宋体"/>
          <w:szCs w:val="21"/>
        </w:rPr>
        <w:t>2、依法缴纳税收和社会保险费的证明材料：</w:t>
      </w:r>
    </w:p>
    <w:p>
      <w:pPr>
        <w:spacing w:line="360" w:lineRule="auto"/>
        <w:ind w:firstLine="420" w:firstLineChars="200"/>
        <w:rPr>
          <w:rFonts w:ascii="宋体" w:hAnsi="宋体" w:cs="宋体"/>
          <w:szCs w:val="22"/>
        </w:rPr>
      </w:pPr>
      <w:r>
        <w:rPr>
          <w:rFonts w:hint="eastAsia" w:ascii="宋体" w:hAnsi="宋体" w:cs="宋体"/>
          <w:szCs w:val="21"/>
        </w:rPr>
        <w:t>(1)缴纳税收证明材料:《税务登记证》复印件，或者提供近三个月依法缴纳税收的证明（纳税凭证复印件），或者委托他人缴纳的委托代办协议和或者提供近三个月的缴纳证明（收据复印件），或者法定征收机关出具的依法免缴税收的证明原件 (提供了三证合一或五证合一的营业执照副本复印件的即为提供了《税务登记证》复印件，无需重复提供) 。</w:t>
      </w:r>
    </w:p>
    <w:p>
      <w:pPr>
        <w:spacing w:line="360" w:lineRule="auto"/>
        <w:ind w:firstLine="420" w:firstLineChars="200"/>
        <w:rPr>
          <w:rFonts w:ascii="宋体" w:hAnsi="宋体" w:cs="宋体"/>
          <w:szCs w:val="21"/>
        </w:rPr>
      </w:pPr>
      <w:r>
        <w:rPr>
          <w:rFonts w:hint="eastAsia" w:ascii="宋体" w:hAnsi="宋体" w:cs="宋体"/>
          <w:szCs w:val="21"/>
        </w:rPr>
        <w:t>（2）缴纳社会保险证明材料：《社会保险登记证》复印件，或者提供近三个月依法缴纳社会保险的证明（缴费凭证复印件），或者委托他人缴纳的委托代办协议和或者提供近三个月的缴纳证明（收据复印件），或者法定征收机关出具的依法免缴保险费的证明原件 (提供了三证合一或五证合一的营业执照副本复印件的即为提供了《税务登记证》、《社会保险登记证》复印件，无需重复提供) 。</w:t>
      </w:r>
    </w:p>
    <w:p>
      <w:pPr>
        <w:spacing w:before="156" w:beforeLines="50" w:line="360" w:lineRule="auto"/>
        <w:ind w:firstLine="525" w:firstLineChars="250"/>
        <w:rPr>
          <w:rFonts w:ascii="宋体" w:hAnsi="宋体" w:cs="宋体"/>
          <w:szCs w:val="21"/>
        </w:rPr>
      </w:pPr>
    </w:p>
    <w:p>
      <w:pPr>
        <w:adjustRightInd w:val="0"/>
        <w:snapToGrid w:val="0"/>
        <w:spacing w:before="156" w:beforeLines="50" w:line="360" w:lineRule="auto"/>
        <w:rPr>
          <w:rFonts w:ascii="宋体" w:hAnsi="宋体" w:cs="宋体"/>
          <w:szCs w:val="21"/>
        </w:rPr>
      </w:pPr>
    </w:p>
    <w:p>
      <w:pPr>
        <w:adjustRightInd w:val="0"/>
        <w:snapToGrid w:val="0"/>
        <w:spacing w:before="120" w:line="360" w:lineRule="auto"/>
        <w:rPr>
          <w:rFonts w:ascii="宋体" w:hAnsi="宋体" w:cs="宋体"/>
          <w:b/>
          <w:bCs/>
          <w:sz w:val="28"/>
          <w:szCs w:val="28"/>
        </w:rPr>
      </w:pPr>
      <w:r>
        <w:rPr>
          <w:rFonts w:hint="eastAsia" w:ascii="宋体" w:hAnsi="宋体" w:cs="宋体"/>
          <w:szCs w:val="21"/>
        </w:rPr>
        <w:br w:type="page"/>
      </w:r>
      <w:r>
        <w:rPr>
          <w:rFonts w:hint="eastAsia" w:ascii="宋体" w:hAnsi="宋体" w:cs="宋体"/>
          <w:b/>
          <w:bCs/>
          <w:sz w:val="28"/>
          <w:szCs w:val="28"/>
        </w:rPr>
        <w:t>五（二）、附件5  投标人基本情况</w:t>
      </w:r>
    </w:p>
    <w:p>
      <w:pPr>
        <w:adjustRightInd w:val="0"/>
        <w:snapToGrid w:val="0"/>
        <w:spacing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1.名称及概况：</w:t>
      </w:r>
    </w:p>
    <w:p>
      <w:pPr>
        <w:adjustRightInd w:val="0"/>
        <w:snapToGrid w:val="0"/>
        <w:spacing w:before="156" w:beforeLines="50" w:line="360" w:lineRule="auto"/>
        <w:ind w:firstLine="315" w:firstLineChars="150"/>
        <w:rPr>
          <w:rFonts w:ascii="宋体" w:hAnsi="宋体" w:cs="宋体"/>
          <w:szCs w:val="21"/>
        </w:rPr>
      </w:pPr>
      <w:r>
        <w:rPr>
          <w:rFonts w:hint="eastAsia" w:ascii="宋体" w:hAnsi="宋体" w:cs="宋体"/>
          <w:szCs w:val="21"/>
        </w:rPr>
        <w:t>(1) 投标人名称：</w:t>
      </w:r>
      <w:r>
        <w:rPr>
          <w:rFonts w:hint="eastAsia" w:ascii="宋体" w:hAnsi="宋体" w:cs="宋体"/>
          <w:szCs w:val="21"/>
          <w:u w:val="single"/>
        </w:rPr>
        <w:t xml:space="preserve">                                                    </w:t>
      </w:r>
    </w:p>
    <w:p>
      <w:pPr>
        <w:adjustRightInd w:val="0"/>
        <w:snapToGrid w:val="0"/>
        <w:spacing w:before="156" w:beforeLines="50" w:line="360" w:lineRule="auto"/>
        <w:ind w:firstLine="1365" w:firstLineChars="650"/>
        <w:rPr>
          <w:rFonts w:ascii="宋体" w:hAnsi="宋体" w:cs="宋体"/>
          <w:szCs w:val="21"/>
          <w:u w:val="single"/>
        </w:rPr>
      </w:pPr>
      <w:r>
        <w:rPr>
          <w:rFonts w:hint="eastAsia" w:ascii="宋体" w:hAnsi="宋体" w:cs="宋体"/>
          <w:szCs w:val="21"/>
        </w:rPr>
        <w:t>地址：</w:t>
      </w:r>
      <w:r>
        <w:rPr>
          <w:rFonts w:hint="eastAsia" w:ascii="宋体" w:hAnsi="宋体" w:cs="宋体"/>
          <w:szCs w:val="21"/>
          <w:u w:val="single"/>
        </w:rPr>
        <w:t xml:space="preserve">                                                      </w:t>
      </w:r>
    </w:p>
    <w:p>
      <w:pPr>
        <w:adjustRightInd w:val="0"/>
        <w:snapToGrid w:val="0"/>
        <w:spacing w:before="156" w:beforeLines="50" w:line="360" w:lineRule="auto"/>
        <w:ind w:firstLine="1365" w:firstLineChars="650"/>
        <w:rPr>
          <w:rFonts w:ascii="宋体" w:hAnsi="宋体" w:cs="宋体"/>
          <w:szCs w:val="21"/>
        </w:rPr>
      </w:pPr>
      <w:r>
        <w:rPr>
          <w:rFonts w:hint="eastAsia" w:ascii="宋体" w:hAnsi="宋体" w:cs="宋体"/>
          <w:szCs w:val="21"/>
        </w:rPr>
        <w:t>传真/电话号码：</w:t>
      </w:r>
      <w:r>
        <w:rPr>
          <w:rFonts w:hint="eastAsia" w:ascii="宋体" w:hAnsi="宋体" w:cs="宋体"/>
          <w:szCs w:val="21"/>
          <w:u w:val="single"/>
        </w:rPr>
        <w:t xml:space="preserve">                    </w:t>
      </w:r>
      <w:r>
        <w:rPr>
          <w:rFonts w:hint="eastAsia" w:ascii="宋体" w:hAnsi="宋体" w:cs="宋体"/>
          <w:szCs w:val="21"/>
        </w:rPr>
        <w:t>邮政编码：</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(2) 成立或注册日期：</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(3) 注册号码：</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(4) 实收资本：</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(5) 近期资产负债表（到</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①固定资产：</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②流动资产：</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③长期负债：</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④流动负债：</w:t>
      </w:r>
      <w:r>
        <w:rPr>
          <w:rFonts w:hint="eastAsia" w:ascii="宋体" w:hAnsi="宋体" w:cs="宋体"/>
          <w:szCs w:val="21"/>
          <w:u w:val="single"/>
        </w:rPr>
        <w:t xml:space="preserve">                                                      </w:t>
      </w:r>
    </w:p>
    <w:p>
      <w:pPr>
        <w:adjustRightInd w:val="0"/>
        <w:snapToGrid w:val="0"/>
        <w:spacing w:before="156" w:beforeLines="50" w:line="360" w:lineRule="auto"/>
        <w:ind w:firstLine="630" w:firstLineChars="300"/>
        <w:rPr>
          <w:rFonts w:ascii="宋体" w:hAnsi="宋体" w:cs="宋体"/>
          <w:szCs w:val="21"/>
          <w:u w:val="single"/>
        </w:rPr>
      </w:pPr>
      <w:r>
        <w:rPr>
          <w:rFonts w:hint="eastAsia" w:ascii="宋体" w:hAnsi="宋体" w:cs="宋体"/>
          <w:szCs w:val="21"/>
        </w:rPr>
        <w:t>⑤净值：</w:t>
      </w:r>
      <w:r>
        <w:rPr>
          <w:rFonts w:hint="eastAsia" w:ascii="宋体" w:hAnsi="宋体" w:cs="宋体"/>
          <w:szCs w:val="21"/>
          <w:u w:val="single"/>
        </w:rPr>
        <w:t xml:space="preserve">                                                          </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(6) 法定代表人姓名：</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2.经营范围：</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r>
        <w:rPr>
          <w:rFonts w:hint="eastAsia" w:ascii="宋体" w:hAnsi="宋体" w:cs="宋体"/>
          <w:szCs w:val="21"/>
        </w:rPr>
        <w:t>3.近年营业额：</w:t>
      </w:r>
    </w:p>
    <w:tbl>
      <w:tblPr>
        <w:tblStyle w:val="32"/>
        <w:tblW w:w="0" w:type="auto"/>
        <w:tblInd w:w="10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00"/>
        <w:gridCol w:w="48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年度</w:t>
            </w:r>
          </w:p>
        </w:tc>
        <w:tc>
          <w:tcPr>
            <w:tcW w:w="4874" w:type="dxa"/>
          </w:tcPr>
          <w:p>
            <w:pPr>
              <w:adjustRightInd w:val="0"/>
              <w:snapToGrid w:val="0"/>
              <w:spacing w:before="156" w:beforeLines="50" w:line="360" w:lineRule="auto"/>
              <w:jc w:val="center"/>
              <w:rPr>
                <w:rFonts w:ascii="宋体" w:hAnsi="宋体" w:cs="宋体"/>
                <w:szCs w:val="21"/>
              </w:rPr>
            </w:pPr>
            <w:r>
              <w:rPr>
                <w:rFonts w:hint="eastAsia" w:ascii="宋体" w:hAnsi="宋体" w:cs="宋体"/>
                <w:szCs w:val="21"/>
              </w:rPr>
              <w:t>总额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rPr>
                <w:rFonts w:ascii="宋体" w:hAnsi="宋体" w:cs="宋体"/>
                <w:szCs w:val="21"/>
              </w:rPr>
            </w:pPr>
          </w:p>
        </w:tc>
        <w:tc>
          <w:tcPr>
            <w:tcW w:w="4874" w:type="dxa"/>
          </w:tcPr>
          <w:p>
            <w:pPr>
              <w:adjustRightInd w:val="0"/>
              <w:snapToGrid w:val="0"/>
              <w:spacing w:before="156" w:beforeLines="50" w:line="360" w:lineRule="auto"/>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rPr>
                <w:rFonts w:ascii="宋体" w:hAnsi="宋体" w:cs="宋体"/>
                <w:szCs w:val="21"/>
              </w:rPr>
            </w:pPr>
          </w:p>
        </w:tc>
        <w:tc>
          <w:tcPr>
            <w:tcW w:w="4874" w:type="dxa"/>
          </w:tcPr>
          <w:p>
            <w:pPr>
              <w:adjustRightInd w:val="0"/>
              <w:snapToGrid w:val="0"/>
              <w:spacing w:before="156" w:beforeLines="50" w:line="360" w:lineRule="auto"/>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2700" w:type="dxa"/>
          </w:tcPr>
          <w:p>
            <w:pPr>
              <w:adjustRightInd w:val="0"/>
              <w:snapToGrid w:val="0"/>
              <w:spacing w:before="156" w:beforeLines="50" w:line="360" w:lineRule="auto"/>
              <w:rPr>
                <w:rFonts w:ascii="宋体" w:hAnsi="宋体" w:cs="宋体"/>
                <w:szCs w:val="21"/>
              </w:rPr>
            </w:pPr>
          </w:p>
        </w:tc>
        <w:tc>
          <w:tcPr>
            <w:tcW w:w="4874" w:type="dxa"/>
          </w:tcPr>
          <w:p>
            <w:pPr>
              <w:adjustRightInd w:val="0"/>
              <w:snapToGrid w:val="0"/>
              <w:spacing w:before="156" w:beforeLines="50" w:line="360" w:lineRule="auto"/>
              <w:rPr>
                <w:rFonts w:ascii="宋体" w:hAnsi="宋体" w:cs="宋体"/>
                <w:szCs w:val="21"/>
              </w:rPr>
            </w:pPr>
          </w:p>
        </w:tc>
      </w:tr>
    </w:tbl>
    <w:p>
      <w:pPr>
        <w:adjustRightInd w:val="0"/>
        <w:snapToGrid w:val="0"/>
        <w:spacing w:before="156" w:beforeLines="50" w:line="360" w:lineRule="auto"/>
        <w:rPr>
          <w:rFonts w:ascii="宋体" w:hAnsi="宋体" w:cs="宋体"/>
          <w:szCs w:val="21"/>
        </w:rPr>
      </w:pPr>
      <w:r>
        <w:rPr>
          <w:rFonts w:hint="eastAsia" w:ascii="宋体" w:hAnsi="宋体" w:cs="宋体"/>
          <w:szCs w:val="21"/>
        </w:rPr>
        <w:t>4.近年类似项目业绩(可另附页)：</w:t>
      </w:r>
    </w:p>
    <w:p>
      <w:pPr>
        <w:adjustRightInd w:val="0"/>
        <w:snapToGrid w:val="0"/>
        <w:spacing w:before="156" w:beforeLines="50" w:line="360" w:lineRule="auto"/>
        <w:ind w:left="420"/>
        <w:rPr>
          <w:rFonts w:ascii="宋体" w:hAnsi="宋体" w:cs="宋体"/>
          <w:szCs w:val="21"/>
        </w:rPr>
      </w:pPr>
      <w:r>
        <w:rPr>
          <w:rFonts w:hint="eastAsia" w:ascii="宋体" w:hAnsi="宋体" w:cs="宋体"/>
          <w:szCs w:val="21"/>
        </w:rPr>
        <w:t>采   购   人：</w:t>
      </w:r>
      <w:r>
        <w:rPr>
          <w:rFonts w:hint="eastAsia" w:ascii="宋体" w:hAnsi="宋体" w:cs="宋体"/>
          <w:szCs w:val="21"/>
          <w:u w:val="single"/>
        </w:rPr>
        <w:t xml:space="preserve">                                     </w:t>
      </w:r>
    </w:p>
    <w:p>
      <w:pPr>
        <w:adjustRightInd w:val="0"/>
        <w:snapToGrid w:val="0"/>
        <w:spacing w:before="156" w:beforeLines="50" w:line="360" w:lineRule="auto"/>
        <w:ind w:left="420"/>
        <w:rPr>
          <w:rFonts w:ascii="宋体" w:hAnsi="宋体" w:cs="宋体"/>
          <w:szCs w:val="21"/>
          <w:u w:val="single"/>
        </w:rPr>
      </w:pPr>
      <w:r>
        <w:rPr>
          <w:rFonts w:hint="eastAsia" w:ascii="宋体" w:hAnsi="宋体" w:cs="宋体"/>
          <w:szCs w:val="21"/>
        </w:rPr>
        <w:t>合同签订时间：</w:t>
      </w:r>
      <w:r>
        <w:rPr>
          <w:rFonts w:hint="eastAsia" w:ascii="宋体" w:hAnsi="宋体" w:cs="宋体"/>
          <w:szCs w:val="21"/>
          <w:u w:val="single"/>
        </w:rPr>
        <w:t xml:space="preserve">                                     </w:t>
      </w:r>
    </w:p>
    <w:p>
      <w:pPr>
        <w:adjustRightInd w:val="0"/>
        <w:snapToGrid w:val="0"/>
        <w:spacing w:before="156" w:beforeLines="50" w:line="360" w:lineRule="auto"/>
        <w:ind w:left="420"/>
        <w:rPr>
          <w:rFonts w:ascii="宋体" w:hAnsi="宋体" w:cs="宋体"/>
          <w:szCs w:val="21"/>
          <w:u w:val="single"/>
        </w:rPr>
      </w:pPr>
      <w:r>
        <w:rPr>
          <w:rFonts w:hint="eastAsia" w:ascii="宋体" w:hAnsi="宋体" w:cs="宋体"/>
          <w:szCs w:val="21"/>
        </w:rPr>
        <w:t>数        量：</w:t>
      </w:r>
      <w:r>
        <w:rPr>
          <w:rFonts w:hint="eastAsia" w:ascii="宋体" w:hAnsi="宋体" w:cs="宋体"/>
          <w:szCs w:val="21"/>
          <w:u w:val="single"/>
        </w:rPr>
        <w:t xml:space="preserve">                                     </w:t>
      </w:r>
    </w:p>
    <w:p>
      <w:pPr>
        <w:adjustRightInd w:val="0"/>
        <w:snapToGrid w:val="0"/>
        <w:spacing w:before="156" w:beforeLines="50" w:line="360" w:lineRule="auto"/>
        <w:ind w:left="420"/>
        <w:rPr>
          <w:rFonts w:ascii="宋体" w:hAnsi="宋体" w:cs="宋体"/>
          <w:szCs w:val="21"/>
          <w:u w:val="single"/>
        </w:rPr>
      </w:pPr>
      <w:r>
        <w:rPr>
          <w:rFonts w:hint="eastAsia" w:ascii="宋体" w:hAnsi="宋体" w:cs="宋体"/>
          <w:szCs w:val="21"/>
        </w:rPr>
        <w:t>合  同 金 额：</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u w:val="single"/>
        </w:rPr>
      </w:pPr>
      <w:r>
        <w:rPr>
          <w:rFonts w:hint="eastAsia" w:ascii="宋体" w:hAnsi="宋体" w:cs="宋体"/>
          <w:szCs w:val="21"/>
        </w:rPr>
        <w:t>5.开立基本帐户银行的名称和地址：</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u w:val="single"/>
        </w:rPr>
      </w:pPr>
      <w:r>
        <w:rPr>
          <w:rFonts w:hint="eastAsia" w:ascii="宋体" w:hAnsi="宋体" w:cs="宋体"/>
          <w:szCs w:val="21"/>
        </w:rPr>
        <w:t>6.其他情况：</w:t>
      </w:r>
      <w:r>
        <w:rPr>
          <w:rFonts w:hint="eastAsia" w:ascii="宋体" w:hAnsi="宋体" w:cs="宋体"/>
          <w:szCs w:val="21"/>
          <w:u w:val="single"/>
        </w:rPr>
        <w:t>组织机构、技术力量、制造商体系认证情况等</w:t>
      </w:r>
    </w:p>
    <w:p>
      <w:pPr>
        <w:adjustRightInd w:val="0"/>
        <w:snapToGrid w:val="0"/>
        <w:spacing w:before="156" w:beforeLines="50" w:line="360" w:lineRule="auto"/>
        <w:ind w:firstLine="420" w:firstLineChars="200"/>
        <w:rPr>
          <w:rFonts w:ascii="宋体" w:hAnsi="宋体" w:cs="宋体"/>
          <w:szCs w:val="21"/>
        </w:rPr>
      </w:pP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兹声明上述数据和资料是真实、正确的，我们同意遵照贵方要求出示有关证明文件。</w:t>
      </w:r>
    </w:p>
    <w:p>
      <w:pPr>
        <w:widowControl/>
        <w:adjustRightInd w:val="0"/>
        <w:snapToGrid w:val="0"/>
        <w:spacing w:before="156" w:beforeLines="50" w:line="360" w:lineRule="auto"/>
        <w:ind w:firstLine="420" w:firstLineChars="200"/>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b/>
          <w:bCs/>
          <w:sz w:val="28"/>
          <w:szCs w:val="28"/>
        </w:rPr>
      </w:pPr>
      <w:r>
        <w:rPr>
          <w:rFonts w:hint="eastAsia" w:ascii="宋体" w:hAnsi="宋体" w:cs="宋体"/>
          <w:szCs w:val="21"/>
        </w:rPr>
        <w:br w:type="page"/>
      </w:r>
      <w:bookmarkEnd w:id="27"/>
      <w:bookmarkEnd w:id="28"/>
      <w:r>
        <w:rPr>
          <w:rFonts w:hint="eastAsia" w:ascii="宋体" w:hAnsi="宋体" w:cs="宋体"/>
          <w:b/>
          <w:bCs/>
          <w:sz w:val="28"/>
          <w:szCs w:val="28"/>
        </w:rPr>
        <w:t>五</w:t>
      </w:r>
      <w:r>
        <w:rPr>
          <w:rFonts w:hint="eastAsia" w:ascii="宋体" w:hAnsi="宋体" w:cs="宋体"/>
          <w:b/>
          <w:sz w:val="28"/>
          <w:szCs w:val="28"/>
        </w:rPr>
        <w:t xml:space="preserve">（二）、附件6 </w:t>
      </w:r>
      <w:r>
        <w:rPr>
          <w:rFonts w:hint="eastAsia" w:ascii="宋体" w:hAnsi="宋体" w:cs="宋体"/>
          <w:b/>
          <w:bCs/>
          <w:sz w:val="28"/>
          <w:szCs w:val="28"/>
        </w:rPr>
        <w:t xml:space="preserve"> 参加采购活动前三年内在经营活动中没有重大违法记录的书面声明</w:t>
      </w:r>
    </w:p>
    <w:p>
      <w:pPr>
        <w:spacing w:line="360" w:lineRule="auto"/>
        <w:rPr>
          <w:rFonts w:ascii="宋体" w:hAnsi="宋体" w:cs="宋体"/>
          <w:b/>
          <w:sz w:val="28"/>
          <w:szCs w:val="28"/>
        </w:rPr>
      </w:pPr>
    </w:p>
    <w:p>
      <w:pPr>
        <w:adjustRightInd w:val="0"/>
        <w:snapToGrid w:val="0"/>
        <w:spacing w:before="156" w:beforeLines="50" w:line="360" w:lineRule="auto"/>
        <w:ind w:left="-88" w:leftChars="-42"/>
        <w:outlineLvl w:val="0"/>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u w:val="single"/>
          <w:lang w:eastAsia="zh-CN"/>
        </w:rPr>
        <w:t>招标代理机构</w:t>
      </w:r>
      <w:r>
        <w:rPr>
          <w:rFonts w:hint="eastAsia" w:ascii="宋体" w:hAnsi="宋体" w:cs="宋体"/>
          <w:szCs w:val="21"/>
          <w:u w:val="single"/>
        </w:rPr>
        <w:t xml:space="preserve">)       </w:t>
      </w:r>
      <w:r>
        <w:rPr>
          <w:rFonts w:hint="eastAsia" w:ascii="宋体" w:hAnsi="宋体" w:cs="宋体"/>
          <w:szCs w:val="21"/>
        </w:rPr>
        <w:t>：</w:t>
      </w:r>
    </w:p>
    <w:p>
      <w:pPr>
        <w:adjustRightInd w:val="0"/>
        <w:snapToGrid w:val="0"/>
        <w:spacing w:before="156" w:beforeLines="50" w:line="360" w:lineRule="auto"/>
        <w:ind w:left="-88" w:leftChars="-42"/>
        <w:rPr>
          <w:rFonts w:ascii="宋体" w:hAnsi="宋体" w:cs="宋体"/>
          <w:szCs w:val="21"/>
        </w:rPr>
      </w:pPr>
    </w:p>
    <w:p>
      <w:pPr>
        <w:widowControl/>
        <w:adjustRightInd w:val="0"/>
        <w:snapToGrid w:val="0"/>
        <w:spacing w:before="156" w:beforeLines="50" w:line="360" w:lineRule="auto"/>
        <w:ind w:firstLine="420" w:firstLineChars="200"/>
        <w:rPr>
          <w:rFonts w:ascii="宋体" w:hAnsi="宋体" w:cs="宋体"/>
          <w:szCs w:val="21"/>
        </w:rPr>
      </w:pPr>
      <w:r>
        <w:rPr>
          <w:rFonts w:hint="eastAsia" w:ascii="宋体" w:hAnsi="宋体" w:cs="宋体"/>
          <w:bCs/>
          <w:szCs w:val="21"/>
        </w:rPr>
        <w:t>我单位在</w:t>
      </w:r>
      <w:r>
        <w:rPr>
          <w:rFonts w:hint="eastAsia" w:ascii="宋体" w:hAnsi="宋体" w:cs="宋体"/>
          <w:szCs w:val="21"/>
        </w:rPr>
        <w:t>参加采购活动前三年内在经营活动中没有 采购法第二十二条第一款第（五）项所称重大违法记录，包括：</w:t>
      </w:r>
    </w:p>
    <w:p>
      <w:pPr>
        <w:widowControl/>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（一）</w:t>
      </w:r>
      <w:r>
        <w:rPr>
          <w:rFonts w:hint="eastAsia" w:ascii="宋体" w:hAnsi="宋体" w:cs="宋体"/>
          <w:bCs/>
          <w:szCs w:val="21"/>
        </w:rPr>
        <w:t>我单位没有受到三万元以上的罚款、责令停产停业、在一至三年内禁止参加 采购活动、暂扣或者吊销许可证、暂扣或者吊销执照的行政处罚</w:t>
      </w:r>
      <w:r>
        <w:rPr>
          <w:rFonts w:hint="eastAsia" w:ascii="宋体" w:hAnsi="宋体" w:cs="宋体"/>
          <w:szCs w:val="21"/>
        </w:rPr>
        <w:t>；</w:t>
      </w:r>
    </w:p>
    <w:p>
      <w:pPr>
        <w:widowControl/>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（二）</w:t>
      </w:r>
      <w:r>
        <w:rPr>
          <w:rFonts w:hint="eastAsia" w:ascii="宋体" w:hAnsi="宋体" w:cs="宋体"/>
          <w:bCs/>
          <w:szCs w:val="21"/>
        </w:rPr>
        <w:t>我单位</w:t>
      </w:r>
      <w:r>
        <w:rPr>
          <w:rFonts w:hint="eastAsia" w:ascii="宋体" w:hAnsi="宋体" w:cs="宋体"/>
          <w:szCs w:val="21"/>
        </w:rPr>
        <w:t>或者其法定代表人、董事、监事、高级管理人员没有因经营活动中的违法行为受到刑事处罚。</w:t>
      </w:r>
    </w:p>
    <w:p>
      <w:pPr>
        <w:widowControl/>
        <w:adjustRightInd w:val="0"/>
        <w:snapToGrid w:val="0"/>
        <w:spacing w:before="156" w:beforeLines="50" w:line="360" w:lineRule="auto"/>
        <w:ind w:firstLine="200"/>
        <w:rPr>
          <w:rFonts w:ascii="宋体" w:hAnsi="宋体" w:cs="宋体"/>
          <w:szCs w:val="21"/>
        </w:rPr>
      </w:pPr>
      <w:r>
        <w:rPr>
          <w:rFonts w:hint="eastAsia" w:ascii="宋体" w:hAnsi="宋体" w:cs="宋体"/>
          <w:szCs w:val="21"/>
        </w:rPr>
        <w:t>特此声明！</w:t>
      </w:r>
    </w:p>
    <w:p>
      <w:pPr>
        <w:spacing w:line="360" w:lineRule="auto"/>
        <w:ind w:firstLine="480"/>
        <w:rPr>
          <w:rFonts w:ascii="宋体" w:hAnsi="宋体" w:cs="宋体"/>
          <w:szCs w:val="21"/>
        </w:rPr>
      </w:pPr>
      <w:r>
        <w:rPr>
          <w:rFonts w:hint="eastAsia" w:ascii="宋体" w:hAnsi="宋体" w:cs="宋体"/>
          <w:szCs w:val="21"/>
        </w:rPr>
        <w:t>如果发现，我公司同意按照 采购法相关规定处理，对此无异议。</w:t>
      </w:r>
    </w:p>
    <w:p>
      <w:pPr>
        <w:widowControl/>
        <w:adjustRightInd w:val="0"/>
        <w:snapToGrid w:val="0"/>
        <w:spacing w:before="156" w:beforeLines="50" w:line="360" w:lineRule="auto"/>
        <w:ind w:firstLine="420"/>
        <w:rPr>
          <w:rFonts w:ascii="宋体" w:hAnsi="宋体" w:cs="宋体"/>
          <w:szCs w:val="21"/>
        </w:rPr>
      </w:pPr>
    </w:p>
    <w:p>
      <w:pPr>
        <w:widowControl/>
        <w:adjustRightInd w:val="0"/>
        <w:snapToGrid w:val="0"/>
        <w:spacing w:before="156" w:beforeLines="50" w:line="360" w:lineRule="auto"/>
        <w:ind w:firstLine="420"/>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 xml:space="preserve">投标人名称（单位章）： </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法定代表人（签字或盖章）：</w:t>
      </w:r>
      <w:r>
        <w:rPr>
          <w:rFonts w:hint="eastAsia" w:ascii="宋体" w:hAnsi="宋体" w:cs="宋体"/>
          <w:szCs w:val="21"/>
          <w:u w:val="single"/>
        </w:rPr>
        <w:t xml:space="preserve">              </w:t>
      </w:r>
    </w:p>
    <w:p>
      <w:pPr>
        <w:adjustRightInd w:val="0"/>
        <w:snapToGrid w:val="0"/>
        <w:spacing w:before="50" w:line="360" w:lineRule="auto"/>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50" w:line="360" w:lineRule="auto"/>
        <w:rPr>
          <w:rFonts w:ascii="宋体" w:hAnsi="宋体" w:cs="宋体"/>
          <w:sz w:val="24"/>
          <w:szCs w:val="24"/>
        </w:rPr>
      </w:pPr>
      <w:r>
        <w:rPr>
          <w:rFonts w:hint="eastAsia" w:ascii="宋体" w:hAnsi="宋体" w:cs="宋体"/>
          <w:szCs w:val="21"/>
        </w:rPr>
        <w:br w:type="page"/>
      </w:r>
      <w:r>
        <w:rPr>
          <w:rFonts w:hint="eastAsia" w:ascii="宋体" w:hAnsi="宋体" w:cs="宋体"/>
          <w:b/>
          <w:bCs/>
          <w:sz w:val="28"/>
          <w:szCs w:val="28"/>
        </w:rPr>
        <w:t>五</w:t>
      </w:r>
      <w:r>
        <w:rPr>
          <w:rFonts w:hint="eastAsia" w:ascii="宋体" w:hAnsi="宋体" w:cs="宋体"/>
          <w:b/>
          <w:sz w:val="28"/>
          <w:szCs w:val="28"/>
        </w:rPr>
        <w:t>（二）、附件7 联合体协议书（本项目不适用）</w:t>
      </w:r>
    </w:p>
    <w:p>
      <w:pPr>
        <w:adjustRightInd w:val="0"/>
        <w:snapToGrid w:val="0"/>
        <w:spacing w:before="156" w:beforeLines="50"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u w:val="single"/>
          <w:lang w:eastAsia="zh-CN"/>
        </w:rPr>
        <w:t>招标代理机构</w:t>
      </w:r>
      <w:bookmarkStart w:id="33" w:name="_GoBack"/>
      <w:bookmarkEnd w:id="33"/>
      <w:r>
        <w:rPr>
          <w:rFonts w:hint="eastAsia" w:ascii="宋体" w:hAnsi="宋体" w:cs="宋体"/>
          <w:szCs w:val="21"/>
          <w:u w:val="single"/>
        </w:rPr>
        <w:t xml:space="preserve">）     </w:t>
      </w:r>
      <w:r>
        <w:rPr>
          <w:rFonts w:hint="eastAsia" w:ascii="宋体" w:hAnsi="宋体" w:cs="宋体"/>
          <w:szCs w:val="21"/>
        </w:rPr>
        <w:t>：</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经研究，我们决定自愿组成联合体共同参加（</w:t>
      </w:r>
      <w:r>
        <w:rPr>
          <w:rFonts w:hint="eastAsia" w:ascii="宋体" w:hAnsi="宋体" w:cs="宋体"/>
          <w:szCs w:val="21"/>
          <w:u w:val="single"/>
        </w:rPr>
        <w:t xml:space="preserve">    （项目名称）   </w:t>
      </w:r>
      <w:r>
        <w:rPr>
          <w:rFonts w:hint="eastAsia" w:ascii="宋体" w:hAnsi="宋体" w:cs="宋体"/>
          <w:szCs w:val="21"/>
        </w:rPr>
        <w:t>、委托代理编号：</w:t>
      </w:r>
      <w:r>
        <w:rPr>
          <w:rFonts w:hint="eastAsia" w:ascii="宋体" w:hAnsi="宋体" w:cs="宋体"/>
          <w:szCs w:val="21"/>
          <w:u w:val="single"/>
        </w:rPr>
        <w:t xml:space="preserve">            </w:t>
      </w:r>
      <w:r>
        <w:rPr>
          <w:rFonts w:hint="eastAsia" w:ascii="宋体" w:hAnsi="宋体" w:cs="宋体"/>
          <w:szCs w:val="21"/>
        </w:rPr>
        <w:t>）项目的投标。现就联合体投标事宜订立如下协议：</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一、联合体基本信息：</w:t>
      </w:r>
      <w:r>
        <w:rPr>
          <w:rFonts w:hint="eastAsia" w:ascii="宋体" w:hAnsi="宋体" w:cs="宋体"/>
          <w:szCs w:val="21"/>
          <w:u w:val="single"/>
        </w:rPr>
        <w:t xml:space="preserve">                （各方公司名称、地址、注册资金、营业执照、法定代表人姓名）           </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二、</w:t>
      </w:r>
      <w:r>
        <w:rPr>
          <w:rFonts w:hint="eastAsia" w:ascii="宋体" w:hAnsi="宋体" w:cs="宋体"/>
          <w:szCs w:val="21"/>
          <w:u w:val="single"/>
        </w:rPr>
        <w:t xml:space="preserve">  （某成员单位名称）      </w:t>
      </w:r>
      <w:r>
        <w:rPr>
          <w:rFonts w:hint="eastAsia" w:ascii="宋体" w:hAnsi="宋体" w:cs="宋体"/>
          <w:szCs w:val="21"/>
        </w:rPr>
        <w:t>为</w:t>
      </w:r>
      <w:r>
        <w:rPr>
          <w:rFonts w:hint="eastAsia" w:ascii="宋体" w:hAnsi="宋体" w:cs="宋体"/>
          <w:szCs w:val="21"/>
          <w:u w:val="single"/>
        </w:rPr>
        <w:t xml:space="preserve">  （联合体名称）    </w:t>
      </w:r>
      <w:r>
        <w:rPr>
          <w:rFonts w:hint="eastAsia" w:ascii="宋体" w:hAnsi="宋体" w:cs="宋体"/>
          <w:szCs w:val="21"/>
        </w:rPr>
        <w:t>的牵头人。</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三、联合体牵头人合法代表联合体各成员负责本项目投标文件编制活动，代表联合体提交和接收相关的资料、信息及指示，并处理与投标或成交有关的一切事务；联合体中标或成交后，联合体牵头人负责合同订立和合同实施阶段的主办、组织和协调工作。</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四．联合体将严格按照招标文件的各项要求，递交投标文件，参加投标，履行中标或成交义务和中标或成交后的合同，并向采购人承担连带责任。</w:t>
      </w:r>
    </w:p>
    <w:p>
      <w:pPr>
        <w:adjustRightInd w:val="0"/>
        <w:snapToGrid w:val="0"/>
        <w:spacing w:before="156" w:beforeLines="50" w:line="360" w:lineRule="auto"/>
        <w:ind w:firstLine="420" w:firstLineChars="200"/>
        <w:rPr>
          <w:rFonts w:ascii="宋体" w:hAnsi="宋体" w:cs="宋体"/>
          <w:szCs w:val="21"/>
          <w:u w:val="single"/>
        </w:rPr>
      </w:pPr>
      <w:r>
        <w:rPr>
          <w:rFonts w:hint="eastAsia" w:ascii="宋体" w:hAnsi="宋体" w:cs="宋体"/>
          <w:szCs w:val="21"/>
        </w:rPr>
        <w:t>五、联合体各成员单位内部的职责分工如下：</w:t>
      </w:r>
      <w:r>
        <w:rPr>
          <w:rFonts w:hint="eastAsia" w:ascii="宋体" w:hAnsi="宋体" w:cs="宋体"/>
          <w:szCs w:val="21"/>
          <w:u w:val="single"/>
        </w:rPr>
        <w:t xml:space="preserve">             </w:t>
      </w:r>
      <w:r>
        <w:rPr>
          <w:rFonts w:hint="eastAsia" w:ascii="宋体" w:hAnsi="宋体" w:cs="宋体"/>
          <w:szCs w:val="21"/>
        </w:rPr>
        <w:t>。按照本条上述分工，联合体成员单位各自所承担的合同工作量比例如下：</w:t>
      </w:r>
      <w:r>
        <w:rPr>
          <w:rFonts w:hint="eastAsia" w:ascii="宋体" w:hAnsi="宋体" w:cs="宋体"/>
          <w:szCs w:val="21"/>
          <w:u w:val="single"/>
        </w:rPr>
        <w:t xml:space="preserve">               </w:t>
      </w:r>
      <w:r>
        <w:rPr>
          <w:rFonts w:hint="eastAsia" w:ascii="宋体" w:hAnsi="宋体" w:cs="宋体"/>
          <w:szCs w:val="21"/>
        </w:rPr>
        <w:t>。</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六、本协议书自签署之日起生效，合同履行完毕后自动失效。</w:t>
      </w:r>
    </w:p>
    <w:p>
      <w:pPr>
        <w:adjustRightInd w:val="0"/>
        <w:snapToGrid w:val="0"/>
        <w:spacing w:before="156" w:beforeLines="50" w:line="360" w:lineRule="auto"/>
        <w:ind w:firstLine="420" w:firstLineChars="200"/>
        <w:rPr>
          <w:rFonts w:ascii="宋体" w:hAnsi="宋体" w:cs="宋体"/>
          <w:szCs w:val="21"/>
        </w:rPr>
      </w:pPr>
      <w:r>
        <w:rPr>
          <w:rFonts w:hint="eastAsia" w:ascii="宋体" w:hAnsi="宋体" w:cs="宋体"/>
          <w:szCs w:val="21"/>
        </w:rPr>
        <w:t>七、本协议书一式</w:t>
      </w:r>
      <w:r>
        <w:rPr>
          <w:rFonts w:hint="eastAsia" w:ascii="宋体" w:hAnsi="宋体" w:cs="宋体"/>
          <w:szCs w:val="21"/>
          <w:u w:val="single"/>
        </w:rPr>
        <w:t xml:space="preserve">    </w:t>
      </w:r>
      <w:r>
        <w:rPr>
          <w:rFonts w:hint="eastAsia" w:ascii="宋体" w:hAnsi="宋体" w:cs="宋体"/>
          <w:szCs w:val="21"/>
        </w:rPr>
        <w:t>份，联合体成员和采购人各执一份。</w:t>
      </w:r>
    </w:p>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牵头人名称（盖单位章）：</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rPr>
      </w:pPr>
    </w:p>
    <w:p>
      <w:pPr>
        <w:adjustRightInd w:val="0"/>
        <w:snapToGrid w:val="0"/>
        <w:spacing w:before="156" w:beforeLines="50" w:line="360" w:lineRule="auto"/>
        <w:rPr>
          <w:rFonts w:ascii="宋体" w:hAnsi="宋体" w:cs="宋体"/>
          <w:szCs w:val="21"/>
        </w:rPr>
      </w:pPr>
      <w:r>
        <w:rPr>
          <w:rFonts w:hint="eastAsia" w:ascii="宋体" w:hAnsi="宋体" w:cs="宋体"/>
          <w:szCs w:val="21"/>
        </w:rPr>
        <w:t>成员名称（盖单位章）：</w:t>
      </w:r>
    </w:p>
    <w:p>
      <w:pPr>
        <w:adjustRightInd w:val="0"/>
        <w:snapToGrid w:val="0"/>
        <w:spacing w:before="156" w:beforeLines="50" w:line="360" w:lineRule="auto"/>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pPr>
        <w:adjustRightInd w:val="0"/>
        <w:snapToGrid w:val="0"/>
        <w:spacing w:before="156" w:beforeLines="50" w:line="360" w:lineRule="auto"/>
        <w:rPr>
          <w:rFonts w:ascii="宋体" w:hAnsi="宋体" w:cs="宋体"/>
          <w:szCs w:val="21"/>
          <w:u w:val="single"/>
        </w:rPr>
      </w:pPr>
      <w:r>
        <w:rPr>
          <w:rFonts w:hint="eastAsia" w:ascii="宋体" w:hAnsi="宋体" w:cs="宋体"/>
          <w:b/>
          <w:bCs/>
          <w:szCs w:val="21"/>
        </w:rPr>
        <w:t xml:space="preserve">      </w:t>
      </w:r>
    </w:p>
    <w:p>
      <w:pPr>
        <w:adjustRightInd w:val="0"/>
        <w:snapToGrid w:val="0"/>
        <w:spacing w:before="156" w:beforeLines="50" w:line="360" w:lineRule="auto"/>
        <w:outlineLvl w:val="0"/>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pPr>
        <w:adjustRightInd w:val="0"/>
        <w:snapToGrid w:val="0"/>
        <w:spacing w:before="156" w:beforeLines="50" w:line="360" w:lineRule="auto"/>
        <w:rPr>
          <w:rFonts w:ascii="宋体" w:hAnsi="宋体" w:cs="宋体"/>
          <w:szCs w:val="21"/>
        </w:rPr>
      </w:pPr>
      <w:r>
        <w:rPr>
          <w:rFonts w:hint="eastAsia" w:ascii="宋体" w:hAnsi="宋体" w:cs="宋体"/>
          <w:b/>
          <w:szCs w:val="21"/>
        </w:rPr>
        <w:t>备注</w:t>
      </w:r>
      <w:r>
        <w:rPr>
          <w:rFonts w:hint="eastAsia" w:ascii="宋体" w:hAnsi="宋体" w:cs="宋体"/>
          <w:szCs w:val="21"/>
        </w:rPr>
        <w:t>：本协议书由委托代理人签字的，应附法定代表人签字的授权委托书。</w:t>
      </w:r>
    </w:p>
    <w:p>
      <w:pPr>
        <w:adjustRightInd w:val="0"/>
        <w:snapToGrid w:val="0"/>
        <w:spacing w:line="360" w:lineRule="auto"/>
        <w:rPr>
          <w:rFonts w:ascii="宋体" w:hAnsi="宋体" w:cs="宋体"/>
          <w:sz w:val="28"/>
          <w:szCs w:val="28"/>
        </w:rPr>
      </w:pPr>
    </w:p>
    <w:p>
      <w:pPr>
        <w:adjustRightInd w:val="0"/>
        <w:snapToGrid w:val="0"/>
        <w:spacing w:line="360" w:lineRule="auto"/>
        <w:rPr>
          <w:rFonts w:ascii="宋体" w:hAnsi="宋体" w:cs="宋体"/>
          <w:b/>
          <w:sz w:val="28"/>
          <w:szCs w:val="28"/>
        </w:rPr>
      </w:pPr>
      <w:r>
        <w:rPr>
          <w:rFonts w:hint="eastAsia" w:ascii="宋体" w:hAnsi="宋体" w:cs="宋体"/>
          <w:b/>
          <w:bCs/>
          <w:sz w:val="28"/>
          <w:szCs w:val="28"/>
        </w:rPr>
        <w:t>五</w:t>
      </w:r>
      <w:r>
        <w:rPr>
          <w:rFonts w:hint="eastAsia" w:ascii="宋体" w:hAnsi="宋体" w:cs="宋体"/>
          <w:b/>
          <w:sz w:val="28"/>
          <w:szCs w:val="28"/>
        </w:rPr>
        <w:t>（二）、附件8  交纳投标保证金证明文件</w:t>
      </w:r>
    </w:p>
    <w:p>
      <w:pPr>
        <w:spacing w:line="360" w:lineRule="auto"/>
        <w:rPr>
          <w:rFonts w:ascii="宋体" w:hAnsi="宋体" w:cs="宋体"/>
          <w:b/>
          <w:sz w:val="28"/>
          <w:szCs w:val="28"/>
        </w:rPr>
      </w:pPr>
    </w:p>
    <w:p>
      <w:pPr>
        <w:adjustRightInd w:val="0"/>
        <w:snapToGrid w:val="0"/>
        <w:spacing w:line="360" w:lineRule="auto"/>
        <w:outlineLvl w:val="0"/>
        <w:rPr>
          <w:rFonts w:ascii="宋体" w:hAnsi="宋体" w:cs="宋体"/>
          <w:szCs w:val="21"/>
        </w:rPr>
      </w:pPr>
      <w:r>
        <w:rPr>
          <w:rFonts w:hint="eastAsia" w:ascii="宋体" w:hAnsi="宋体" w:cs="宋体"/>
          <w:b/>
          <w:szCs w:val="21"/>
        </w:rPr>
        <w:t>备注：</w:t>
      </w:r>
      <w:r>
        <w:rPr>
          <w:rFonts w:hint="eastAsia" w:ascii="宋体" w:hAnsi="宋体" w:cs="宋体"/>
          <w:szCs w:val="21"/>
        </w:rPr>
        <w:t>提供付款凭证复印件。</w:t>
      </w:r>
    </w:p>
    <w:p>
      <w:pPr>
        <w:adjustRightInd w:val="0"/>
        <w:snapToGrid w:val="0"/>
        <w:spacing w:before="156" w:beforeLines="50" w:line="360" w:lineRule="auto"/>
        <w:rPr>
          <w:rFonts w:ascii="宋体" w:hAnsi="宋体" w:cs="宋体"/>
          <w:szCs w:val="21"/>
        </w:rPr>
      </w:pPr>
    </w:p>
    <w:p>
      <w:pPr>
        <w:adjustRightInd w:val="0"/>
        <w:snapToGrid w:val="0"/>
        <w:spacing w:line="360" w:lineRule="auto"/>
        <w:rPr>
          <w:rFonts w:ascii="宋体" w:hAnsi="宋体" w:cs="宋体"/>
          <w:sz w:val="24"/>
          <w:szCs w:val="24"/>
          <w:u w:val="single"/>
        </w:rPr>
      </w:pPr>
    </w:p>
    <w:p>
      <w:pPr>
        <w:adjustRightInd w:val="0"/>
        <w:snapToGrid w:val="0"/>
        <w:spacing w:line="360" w:lineRule="auto"/>
        <w:jc w:val="center"/>
        <w:rPr>
          <w:rFonts w:ascii="宋体" w:hAnsi="宋体" w:cs="宋体"/>
          <w:b/>
          <w:bCs/>
          <w:sz w:val="28"/>
          <w:szCs w:val="28"/>
        </w:rPr>
        <w:sectPr>
          <w:pgSz w:w="11906" w:h="16838"/>
          <w:pgMar w:top="1440" w:right="1588" w:bottom="1213" w:left="1588" w:header="851" w:footer="1255" w:gutter="0"/>
          <w:cols w:space="720" w:num="1"/>
          <w:titlePg/>
          <w:docGrid w:type="linesAndChars" w:linePitch="312" w:charSpace="0"/>
        </w:sectPr>
      </w:pPr>
    </w:p>
    <w:p>
      <w:pPr>
        <w:adjustRightInd w:val="0"/>
        <w:snapToGrid w:val="0"/>
        <w:spacing w:line="360" w:lineRule="auto"/>
        <w:jc w:val="center"/>
        <w:rPr>
          <w:rFonts w:ascii="宋体" w:hAnsi="宋体" w:cs="宋体"/>
          <w:b/>
          <w:bCs/>
          <w:sz w:val="28"/>
          <w:szCs w:val="28"/>
        </w:rPr>
      </w:pPr>
      <w:r>
        <w:rPr>
          <w:rFonts w:hint="eastAsia" w:ascii="宋体" w:hAnsi="宋体" w:cs="宋体"/>
          <w:b/>
          <w:bCs/>
          <w:sz w:val="28"/>
          <w:szCs w:val="28"/>
        </w:rPr>
        <w:t>六、投标人认为需要提供的其他文件</w:t>
      </w: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adjustRightInd w:val="0"/>
        <w:snapToGrid w:val="0"/>
        <w:spacing w:line="360" w:lineRule="auto"/>
        <w:rPr>
          <w:rFonts w:ascii="宋体" w:hAnsi="宋体" w:cs="宋体"/>
          <w:bCs/>
          <w:sz w:val="28"/>
          <w:szCs w:val="28"/>
        </w:rPr>
      </w:pPr>
    </w:p>
    <w:p>
      <w:pPr>
        <w:spacing w:line="360" w:lineRule="auto"/>
        <w:rPr>
          <w:rFonts w:ascii="宋体" w:hAnsi="宋体" w:cs="宋体"/>
          <w:bCs/>
          <w:sz w:val="28"/>
          <w:szCs w:val="28"/>
        </w:rPr>
      </w:pPr>
    </w:p>
    <w:p>
      <w:pPr>
        <w:spacing w:line="360" w:lineRule="auto"/>
        <w:rPr>
          <w:rFonts w:ascii="宋体" w:hAnsi="宋体" w:cs="宋体"/>
          <w:bCs/>
          <w:sz w:val="28"/>
          <w:szCs w:val="28"/>
        </w:rPr>
      </w:pPr>
    </w:p>
    <w:p>
      <w:pPr>
        <w:spacing w:line="360" w:lineRule="auto"/>
        <w:rPr>
          <w:rFonts w:ascii="宋体" w:hAnsi="宋体" w:cs="宋体"/>
          <w:bCs/>
          <w:sz w:val="28"/>
          <w:szCs w:val="28"/>
        </w:rPr>
      </w:pPr>
      <w:r>
        <w:rPr>
          <w:rFonts w:hint="eastAsia" w:ascii="宋体" w:hAnsi="宋体" w:cs="宋体"/>
          <w:bCs/>
          <w:sz w:val="28"/>
          <w:szCs w:val="28"/>
        </w:rPr>
        <w:br w:type="page"/>
      </w:r>
    </w:p>
    <w:p>
      <w:pPr>
        <w:spacing w:line="360" w:lineRule="auto"/>
        <w:rPr>
          <w:rFonts w:ascii="宋体" w:hAnsi="宋体" w:cs="宋体"/>
          <w:bCs/>
          <w:sz w:val="28"/>
          <w:szCs w:val="28"/>
        </w:rPr>
      </w:pPr>
    </w:p>
    <w:p>
      <w:pPr>
        <w:pStyle w:val="3"/>
        <w:spacing w:line="360" w:lineRule="auto"/>
        <w:rPr>
          <w:rFonts w:ascii="宋体" w:hAnsi="宋体" w:cs="宋体"/>
          <w:bCs w:val="0"/>
          <w:sz w:val="28"/>
          <w:szCs w:val="28"/>
        </w:rPr>
      </w:pPr>
    </w:p>
    <w:p>
      <w:pPr>
        <w:spacing w:line="360" w:lineRule="auto"/>
        <w:rPr>
          <w:rFonts w:ascii="宋体" w:hAnsi="宋体" w:cs="宋体"/>
          <w:bCs/>
          <w:sz w:val="28"/>
          <w:szCs w:val="28"/>
        </w:rPr>
      </w:pPr>
    </w:p>
    <w:p>
      <w:pPr>
        <w:pStyle w:val="3"/>
        <w:spacing w:line="360" w:lineRule="auto"/>
        <w:rPr>
          <w:rFonts w:ascii="宋体" w:hAnsi="宋体" w:cs="宋体"/>
          <w:bCs w:val="0"/>
          <w:sz w:val="28"/>
          <w:szCs w:val="28"/>
        </w:rPr>
      </w:pPr>
    </w:p>
    <w:p>
      <w:pPr>
        <w:spacing w:line="360" w:lineRule="auto"/>
        <w:rPr>
          <w:rFonts w:ascii="宋体" w:hAnsi="宋体" w:cs="宋体"/>
          <w:bCs/>
          <w:sz w:val="28"/>
          <w:szCs w:val="28"/>
        </w:rPr>
      </w:pPr>
    </w:p>
    <w:p>
      <w:pPr>
        <w:pStyle w:val="3"/>
        <w:spacing w:line="360" w:lineRule="auto"/>
        <w:rPr>
          <w:rFonts w:ascii="宋体" w:hAnsi="宋体" w:cs="宋体"/>
        </w:rPr>
      </w:pPr>
    </w:p>
    <w:p>
      <w:pPr>
        <w:spacing w:line="360" w:lineRule="auto"/>
        <w:jc w:val="center"/>
        <w:rPr>
          <w:rFonts w:ascii="宋体" w:hAnsi="宋体" w:cs="宋体"/>
          <w:bCs/>
          <w:sz w:val="28"/>
          <w:szCs w:val="28"/>
        </w:rPr>
      </w:pPr>
      <w:r>
        <w:rPr>
          <w:rFonts w:hint="eastAsia" w:ascii="宋体" w:hAnsi="宋体" w:cs="宋体"/>
          <w:b/>
          <w:sz w:val="48"/>
          <w:szCs w:val="48"/>
        </w:rPr>
        <w:t>技术部分</w:t>
      </w:r>
    </w:p>
    <w:p>
      <w:pPr>
        <w:adjustRightInd w:val="0"/>
        <w:snapToGrid w:val="0"/>
        <w:spacing w:line="360" w:lineRule="auto"/>
        <w:rPr>
          <w:rFonts w:ascii="宋体" w:hAnsi="宋体" w:cs="宋体"/>
          <w:sz w:val="28"/>
          <w:szCs w:val="21"/>
        </w:rPr>
      </w:pPr>
    </w:p>
    <w:p>
      <w:pPr>
        <w:spacing w:line="360" w:lineRule="auto"/>
        <w:rPr>
          <w:rFonts w:ascii="宋体" w:hAnsi="宋体" w:cs="宋体"/>
          <w:b/>
          <w:bCs/>
          <w:sz w:val="28"/>
          <w:szCs w:val="28"/>
        </w:rPr>
        <w:sectPr>
          <w:pgSz w:w="11906" w:h="16838"/>
          <w:pgMar w:top="1440" w:right="1588" w:bottom="1213" w:left="1588" w:header="851" w:footer="1255" w:gutter="0"/>
          <w:cols w:space="720" w:num="1"/>
          <w:titlePg/>
          <w:docGrid w:type="linesAndChars" w:linePitch="312" w:charSpace="0"/>
        </w:sectPr>
      </w:pPr>
    </w:p>
    <w:p>
      <w:pPr>
        <w:spacing w:line="360" w:lineRule="auto"/>
        <w:rPr>
          <w:rFonts w:ascii="宋体" w:hAnsi="宋体" w:cs="宋体"/>
          <w:b/>
          <w:bCs/>
          <w:sz w:val="28"/>
          <w:szCs w:val="28"/>
        </w:rPr>
      </w:pPr>
      <w:r>
        <w:rPr>
          <w:rFonts w:hint="eastAsia" w:ascii="宋体" w:hAnsi="宋体" w:cs="宋体"/>
          <w:b/>
          <w:bCs/>
          <w:sz w:val="28"/>
          <w:szCs w:val="28"/>
        </w:rPr>
        <w:t>七、服务方案说明</w:t>
      </w:r>
    </w:p>
    <w:p>
      <w:pPr>
        <w:adjustRightInd w:val="0"/>
        <w:snapToGrid w:val="0"/>
        <w:spacing w:line="360" w:lineRule="auto"/>
        <w:ind w:firstLine="420" w:firstLineChars="200"/>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服务类项目投标人应根据第五章《招标采购内容及要求》规定编写服务方案。</w:t>
      </w:r>
    </w:p>
    <w:p>
      <w:pPr>
        <w:adjustRightInd w:val="0"/>
        <w:snapToGrid w:val="0"/>
        <w:spacing w:before="50" w:line="360" w:lineRule="auto"/>
        <w:rPr>
          <w:rFonts w:ascii="宋体" w:hAnsi="宋体" w:cs="宋体"/>
          <w:szCs w:val="21"/>
        </w:rPr>
      </w:pPr>
      <w:r>
        <w:rPr>
          <w:rFonts w:hint="eastAsia" w:ascii="宋体" w:hAnsi="宋体" w:cs="宋体"/>
          <w:szCs w:val="21"/>
        </w:rPr>
        <w:t>包括但不限于以下内容：</w:t>
      </w:r>
    </w:p>
    <w:p>
      <w:pPr>
        <w:adjustRightInd w:val="0"/>
        <w:snapToGrid w:val="0"/>
        <w:spacing w:before="50" w:line="360" w:lineRule="auto"/>
        <w:rPr>
          <w:rFonts w:ascii="宋体" w:hAnsi="宋体" w:cs="宋体"/>
          <w:szCs w:val="21"/>
        </w:rPr>
      </w:pPr>
      <w:r>
        <w:rPr>
          <w:rFonts w:hint="eastAsia" w:ascii="宋体" w:hAnsi="宋体" w:cs="宋体"/>
          <w:szCs w:val="21"/>
        </w:rPr>
        <w:t>（一）服务目标</w:t>
      </w:r>
    </w:p>
    <w:p>
      <w:pPr>
        <w:adjustRightInd w:val="0"/>
        <w:snapToGrid w:val="0"/>
        <w:spacing w:before="50" w:line="360" w:lineRule="auto"/>
        <w:rPr>
          <w:rFonts w:ascii="宋体" w:hAnsi="宋体" w:cs="宋体"/>
          <w:szCs w:val="21"/>
        </w:rPr>
      </w:pPr>
      <w:r>
        <w:rPr>
          <w:rFonts w:hint="eastAsia" w:ascii="宋体" w:hAnsi="宋体" w:cs="宋体"/>
          <w:szCs w:val="21"/>
        </w:rPr>
        <w:t>（二）服务内容</w:t>
      </w:r>
    </w:p>
    <w:p>
      <w:pPr>
        <w:adjustRightInd w:val="0"/>
        <w:snapToGrid w:val="0"/>
        <w:spacing w:before="50" w:line="360" w:lineRule="auto"/>
        <w:rPr>
          <w:rFonts w:ascii="宋体" w:hAnsi="宋体" w:cs="宋体"/>
          <w:szCs w:val="21"/>
        </w:rPr>
      </w:pPr>
      <w:r>
        <w:rPr>
          <w:rFonts w:hint="eastAsia" w:ascii="宋体" w:hAnsi="宋体" w:cs="宋体"/>
          <w:szCs w:val="21"/>
        </w:rPr>
        <w:t>（三）服务周期</w:t>
      </w:r>
    </w:p>
    <w:p>
      <w:pPr>
        <w:adjustRightInd w:val="0"/>
        <w:snapToGrid w:val="0"/>
        <w:spacing w:before="50" w:line="360" w:lineRule="auto"/>
        <w:rPr>
          <w:rFonts w:ascii="宋体" w:hAnsi="宋体" w:cs="宋体"/>
          <w:szCs w:val="21"/>
        </w:rPr>
      </w:pPr>
      <w:r>
        <w:rPr>
          <w:rFonts w:hint="eastAsia" w:ascii="宋体" w:hAnsi="宋体" w:cs="宋体"/>
          <w:szCs w:val="21"/>
        </w:rPr>
        <w:t>（四）推进步骤</w:t>
      </w:r>
    </w:p>
    <w:p>
      <w:pPr>
        <w:adjustRightInd w:val="0"/>
        <w:snapToGrid w:val="0"/>
        <w:spacing w:before="50" w:line="360" w:lineRule="auto"/>
        <w:rPr>
          <w:rFonts w:ascii="宋体" w:hAnsi="宋体" w:cs="宋体"/>
          <w:szCs w:val="21"/>
        </w:rPr>
      </w:pPr>
      <w:r>
        <w:rPr>
          <w:rFonts w:hint="eastAsia" w:ascii="宋体" w:hAnsi="宋体" w:cs="宋体"/>
          <w:szCs w:val="21"/>
        </w:rPr>
        <w:t>（五）服务承诺</w:t>
      </w:r>
    </w:p>
    <w:p>
      <w:pPr>
        <w:adjustRightInd w:val="0"/>
        <w:snapToGrid w:val="0"/>
        <w:spacing w:before="50" w:line="360" w:lineRule="auto"/>
        <w:rPr>
          <w:rFonts w:ascii="宋体" w:hAnsi="宋体" w:cs="宋体"/>
          <w:szCs w:val="21"/>
        </w:rPr>
      </w:pPr>
      <w:r>
        <w:rPr>
          <w:rFonts w:hint="eastAsia" w:ascii="宋体" w:hAnsi="宋体" w:cs="宋体"/>
          <w:szCs w:val="21"/>
        </w:rPr>
        <w:t>（六）保证措施</w:t>
      </w:r>
    </w:p>
    <w:p>
      <w:pPr>
        <w:adjustRightInd w:val="0"/>
        <w:snapToGrid w:val="0"/>
        <w:spacing w:line="360" w:lineRule="auto"/>
        <w:ind w:left="-88" w:leftChars="-42"/>
        <w:rPr>
          <w:rFonts w:ascii="宋体" w:hAnsi="宋体" w:cs="宋体"/>
        </w:rPr>
      </w:pPr>
    </w:p>
    <w:p>
      <w:pPr>
        <w:adjustRightInd w:val="0"/>
        <w:snapToGrid w:val="0"/>
        <w:spacing w:line="360" w:lineRule="auto"/>
        <w:ind w:left="-88" w:leftChars="-42"/>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b/>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rPr>
          <w:rFonts w:ascii="宋体" w:hAnsi="宋体" w:cs="宋体"/>
          <w:b/>
          <w:sz w:val="24"/>
        </w:rPr>
      </w:pPr>
    </w:p>
    <w:p>
      <w:pPr>
        <w:adjustRightInd w:val="0"/>
        <w:snapToGrid w:val="0"/>
        <w:spacing w:line="360" w:lineRule="auto"/>
        <w:outlineLvl w:val="0"/>
        <w:rPr>
          <w:rFonts w:ascii="宋体" w:hAnsi="宋体" w:cs="宋体"/>
          <w:b/>
          <w:bCs/>
          <w:sz w:val="28"/>
          <w:szCs w:val="28"/>
        </w:rPr>
      </w:pPr>
      <w:r>
        <w:rPr>
          <w:rFonts w:hint="eastAsia" w:ascii="宋体" w:hAnsi="宋体" w:cs="宋体"/>
          <w:b/>
          <w:sz w:val="24"/>
        </w:rPr>
        <w:br w:type="page"/>
      </w:r>
      <w:r>
        <w:rPr>
          <w:rFonts w:hint="eastAsia" w:ascii="宋体" w:hAnsi="宋体" w:cs="宋体"/>
          <w:b/>
          <w:bCs/>
          <w:sz w:val="28"/>
          <w:szCs w:val="28"/>
        </w:rPr>
        <w:t>八、技术条件响应/偏离表</w:t>
      </w:r>
    </w:p>
    <w:p>
      <w:pPr>
        <w:adjustRightInd w:val="0"/>
        <w:snapToGrid w:val="0"/>
        <w:spacing w:line="360" w:lineRule="auto"/>
        <w:jc w:val="center"/>
        <w:rPr>
          <w:rFonts w:ascii="宋体" w:hAnsi="宋体" w:cs="宋体"/>
          <w:b/>
        </w:rPr>
      </w:pPr>
    </w:p>
    <w:p>
      <w:pPr>
        <w:adjustRightInd w:val="0"/>
        <w:snapToGrid w:val="0"/>
        <w:spacing w:line="360" w:lineRule="auto"/>
        <w:ind w:left="-88" w:leftChars="-42"/>
        <w:rPr>
          <w:rFonts w:ascii="宋体" w:hAnsi="宋体" w:cs="宋体"/>
          <w:sz w:val="24"/>
          <w:szCs w:val="21"/>
          <w:u w:val="single"/>
        </w:rPr>
      </w:pPr>
      <w:r>
        <w:rPr>
          <w:rFonts w:hint="eastAsia" w:ascii="宋体" w:hAnsi="宋体" w:cs="宋体"/>
          <w:spacing w:val="28"/>
          <w:szCs w:val="21"/>
        </w:rPr>
        <w:t>委托代理编号</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 w:val="24"/>
          <w:szCs w:val="21"/>
          <w:u w:val="single"/>
        </w:rPr>
        <w:t xml:space="preserve">            </w:t>
      </w:r>
    </w:p>
    <w:p>
      <w:pPr>
        <w:adjustRightInd w:val="0"/>
        <w:snapToGrid w:val="0"/>
        <w:spacing w:line="360" w:lineRule="auto"/>
        <w:ind w:left="-88" w:leftChars="-42"/>
        <w:rPr>
          <w:rFonts w:ascii="宋体" w:hAnsi="宋体" w:cs="宋体"/>
          <w:sz w:val="24"/>
          <w:szCs w:val="21"/>
          <w:u w:val="single"/>
        </w:rPr>
      </w:pPr>
      <w:r>
        <w:rPr>
          <w:rFonts w:hint="eastAsia" w:ascii="宋体" w:hAnsi="宋体" w:cs="宋体"/>
          <w:sz w:val="24"/>
          <w:szCs w:val="21"/>
          <w:u w:val="single"/>
        </w:rPr>
        <w:t xml:space="preserve">                     </w:t>
      </w:r>
      <w:r>
        <w:rPr>
          <w:rFonts w:hint="eastAsia" w:ascii="宋体" w:hAnsi="宋体" w:cs="宋体"/>
          <w:sz w:val="24"/>
          <w:szCs w:val="21"/>
        </w:rPr>
        <w:t xml:space="preserve"> </w:t>
      </w:r>
    </w:p>
    <w:tbl>
      <w:tblPr>
        <w:tblStyle w:val="3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04"/>
        <w:gridCol w:w="1668"/>
        <w:gridCol w:w="1965"/>
        <w:gridCol w:w="1102"/>
        <w:gridCol w:w="1105"/>
        <w:gridCol w:w="1184"/>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8" w:hRule="atLeast"/>
        </w:trPr>
        <w:tc>
          <w:tcPr>
            <w:tcW w:w="1104"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品目号</w:t>
            </w:r>
          </w:p>
        </w:tc>
        <w:tc>
          <w:tcPr>
            <w:tcW w:w="1668"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服务名称</w:t>
            </w:r>
          </w:p>
        </w:tc>
        <w:tc>
          <w:tcPr>
            <w:tcW w:w="1965"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招标文件条目号</w:t>
            </w:r>
          </w:p>
        </w:tc>
        <w:tc>
          <w:tcPr>
            <w:tcW w:w="1102"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招标要求</w:t>
            </w:r>
          </w:p>
        </w:tc>
        <w:tc>
          <w:tcPr>
            <w:tcW w:w="1105"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投标内容</w:t>
            </w:r>
          </w:p>
        </w:tc>
        <w:tc>
          <w:tcPr>
            <w:tcW w:w="1184"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响应/偏离</w:t>
            </w:r>
          </w:p>
        </w:tc>
        <w:tc>
          <w:tcPr>
            <w:tcW w:w="900" w:type="dxa"/>
            <w:vAlign w:val="center"/>
          </w:tcPr>
          <w:p>
            <w:pPr>
              <w:adjustRightInd w:val="0"/>
              <w:snapToGrid w:val="0"/>
              <w:spacing w:line="360" w:lineRule="auto"/>
              <w:ind w:left="-88" w:leftChars="-42"/>
              <w:jc w:val="center"/>
              <w:rPr>
                <w:rFonts w:ascii="宋体" w:hAnsi="宋体" w:cs="宋体"/>
                <w:b/>
                <w:bCs/>
                <w:szCs w:val="21"/>
              </w:rPr>
            </w:pPr>
            <w:r>
              <w:rPr>
                <w:rFonts w:hint="eastAsia" w:ascii="宋体" w:hAnsi="宋体" w:cs="宋体"/>
                <w:b/>
                <w:bCs/>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9" w:hRule="atLeast"/>
        </w:trPr>
        <w:tc>
          <w:tcPr>
            <w:tcW w:w="1104" w:type="dxa"/>
            <w:vAlign w:val="center"/>
          </w:tcPr>
          <w:p>
            <w:pPr>
              <w:adjustRightInd w:val="0"/>
              <w:snapToGrid w:val="0"/>
              <w:spacing w:line="360" w:lineRule="auto"/>
              <w:ind w:left="-88" w:leftChars="-42"/>
              <w:jc w:val="center"/>
              <w:rPr>
                <w:rFonts w:ascii="宋体" w:hAnsi="宋体" w:cs="宋体"/>
                <w:szCs w:val="21"/>
              </w:rPr>
            </w:pPr>
          </w:p>
        </w:tc>
        <w:tc>
          <w:tcPr>
            <w:tcW w:w="1668" w:type="dxa"/>
            <w:vAlign w:val="center"/>
          </w:tcPr>
          <w:p>
            <w:pPr>
              <w:adjustRightInd w:val="0"/>
              <w:snapToGrid w:val="0"/>
              <w:spacing w:line="360" w:lineRule="auto"/>
              <w:ind w:left="-88" w:leftChars="-42"/>
              <w:jc w:val="center"/>
              <w:rPr>
                <w:rFonts w:ascii="宋体" w:hAnsi="宋体" w:cs="宋体"/>
                <w:szCs w:val="21"/>
              </w:rPr>
            </w:pPr>
          </w:p>
        </w:tc>
        <w:tc>
          <w:tcPr>
            <w:tcW w:w="1965" w:type="dxa"/>
            <w:vAlign w:val="center"/>
          </w:tcPr>
          <w:p>
            <w:pPr>
              <w:adjustRightInd w:val="0"/>
              <w:snapToGrid w:val="0"/>
              <w:spacing w:line="360" w:lineRule="auto"/>
              <w:ind w:left="-88" w:leftChars="-42"/>
              <w:jc w:val="center"/>
              <w:rPr>
                <w:rFonts w:ascii="宋体" w:hAnsi="宋体" w:cs="宋体"/>
                <w:szCs w:val="21"/>
              </w:rPr>
            </w:pPr>
          </w:p>
        </w:tc>
        <w:tc>
          <w:tcPr>
            <w:tcW w:w="1102" w:type="dxa"/>
            <w:vAlign w:val="center"/>
          </w:tcPr>
          <w:p>
            <w:pPr>
              <w:adjustRightInd w:val="0"/>
              <w:snapToGrid w:val="0"/>
              <w:spacing w:line="360" w:lineRule="auto"/>
              <w:ind w:left="-88" w:leftChars="-42"/>
              <w:jc w:val="center"/>
              <w:rPr>
                <w:rFonts w:ascii="宋体" w:hAnsi="宋体" w:cs="宋体"/>
                <w:szCs w:val="21"/>
              </w:rPr>
            </w:pPr>
          </w:p>
        </w:tc>
        <w:tc>
          <w:tcPr>
            <w:tcW w:w="1105" w:type="dxa"/>
            <w:vAlign w:val="center"/>
          </w:tcPr>
          <w:p>
            <w:pPr>
              <w:adjustRightInd w:val="0"/>
              <w:snapToGrid w:val="0"/>
              <w:spacing w:line="360" w:lineRule="auto"/>
              <w:ind w:left="-88" w:leftChars="-42"/>
              <w:jc w:val="center"/>
              <w:rPr>
                <w:rFonts w:ascii="宋体" w:hAnsi="宋体" w:cs="宋体"/>
                <w:szCs w:val="21"/>
              </w:rPr>
            </w:pPr>
          </w:p>
        </w:tc>
        <w:tc>
          <w:tcPr>
            <w:tcW w:w="1184" w:type="dxa"/>
            <w:vAlign w:val="center"/>
          </w:tcPr>
          <w:p>
            <w:pPr>
              <w:adjustRightInd w:val="0"/>
              <w:snapToGrid w:val="0"/>
              <w:spacing w:line="360" w:lineRule="auto"/>
              <w:ind w:left="-88" w:leftChars="-42"/>
              <w:jc w:val="center"/>
              <w:rPr>
                <w:rFonts w:ascii="宋体" w:hAnsi="宋体" w:cs="宋体"/>
                <w:szCs w:val="21"/>
              </w:rPr>
            </w:pPr>
          </w:p>
        </w:tc>
        <w:tc>
          <w:tcPr>
            <w:tcW w:w="900" w:type="dxa"/>
            <w:vAlign w:val="center"/>
          </w:tcPr>
          <w:p>
            <w:pPr>
              <w:adjustRightInd w:val="0"/>
              <w:snapToGrid w:val="0"/>
              <w:spacing w:line="360" w:lineRule="auto"/>
              <w:ind w:left="-88" w:leftChars="-42"/>
              <w:jc w:val="center"/>
              <w:rPr>
                <w:rFonts w:ascii="宋体" w:hAnsi="宋体" w:cs="宋体"/>
                <w:szCs w:val="21"/>
              </w:rPr>
            </w:pPr>
          </w:p>
        </w:tc>
      </w:tr>
    </w:tbl>
    <w:p>
      <w:pPr>
        <w:adjustRightInd w:val="0"/>
        <w:snapToGrid w:val="0"/>
        <w:spacing w:line="360" w:lineRule="auto"/>
        <w:ind w:left="-88" w:leftChars="-42"/>
        <w:rPr>
          <w:rFonts w:ascii="宋体" w:hAnsi="宋体" w:cs="宋体"/>
          <w:b/>
          <w:sz w:val="24"/>
          <w:szCs w:val="21"/>
        </w:rPr>
      </w:pPr>
    </w:p>
    <w:p>
      <w:pPr>
        <w:adjustRightInd w:val="0"/>
        <w:snapToGrid w:val="0"/>
        <w:spacing w:line="360" w:lineRule="auto"/>
        <w:ind w:left="-88" w:leftChars="-42"/>
        <w:rPr>
          <w:rFonts w:ascii="宋体" w:hAnsi="宋体" w:cs="宋体"/>
          <w:szCs w:val="21"/>
        </w:rPr>
      </w:pPr>
      <w:r>
        <w:rPr>
          <w:rFonts w:hint="eastAsia" w:ascii="宋体" w:hAnsi="宋体" w:cs="宋体"/>
          <w:b/>
          <w:szCs w:val="21"/>
        </w:rPr>
        <w:t>备注</w:t>
      </w:r>
      <w:r>
        <w:rPr>
          <w:rFonts w:hint="eastAsia" w:ascii="宋体" w:hAnsi="宋体" w:cs="宋体"/>
          <w:szCs w:val="21"/>
        </w:rPr>
        <w:t>：1.“响应/偏离”栏应注明“响应”或“偏离”。</w:t>
      </w:r>
    </w:p>
    <w:p>
      <w:pPr>
        <w:adjustRightInd w:val="0"/>
        <w:snapToGrid w:val="0"/>
        <w:spacing w:line="360" w:lineRule="auto"/>
        <w:ind w:left="-88" w:leftChars="-42" w:firstLine="630" w:firstLineChars="300"/>
        <w:rPr>
          <w:rFonts w:ascii="宋体" w:hAnsi="宋体" w:cs="宋体"/>
          <w:szCs w:val="21"/>
        </w:rPr>
      </w:pPr>
      <w:r>
        <w:rPr>
          <w:rFonts w:hint="eastAsia" w:ascii="宋体" w:hAnsi="宋体" w:cs="宋体"/>
          <w:szCs w:val="21"/>
        </w:rPr>
        <w:t>2. 关于“偏离”的解释，见招标文件第二章《投标人须知》第19.1款。</w:t>
      </w:r>
    </w:p>
    <w:p>
      <w:pPr>
        <w:adjustRightInd w:val="0"/>
        <w:snapToGrid w:val="0"/>
        <w:spacing w:line="360" w:lineRule="auto"/>
        <w:ind w:left="-88" w:leftChars="-42"/>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p>
    <w:p>
      <w:pPr>
        <w:adjustRightInd w:val="0"/>
        <w:snapToGrid w:val="0"/>
        <w:spacing w:before="50" w:line="360" w:lineRule="auto"/>
        <w:rPr>
          <w:rFonts w:ascii="宋体" w:hAnsi="宋体" w:cs="宋体"/>
          <w:szCs w:val="21"/>
        </w:rPr>
      </w:pPr>
      <w:r>
        <w:rPr>
          <w:rFonts w:hint="eastAsia" w:ascii="宋体" w:hAnsi="宋体" w:cs="宋体"/>
          <w:szCs w:val="21"/>
        </w:rPr>
        <w:t>投标人名称（单位章）：</w:t>
      </w:r>
    </w:p>
    <w:p>
      <w:pPr>
        <w:adjustRightInd w:val="0"/>
        <w:snapToGrid w:val="0"/>
        <w:spacing w:before="50" w:line="360" w:lineRule="auto"/>
        <w:rPr>
          <w:rFonts w:ascii="宋体" w:hAnsi="宋体" w:cs="宋体"/>
          <w:szCs w:val="21"/>
        </w:rPr>
      </w:pPr>
      <w:r>
        <w:rPr>
          <w:rFonts w:hint="eastAsia" w:ascii="宋体" w:hAnsi="宋体" w:cs="宋体"/>
          <w:szCs w:val="21"/>
        </w:rPr>
        <w:t>法定代表人或其授权的代理人(签字)：</w:t>
      </w:r>
      <w:r>
        <w:rPr>
          <w:rFonts w:hint="eastAsia" w:ascii="宋体" w:hAnsi="宋体" w:cs="宋体"/>
          <w:szCs w:val="21"/>
          <w:u w:val="single"/>
        </w:rPr>
        <w:t xml:space="preserve">                     </w:t>
      </w:r>
    </w:p>
    <w:p>
      <w:pPr>
        <w:adjustRightInd w:val="0"/>
        <w:snapToGrid w:val="0"/>
        <w:spacing w:before="50" w:line="360" w:lineRule="auto"/>
        <w:rPr>
          <w:rFonts w:ascii="宋体" w:hAnsi="宋体" w:cs="宋体"/>
          <w:b/>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jc w:val="left"/>
        <w:rPr>
          <w:rFonts w:ascii="宋体" w:hAnsi="宋体" w:cs="宋体"/>
          <w:sz w:val="24"/>
          <w:szCs w:val="21"/>
        </w:rPr>
      </w:pPr>
    </w:p>
    <w:p>
      <w:pPr>
        <w:adjustRightInd w:val="0"/>
        <w:snapToGrid w:val="0"/>
        <w:spacing w:line="360" w:lineRule="auto"/>
        <w:rPr>
          <w:rFonts w:ascii="宋体" w:hAnsi="宋体" w:cs="宋体"/>
          <w:sz w:val="24"/>
          <w:szCs w:val="21"/>
        </w:rPr>
      </w:pPr>
    </w:p>
    <w:p>
      <w:pPr>
        <w:pStyle w:val="30"/>
        <w:ind w:firstLine="210"/>
      </w:pPr>
    </w:p>
    <w:p>
      <w:pPr>
        <w:adjustRightInd w:val="0"/>
        <w:snapToGrid w:val="0"/>
        <w:spacing w:line="360" w:lineRule="auto"/>
        <w:rPr>
          <w:rFonts w:ascii="宋体" w:hAnsi="宋体" w:cs="宋体"/>
          <w:sz w:val="24"/>
          <w:szCs w:val="21"/>
        </w:rPr>
      </w:pPr>
    </w:p>
    <w:p>
      <w:pPr>
        <w:spacing w:line="360" w:lineRule="auto"/>
        <w:jc w:val="center"/>
        <w:rPr>
          <w:rFonts w:ascii="宋体" w:hAnsi="宋体" w:cs="宋体"/>
          <w:b/>
          <w:bCs/>
          <w:sz w:val="28"/>
          <w:szCs w:val="28"/>
        </w:rPr>
      </w:pPr>
      <w:r>
        <w:rPr>
          <w:rFonts w:hint="eastAsia" w:ascii="宋体" w:hAnsi="宋体" w:cs="宋体"/>
          <w:b/>
          <w:bCs/>
          <w:sz w:val="28"/>
          <w:szCs w:val="28"/>
        </w:rPr>
        <w:t>九、投标人为完成本招标服务项目所派出主要人员简历</w:t>
      </w:r>
    </w:p>
    <w:p>
      <w:pPr>
        <w:spacing w:line="360" w:lineRule="auto"/>
        <w:rPr>
          <w:b/>
          <w:bCs/>
          <w:sz w:val="32"/>
          <w:szCs w:val="32"/>
        </w:rPr>
      </w:pPr>
      <w:r>
        <w:rPr>
          <w:rFonts w:hint="eastAsia"/>
          <w:b/>
          <w:bCs/>
          <w:sz w:val="32"/>
          <w:szCs w:val="32"/>
        </w:rPr>
        <w:t>附件1、</w:t>
      </w:r>
    </w:p>
    <w:p>
      <w:pPr>
        <w:spacing w:line="360" w:lineRule="auto"/>
        <w:jc w:val="center"/>
        <w:rPr>
          <w:b/>
          <w:bCs/>
          <w:sz w:val="32"/>
          <w:szCs w:val="32"/>
        </w:rPr>
      </w:pPr>
      <w:r>
        <w:rPr>
          <w:rFonts w:hint="eastAsia"/>
          <w:b/>
          <w:bCs/>
          <w:sz w:val="32"/>
          <w:szCs w:val="32"/>
        </w:rPr>
        <w:t>主要人员简历表</w:t>
      </w:r>
    </w:p>
    <w:tbl>
      <w:tblPr>
        <w:tblStyle w:val="32"/>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2"/>
        <w:gridCol w:w="774"/>
        <w:gridCol w:w="2472"/>
        <w:gridCol w:w="397"/>
        <w:gridCol w:w="1406"/>
        <w:gridCol w:w="541"/>
        <w:gridCol w:w="166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1" w:hRule="exact"/>
        </w:trPr>
        <w:tc>
          <w:tcPr>
            <w:tcW w:w="2036" w:type="dxa"/>
            <w:gridSpan w:val="2"/>
            <w:vAlign w:val="center"/>
          </w:tcPr>
          <w:p>
            <w:pPr>
              <w:spacing w:line="360" w:lineRule="auto"/>
              <w:jc w:val="center"/>
              <w:rPr>
                <w:rFonts w:ascii="宋体" w:hAnsi="宋体" w:cs="宋体"/>
              </w:rPr>
            </w:pPr>
            <w:r>
              <w:rPr>
                <w:rFonts w:hint="eastAsia" w:ascii="宋体" w:hAnsi="宋体" w:cs="宋体"/>
              </w:rPr>
              <w:t>姓   名</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性  别</w:t>
            </w:r>
          </w:p>
        </w:tc>
        <w:tc>
          <w:tcPr>
            <w:tcW w:w="1666" w:type="dxa"/>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13" w:hRule="exact"/>
        </w:trPr>
        <w:tc>
          <w:tcPr>
            <w:tcW w:w="2036" w:type="dxa"/>
            <w:gridSpan w:val="2"/>
            <w:vAlign w:val="center"/>
          </w:tcPr>
          <w:p>
            <w:pPr>
              <w:spacing w:line="360" w:lineRule="auto"/>
              <w:jc w:val="center"/>
              <w:rPr>
                <w:rFonts w:ascii="宋体" w:hAnsi="宋体" w:cs="宋体"/>
              </w:rPr>
            </w:pPr>
            <w:r>
              <w:rPr>
                <w:rFonts w:hint="eastAsia" w:ascii="宋体" w:hAnsi="宋体" w:cs="宋体"/>
              </w:rPr>
              <w:t>职   务</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职  称</w:t>
            </w:r>
          </w:p>
        </w:tc>
        <w:tc>
          <w:tcPr>
            <w:tcW w:w="1666" w:type="dxa"/>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21" w:hRule="exact"/>
        </w:trPr>
        <w:tc>
          <w:tcPr>
            <w:tcW w:w="2036" w:type="dxa"/>
            <w:gridSpan w:val="2"/>
            <w:vAlign w:val="center"/>
          </w:tcPr>
          <w:p>
            <w:pPr>
              <w:spacing w:line="360" w:lineRule="auto"/>
              <w:jc w:val="center"/>
              <w:rPr>
                <w:rFonts w:ascii="宋体" w:hAnsi="宋体" w:cs="宋体"/>
              </w:rPr>
            </w:pPr>
            <w:r>
              <w:rPr>
                <w:rFonts w:hint="eastAsia" w:ascii="宋体" w:hAnsi="宋体" w:cs="宋体"/>
              </w:rPr>
              <w:t>毕业学校、专业</w:t>
            </w:r>
          </w:p>
        </w:tc>
        <w:tc>
          <w:tcPr>
            <w:tcW w:w="6482" w:type="dxa"/>
            <w:gridSpan w:val="5"/>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71" w:hRule="exact"/>
        </w:trPr>
        <w:tc>
          <w:tcPr>
            <w:tcW w:w="2036" w:type="dxa"/>
            <w:gridSpan w:val="2"/>
            <w:vAlign w:val="center"/>
          </w:tcPr>
          <w:p>
            <w:pPr>
              <w:spacing w:line="360" w:lineRule="auto"/>
              <w:jc w:val="center"/>
              <w:rPr>
                <w:rFonts w:ascii="宋体" w:hAnsi="宋体" w:cs="宋体"/>
              </w:rPr>
            </w:pPr>
            <w:r>
              <w:rPr>
                <w:rFonts w:hint="eastAsia" w:ascii="宋体" w:hAnsi="宋体" w:cs="宋体"/>
              </w:rPr>
              <w:t>身份证号</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拟在本合同任职</w:t>
            </w:r>
          </w:p>
        </w:tc>
        <w:tc>
          <w:tcPr>
            <w:tcW w:w="1666" w:type="dxa"/>
            <w:vAlign w:val="center"/>
          </w:tcPr>
          <w:p>
            <w:pPr>
              <w:spacing w:line="360" w:lineRule="auto"/>
              <w:ind w:right="-105" w:rightChars="-50"/>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71" w:hRule="exact"/>
        </w:trPr>
        <w:tc>
          <w:tcPr>
            <w:tcW w:w="2036" w:type="dxa"/>
            <w:gridSpan w:val="2"/>
            <w:vAlign w:val="center"/>
          </w:tcPr>
          <w:p>
            <w:pPr>
              <w:spacing w:line="360" w:lineRule="auto"/>
              <w:jc w:val="center"/>
              <w:rPr>
                <w:rFonts w:ascii="宋体" w:hAnsi="宋体" w:cs="宋体"/>
              </w:rPr>
            </w:pPr>
            <w:r>
              <w:rPr>
                <w:rFonts w:hint="eastAsia" w:ascii="宋体" w:hAnsi="宋体" w:cs="宋体"/>
              </w:rPr>
              <w:t>执业资格证</w:t>
            </w:r>
          </w:p>
        </w:tc>
        <w:tc>
          <w:tcPr>
            <w:tcW w:w="2472" w:type="dxa"/>
            <w:vAlign w:val="center"/>
          </w:tcPr>
          <w:p>
            <w:pPr>
              <w:spacing w:line="360" w:lineRule="auto"/>
              <w:jc w:val="center"/>
              <w:rPr>
                <w:rFonts w:ascii="宋体" w:hAnsi="宋体" w:cs="宋体"/>
              </w:rPr>
            </w:pPr>
          </w:p>
        </w:tc>
        <w:tc>
          <w:tcPr>
            <w:tcW w:w="2344" w:type="dxa"/>
            <w:gridSpan w:val="3"/>
            <w:vAlign w:val="center"/>
          </w:tcPr>
          <w:p>
            <w:pPr>
              <w:spacing w:line="360" w:lineRule="auto"/>
              <w:jc w:val="center"/>
              <w:rPr>
                <w:rFonts w:ascii="宋体" w:hAnsi="宋体" w:cs="宋体"/>
              </w:rPr>
            </w:pPr>
            <w:r>
              <w:rPr>
                <w:rFonts w:hint="eastAsia" w:ascii="宋体" w:hAnsi="宋体" w:cs="宋体"/>
              </w:rPr>
              <w:t>执业资格证书号</w:t>
            </w:r>
          </w:p>
        </w:tc>
        <w:tc>
          <w:tcPr>
            <w:tcW w:w="1666" w:type="dxa"/>
            <w:vAlign w:val="center"/>
          </w:tcPr>
          <w:p>
            <w:pPr>
              <w:spacing w:line="360" w:lineRule="auto"/>
              <w:ind w:right="-105" w:rightChars="-50"/>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exact"/>
        </w:trPr>
        <w:tc>
          <w:tcPr>
            <w:tcW w:w="8518" w:type="dxa"/>
            <w:gridSpan w:val="7"/>
            <w:vAlign w:val="center"/>
          </w:tcPr>
          <w:p>
            <w:pPr>
              <w:spacing w:line="360" w:lineRule="auto"/>
              <w:rPr>
                <w:rFonts w:ascii="宋体" w:hAnsi="宋体" w:cs="宋体"/>
              </w:rPr>
            </w:pPr>
            <w:r>
              <w:rPr>
                <w:rFonts w:hint="eastAsia" w:ascii="宋体" w:hAnsi="宋体" w:cs="宋体"/>
              </w:rPr>
              <w:t>近三年承担项目情况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r>
              <w:rPr>
                <w:rFonts w:hint="eastAsia" w:ascii="宋体" w:hAnsi="宋体" w:cs="宋体"/>
              </w:rPr>
              <w:t>时间</w:t>
            </w:r>
          </w:p>
        </w:tc>
        <w:tc>
          <w:tcPr>
            <w:tcW w:w="3643" w:type="dxa"/>
            <w:gridSpan w:val="3"/>
            <w:vAlign w:val="center"/>
          </w:tcPr>
          <w:p>
            <w:pPr>
              <w:spacing w:line="360" w:lineRule="auto"/>
              <w:jc w:val="center"/>
              <w:rPr>
                <w:rFonts w:ascii="宋体" w:hAnsi="宋体" w:cs="宋体"/>
              </w:rPr>
            </w:pPr>
            <w:r>
              <w:rPr>
                <w:rFonts w:hint="eastAsia" w:ascii="宋体" w:hAnsi="宋体" w:cs="宋体"/>
              </w:rPr>
              <w:t>类似项目名称</w:t>
            </w:r>
          </w:p>
        </w:tc>
        <w:tc>
          <w:tcPr>
            <w:tcW w:w="1406" w:type="dxa"/>
            <w:vAlign w:val="center"/>
          </w:tcPr>
          <w:p>
            <w:pPr>
              <w:spacing w:line="360" w:lineRule="auto"/>
              <w:jc w:val="center"/>
              <w:rPr>
                <w:rFonts w:ascii="宋体" w:hAnsi="宋体" w:cs="宋体"/>
              </w:rPr>
            </w:pPr>
            <w:r>
              <w:rPr>
                <w:rFonts w:hint="eastAsia" w:ascii="宋体" w:hAnsi="宋体" w:cs="宋体"/>
              </w:rPr>
              <w:t>担任职务</w:t>
            </w:r>
          </w:p>
        </w:tc>
        <w:tc>
          <w:tcPr>
            <w:tcW w:w="2207" w:type="dxa"/>
            <w:gridSpan w:val="2"/>
            <w:vAlign w:val="center"/>
          </w:tcPr>
          <w:p>
            <w:pPr>
              <w:spacing w:line="360" w:lineRule="auto"/>
              <w:jc w:val="center"/>
              <w:rPr>
                <w:rFonts w:ascii="宋体" w:hAnsi="宋体" w:cs="宋体"/>
              </w:rPr>
            </w:pPr>
            <w:r>
              <w:rPr>
                <w:rFonts w:hint="eastAsia" w:ascii="宋体" w:hAnsi="宋体" w:cs="宋体"/>
              </w:rPr>
              <w:t>项目单位名称及电话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exact"/>
        </w:trPr>
        <w:tc>
          <w:tcPr>
            <w:tcW w:w="1262" w:type="dxa"/>
            <w:vAlign w:val="center"/>
          </w:tcPr>
          <w:p>
            <w:pPr>
              <w:spacing w:line="360" w:lineRule="auto"/>
              <w:jc w:val="center"/>
              <w:rPr>
                <w:rFonts w:ascii="宋体" w:hAnsi="宋体" w:cs="宋体"/>
              </w:rPr>
            </w:pPr>
          </w:p>
        </w:tc>
        <w:tc>
          <w:tcPr>
            <w:tcW w:w="3643" w:type="dxa"/>
            <w:gridSpan w:val="3"/>
            <w:vAlign w:val="center"/>
          </w:tcPr>
          <w:p>
            <w:pPr>
              <w:spacing w:line="360" w:lineRule="auto"/>
              <w:jc w:val="center"/>
              <w:rPr>
                <w:rFonts w:ascii="宋体" w:hAnsi="宋体" w:cs="宋体"/>
              </w:rPr>
            </w:pPr>
          </w:p>
        </w:tc>
        <w:tc>
          <w:tcPr>
            <w:tcW w:w="1406" w:type="dxa"/>
            <w:vAlign w:val="center"/>
          </w:tcPr>
          <w:p>
            <w:pPr>
              <w:spacing w:line="360" w:lineRule="auto"/>
              <w:jc w:val="center"/>
              <w:rPr>
                <w:rFonts w:ascii="宋体" w:hAnsi="宋体" w:cs="宋体"/>
              </w:rPr>
            </w:pPr>
          </w:p>
        </w:tc>
        <w:tc>
          <w:tcPr>
            <w:tcW w:w="2207" w:type="dxa"/>
            <w:gridSpan w:val="2"/>
            <w:vAlign w:val="center"/>
          </w:tcPr>
          <w:p>
            <w:pPr>
              <w:spacing w:line="360" w:lineRule="auto"/>
              <w:jc w:val="center"/>
              <w:rPr>
                <w:rFonts w:ascii="宋体" w:hAnsi="宋体" w:cs="宋体"/>
              </w:rPr>
            </w:pPr>
          </w:p>
        </w:tc>
      </w:tr>
    </w:tbl>
    <w:p>
      <w:pPr>
        <w:spacing w:line="360" w:lineRule="auto"/>
        <w:rPr>
          <w:rFonts w:ascii="宋体" w:hAnsi="宋体" w:cs="宋体"/>
          <w:szCs w:val="21"/>
        </w:rPr>
      </w:pPr>
      <w:r>
        <w:rPr>
          <w:rFonts w:hint="eastAsia" w:ascii="宋体" w:hAnsi="宋体" w:cs="宋体"/>
          <w:szCs w:val="21"/>
        </w:rPr>
        <w:t>说明</w:t>
      </w:r>
      <w:r>
        <w:rPr>
          <w:rFonts w:hint="eastAsia" w:ascii="宋体" w:hAnsi="宋体" w:cs="宋体"/>
        </w:rPr>
        <w:t>：</w:t>
      </w:r>
      <w:r>
        <w:rPr>
          <w:rFonts w:hint="eastAsia" w:ascii="宋体" w:hAnsi="宋体" w:cs="宋体"/>
          <w:szCs w:val="21"/>
        </w:rPr>
        <w:t>主要人员证书、类似项目证明资料等按第二章《投标人须知》第3.1款或第五章《招标采购内容及要求》要求提供。</w:t>
      </w:r>
    </w:p>
    <w:p>
      <w:pPr>
        <w:adjustRightInd w:val="0"/>
        <w:snapToGrid w:val="0"/>
        <w:spacing w:line="360" w:lineRule="auto"/>
        <w:rPr>
          <w:rFonts w:ascii="宋体" w:hAnsi="宋体" w:cs="宋体"/>
          <w:szCs w:val="21"/>
        </w:rPr>
      </w:pPr>
    </w:p>
    <w:p>
      <w:pPr>
        <w:pStyle w:val="18"/>
        <w:adjustRightInd w:val="0"/>
        <w:snapToGrid w:val="0"/>
        <w:spacing w:line="360" w:lineRule="auto"/>
        <w:rPr>
          <w:rFonts w:ascii="宋体" w:hAnsi="宋体" w:cs="宋体"/>
          <w:sz w:val="21"/>
          <w:szCs w:val="21"/>
        </w:rPr>
      </w:pPr>
    </w:p>
    <w:p>
      <w:pPr>
        <w:pStyle w:val="18"/>
        <w:adjustRightInd w:val="0"/>
        <w:snapToGrid w:val="0"/>
        <w:spacing w:line="360" w:lineRule="auto"/>
        <w:outlineLvl w:val="0"/>
        <w:rPr>
          <w:rFonts w:ascii="宋体" w:hAnsi="宋体" w:cs="宋体"/>
          <w:bCs/>
          <w:sz w:val="21"/>
          <w:szCs w:val="21"/>
        </w:rPr>
      </w:pPr>
      <w:r>
        <w:rPr>
          <w:rFonts w:hint="eastAsia" w:ascii="宋体" w:hAnsi="宋体" w:cs="宋体"/>
          <w:sz w:val="21"/>
          <w:szCs w:val="21"/>
        </w:rPr>
        <w:t>投标人名称（单位章）：</w:t>
      </w:r>
      <w:r>
        <w:rPr>
          <w:rFonts w:hint="eastAsia" w:ascii="宋体" w:hAnsi="宋体" w:cs="宋体"/>
          <w:sz w:val="21"/>
          <w:szCs w:val="21"/>
          <w:u w:val="single"/>
        </w:rPr>
        <w:t xml:space="preserve">                </w:t>
      </w:r>
    </w:p>
    <w:p>
      <w:pPr>
        <w:adjustRightInd w:val="0"/>
        <w:snapToGrid w:val="0"/>
        <w:spacing w:line="360" w:lineRule="auto"/>
        <w:outlineLvl w:val="0"/>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pPr>
        <w:pStyle w:val="15"/>
        <w:tabs>
          <w:tab w:val="left" w:pos="1591"/>
          <w:tab w:val="left" w:pos="2220"/>
          <w:tab w:val="left" w:pos="2851"/>
        </w:tabs>
        <w:spacing w:before="70"/>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pacing w:line="360" w:lineRule="auto"/>
        <w:rPr>
          <w:rFonts w:ascii="宋体" w:hAnsi="宋体" w:cs="宋体"/>
          <w:szCs w:val="21"/>
        </w:rPr>
      </w:pPr>
      <w:r>
        <w:rPr>
          <w:rFonts w:hint="eastAsia" w:ascii="宋体" w:hAnsi="宋体" w:cs="宋体"/>
          <w:szCs w:val="21"/>
        </w:rPr>
        <w:br w:type="page"/>
      </w:r>
      <w:r>
        <w:rPr>
          <w:rFonts w:hint="eastAsia"/>
          <w:b/>
          <w:bCs/>
          <w:sz w:val="32"/>
          <w:szCs w:val="32"/>
        </w:rPr>
        <w:t>附件2、</w:t>
      </w:r>
    </w:p>
    <w:p>
      <w:pPr>
        <w:pStyle w:val="5"/>
        <w:ind w:right="2403"/>
        <w:jc w:val="center"/>
        <w:rPr>
          <w:sz w:val="20"/>
        </w:rPr>
      </w:pPr>
      <w:r>
        <w:t>从业人员一览表</w:t>
      </w:r>
    </w:p>
    <w:p>
      <w:pPr>
        <w:pStyle w:val="15"/>
        <w:spacing w:before="5" w:after="1"/>
        <w:rPr>
          <w:b/>
          <w:sz w:val="16"/>
        </w:rPr>
      </w:pPr>
    </w:p>
    <w:tbl>
      <w:tblPr>
        <w:tblStyle w:val="32"/>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1420"/>
        <w:gridCol w:w="1420"/>
        <w:gridCol w:w="1420"/>
        <w:gridCol w:w="551"/>
        <w:gridCol w:w="1257"/>
        <w:gridCol w:w="1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420" w:type="dxa"/>
          </w:tcPr>
          <w:p>
            <w:pPr>
              <w:pStyle w:val="150"/>
              <w:spacing w:before="90"/>
              <w:ind w:left="449" w:right="440"/>
              <w:jc w:val="center"/>
              <w:rPr>
                <w:sz w:val="24"/>
              </w:rPr>
            </w:pPr>
            <w:r>
              <w:rPr>
                <w:sz w:val="24"/>
              </w:rPr>
              <w:t>姓名</w:t>
            </w:r>
          </w:p>
        </w:tc>
        <w:tc>
          <w:tcPr>
            <w:tcW w:w="1420" w:type="dxa"/>
          </w:tcPr>
          <w:p>
            <w:pPr>
              <w:pStyle w:val="150"/>
              <w:spacing w:before="90"/>
              <w:ind w:left="470"/>
              <w:rPr>
                <w:sz w:val="24"/>
              </w:rPr>
            </w:pPr>
            <w:r>
              <w:rPr>
                <w:sz w:val="24"/>
              </w:rPr>
              <w:t>职务</w:t>
            </w:r>
          </w:p>
        </w:tc>
        <w:tc>
          <w:tcPr>
            <w:tcW w:w="1420" w:type="dxa"/>
          </w:tcPr>
          <w:p>
            <w:pPr>
              <w:pStyle w:val="150"/>
              <w:spacing w:before="90"/>
              <w:ind w:left="183"/>
              <w:rPr>
                <w:sz w:val="24"/>
              </w:rPr>
            </w:pPr>
            <w:r>
              <w:rPr>
                <w:sz w:val="24"/>
              </w:rPr>
              <w:t>学历</w:t>
            </w:r>
            <w:r>
              <w:rPr>
                <w:rFonts w:ascii="Calibri" w:eastAsia="Calibri"/>
                <w:sz w:val="24"/>
              </w:rPr>
              <w:t>/</w:t>
            </w:r>
            <w:r>
              <w:rPr>
                <w:sz w:val="24"/>
              </w:rPr>
              <w:t>专业</w:t>
            </w:r>
          </w:p>
        </w:tc>
        <w:tc>
          <w:tcPr>
            <w:tcW w:w="1420" w:type="dxa"/>
          </w:tcPr>
          <w:p>
            <w:pPr>
              <w:pStyle w:val="150"/>
              <w:spacing w:before="90"/>
              <w:ind w:left="229"/>
              <w:rPr>
                <w:sz w:val="24"/>
              </w:rPr>
            </w:pPr>
            <w:r>
              <w:rPr>
                <w:sz w:val="24"/>
              </w:rPr>
              <w:t>从业时间</w:t>
            </w:r>
          </w:p>
        </w:tc>
        <w:tc>
          <w:tcPr>
            <w:tcW w:w="1808" w:type="dxa"/>
            <w:gridSpan w:val="2"/>
          </w:tcPr>
          <w:p>
            <w:pPr>
              <w:pStyle w:val="150"/>
              <w:spacing w:before="90"/>
              <w:ind w:left="184"/>
              <w:rPr>
                <w:sz w:val="24"/>
              </w:rPr>
            </w:pPr>
            <w:r>
              <w:rPr>
                <w:sz w:val="24"/>
              </w:rPr>
              <w:t>技术等级证书</w:t>
            </w:r>
          </w:p>
        </w:tc>
        <w:tc>
          <w:tcPr>
            <w:tcW w:w="1241" w:type="dxa"/>
          </w:tcPr>
          <w:p>
            <w:pPr>
              <w:pStyle w:val="150"/>
              <w:spacing w:before="90"/>
              <w:ind w:left="380"/>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808" w:type="dxa"/>
            <w:gridSpan w:val="2"/>
          </w:tcPr>
          <w:p>
            <w:pPr>
              <w:pStyle w:val="150"/>
              <w:rPr>
                <w:rFonts w:ascii="Times New Roman"/>
                <w:sz w:val="22"/>
              </w:rPr>
            </w:pPr>
          </w:p>
        </w:tc>
        <w:tc>
          <w:tcPr>
            <w:tcW w:w="1241" w:type="dxa"/>
          </w:tcPr>
          <w:p>
            <w:pPr>
              <w:pStyle w:val="15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808" w:type="dxa"/>
            <w:gridSpan w:val="2"/>
          </w:tcPr>
          <w:p>
            <w:pPr>
              <w:pStyle w:val="150"/>
              <w:rPr>
                <w:rFonts w:ascii="Times New Roman"/>
                <w:sz w:val="22"/>
              </w:rPr>
            </w:pPr>
          </w:p>
        </w:tc>
        <w:tc>
          <w:tcPr>
            <w:tcW w:w="1241" w:type="dxa"/>
          </w:tcPr>
          <w:p>
            <w:pPr>
              <w:pStyle w:val="15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420" w:type="dxa"/>
          </w:tcPr>
          <w:p>
            <w:pPr>
              <w:pStyle w:val="150"/>
              <w:spacing w:before="90"/>
              <w:ind w:left="449" w:right="440"/>
              <w:jc w:val="center"/>
              <w:rPr>
                <w:sz w:val="24"/>
              </w:rPr>
            </w:pPr>
            <w:r>
              <w:rPr>
                <w:sz w:val="24"/>
              </w:rPr>
              <w:t>……</w:t>
            </w:r>
          </w:p>
        </w:tc>
        <w:tc>
          <w:tcPr>
            <w:tcW w:w="1420" w:type="dxa"/>
          </w:tcPr>
          <w:p>
            <w:pPr>
              <w:pStyle w:val="150"/>
              <w:rPr>
                <w:rFonts w:ascii="Times New Roman"/>
                <w:sz w:val="22"/>
              </w:rPr>
            </w:pPr>
          </w:p>
        </w:tc>
        <w:tc>
          <w:tcPr>
            <w:tcW w:w="1420" w:type="dxa"/>
          </w:tcPr>
          <w:p>
            <w:pPr>
              <w:pStyle w:val="150"/>
              <w:rPr>
                <w:rFonts w:ascii="Times New Roman"/>
                <w:sz w:val="22"/>
              </w:rPr>
            </w:pPr>
          </w:p>
        </w:tc>
        <w:tc>
          <w:tcPr>
            <w:tcW w:w="1420" w:type="dxa"/>
          </w:tcPr>
          <w:p>
            <w:pPr>
              <w:pStyle w:val="150"/>
              <w:rPr>
                <w:rFonts w:ascii="Times New Roman"/>
                <w:sz w:val="22"/>
              </w:rPr>
            </w:pPr>
          </w:p>
        </w:tc>
        <w:tc>
          <w:tcPr>
            <w:tcW w:w="1808" w:type="dxa"/>
            <w:gridSpan w:val="2"/>
          </w:tcPr>
          <w:p>
            <w:pPr>
              <w:pStyle w:val="150"/>
              <w:rPr>
                <w:rFonts w:ascii="Times New Roman"/>
                <w:sz w:val="22"/>
              </w:rPr>
            </w:pPr>
          </w:p>
        </w:tc>
        <w:tc>
          <w:tcPr>
            <w:tcW w:w="1241" w:type="dxa"/>
          </w:tcPr>
          <w:p>
            <w:pPr>
              <w:pStyle w:val="15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420" w:type="dxa"/>
          </w:tcPr>
          <w:p>
            <w:pPr>
              <w:pStyle w:val="150"/>
              <w:spacing w:before="8"/>
              <w:ind w:left="229"/>
              <w:rPr>
                <w:sz w:val="24"/>
              </w:rPr>
            </w:pPr>
            <w:r>
              <w:rPr>
                <w:sz w:val="24"/>
              </w:rPr>
              <w:t>从业人员</w:t>
            </w:r>
          </w:p>
          <w:p>
            <w:pPr>
              <w:pStyle w:val="150"/>
              <w:tabs>
                <w:tab w:val="left" w:pos="829"/>
              </w:tabs>
              <w:spacing w:before="14" w:line="296" w:lineRule="exact"/>
              <w:ind w:left="349"/>
              <w:rPr>
                <w:sz w:val="24"/>
              </w:rPr>
            </w:pPr>
            <w:r>
              <w:rPr>
                <w:sz w:val="24"/>
              </w:rPr>
              <w:t>合</w:t>
            </w:r>
            <w:r>
              <w:rPr>
                <w:sz w:val="24"/>
              </w:rPr>
              <w:tab/>
            </w:r>
            <w:r>
              <w:rPr>
                <w:sz w:val="24"/>
              </w:rPr>
              <w:t>计</w:t>
            </w:r>
          </w:p>
        </w:tc>
        <w:tc>
          <w:tcPr>
            <w:tcW w:w="2840" w:type="dxa"/>
            <w:gridSpan w:val="2"/>
          </w:tcPr>
          <w:p>
            <w:pPr>
              <w:pStyle w:val="150"/>
              <w:rPr>
                <w:rFonts w:ascii="Times New Roman"/>
                <w:sz w:val="22"/>
              </w:rPr>
            </w:pPr>
          </w:p>
        </w:tc>
        <w:tc>
          <w:tcPr>
            <w:tcW w:w="1971" w:type="dxa"/>
            <w:gridSpan w:val="2"/>
          </w:tcPr>
          <w:p>
            <w:pPr>
              <w:pStyle w:val="150"/>
              <w:spacing w:before="169"/>
              <w:ind w:left="145"/>
              <w:rPr>
                <w:sz w:val="24"/>
              </w:rPr>
            </w:pPr>
            <w:r>
              <w:rPr>
                <w:sz w:val="24"/>
              </w:rPr>
              <w:t>专技术人员合计</w:t>
            </w:r>
          </w:p>
        </w:tc>
        <w:tc>
          <w:tcPr>
            <w:tcW w:w="2498" w:type="dxa"/>
            <w:gridSpan w:val="2"/>
          </w:tcPr>
          <w:p>
            <w:pPr>
              <w:pStyle w:val="150"/>
              <w:rPr>
                <w:rFonts w:ascii="Times New Roman"/>
                <w:sz w:val="22"/>
              </w:rPr>
            </w:pPr>
          </w:p>
        </w:tc>
      </w:tr>
    </w:tbl>
    <w:p>
      <w:pPr>
        <w:pStyle w:val="15"/>
        <w:rPr>
          <w:b/>
          <w:sz w:val="20"/>
        </w:rPr>
      </w:pPr>
    </w:p>
    <w:p>
      <w:pPr>
        <w:pStyle w:val="6"/>
        <w:spacing w:before="212" w:line="374" w:lineRule="auto"/>
        <w:ind w:left="226" w:right="306" w:firstLine="480"/>
        <w:rPr>
          <w:rFonts w:ascii="宋体" w:hAnsi="宋体" w:cs="宋体"/>
          <w:b w:val="0"/>
          <w:bCs w:val="0"/>
          <w:sz w:val="21"/>
          <w:szCs w:val="21"/>
        </w:rPr>
      </w:pPr>
      <w:r>
        <w:rPr>
          <w:rFonts w:hint="eastAsia" w:ascii="宋体" w:hAnsi="宋体" w:cs="宋体"/>
          <w:b w:val="0"/>
          <w:bCs w:val="0"/>
          <w:sz w:val="21"/>
          <w:szCs w:val="21"/>
        </w:rPr>
        <w:t>注：须将专业技术人员的证书（职称证明或技术等级资格证）复印件、身份证复印件等依次附于本表之后，并在备注栏中注明技术人员等级，从业时间是指从事本行业服务时间。</w:t>
      </w:r>
    </w:p>
    <w:p>
      <w:pPr>
        <w:pStyle w:val="15"/>
        <w:spacing w:before="2"/>
        <w:rPr>
          <w:sz w:val="30"/>
        </w:rPr>
      </w:pPr>
    </w:p>
    <w:p>
      <w:pPr>
        <w:pStyle w:val="15"/>
        <w:ind w:left="226"/>
      </w:pPr>
      <w:r>
        <w:t>投标人名称（单位章）：</w:t>
      </w:r>
      <w:r>
        <w:rPr>
          <w:rFonts w:ascii="Times New Roman" w:eastAsia="Times New Roman"/>
          <w:w w:val="95"/>
          <w:u w:val="single"/>
        </w:rPr>
        <w:t xml:space="preserve"> </w:t>
      </w:r>
      <w:r>
        <w:rPr>
          <w:rFonts w:ascii="Times New Roman" w:eastAsia="Times New Roman"/>
          <w:u w:val="single"/>
        </w:rPr>
        <w:tab/>
      </w:r>
      <w:r>
        <w:rPr>
          <w:rFonts w:hint="eastAsia" w:ascii="Times New Roman"/>
          <w:u w:val="single"/>
        </w:rPr>
        <w:t xml:space="preserve">                </w:t>
      </w:r>
    </w:p>
    <w:p>
      <w:pPr>
        <w:pStyle w:val="15"/>
        <w:spacing w:before="10"/>
        <w:rPr>
          <w:sz w:val="14"/>
        </w:rPr>
      </w:pPr>
    </w:p>
    <w:p>
      <w:pPr>
        <w:pStyle w:val="15"/>
        <w:tabs>
          <w:tab w:val="left" w:pos="5211"/>
        </w:tabs>
        <w:ind w:left="226"/>
        <w:rPr>
          <w:rFonts w:ascii="Times New Roman" w:eastAsia="Times New Roman"/>
        </w:rPr>
      </w:pPr>
      <w:r>
        <w:rPr>
          <w:rFonts w:hint="eastAsia" w:ascii="宋体" w:hAnsi="宋体" w:cs="宋体"/>
          <w:szCs w:val="21"/>
        </w:rPr>
        <w:t>法定代表人或其授权的代理人(签字)：</w:t>
      </w:r>
      <w:r>
        <w:rPr>
          <w:rFonts w:ascii="Times New Roman" w:eastAsia="Times New Roman"/>
          <w:w w:val="95"/>
          <w:u w:val="single"/>
        </w:rPr>
        <w:t xml:space="preserve"> </w:t>
      </w:r>
      <w:r>
        <w:rPr>
          <w:rFonts w:ascii="Times New Roman" w:eastAsia="Times New Roman"/>
          <w:u w:val="single"/>
        </w:rPr>
        <w:tab/>
      </w:r>
    </w:p>
    <w:p>
      <w:pPr>
        <w:pStyle w:val="15"/>
        <w:spacing w:before="4"/>
        <w:rPr>
          <w:rFonts w:ascii="Times New Roman"/>
          <w:sz w:val="10"/>
        </w:rPr>
      </w:pPr>
    </w:p>
    <w:p>
      <w:pPr>
        <w:pStyle w:val="15"/>
        <w:tabs>
          <w:tab w:val="left" w:pos="1591"/>
          <w:tab w:val="left" w:pos="2220"/>
          <w:tab w:val="left" w:pos="2851"/>
        </w:tabs>
        <w:spacing w:before="70"/>
        <w:ind w:left="226"/>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ectPr>
          <w:pgSz w:w="11910" w:h="16840"/>
          <w:pgMar w:top="1380" w:right="1280" w:bottom="1160" w:left="1360" w:header="878" w:footer="975" w:gutter="0"/>
          <w:cols w:space="720" w:num="1"/>
        </w:sectPr>
      </w:pPr>
    </w:p>
    <w:p>
      <w:pPr>
        <w:spacing w:line="360" w:lineRule="auto"/>
        <w:rPr>
          <w:b/>
          <w:bCs/>
          <w:sz w:val="32"/>
          <w:szCs w:val="32"/>
        </w:rPr>
      </w:pPr>
      <w:r>
        <w:rPr>
          <w:rFonts w:hint="eastAsia"/>
          <w:b/>
          <w:bCs/>
          <w:sz w:val="32"/>
          <w:szCs w:val="32"/>
        </w:rPr>
        <w:t>附件3、</w:t>
      </w:r>
    </w:p>
    <w:p>
      <w:pPr>
        <w:pStyle w:val="15"/>
        <w:rPr>
          <w:sz w:val="11"/>
        </w:rPr>
      </w:pPr>
    </w:p>
    <w:p>
      <w:pPr>
        <w:pStyle w:val="5"/>
        <w:ind w:right="2403"/>
        <w:jc w:val="center"/>
      </w:pPr>
      <w:bookmarkStart w:id="29" w:name="业绩资料"/>
      <w:bookmarkEnd w:id="29"/>
      <w:bookmarkStart w:id="30" w:name="服务承诺"/>
      <w:bookmarkEnd w:id="30"/>
      <w:r>
        <w:t>服务承诺</w:t>
      </w:r>
    </w:p>
    <w:p>
      <w:pPr>
        <w:pStyle w:val="15"/>
        <w:spacing w:before="1"/>
        <w:rPr>
          <w:b/>
          <w:sz w:val="37"/>
        </w:rPr>
      </w:pPr>
    </w:p>
    <w:p>
      <w:pPr>
        <w:pStyle w:val="6"/>
        <w:keepNext w:val="0"/>
        <w:keepLines w:val="0"/>
        <w:autoSpaceDE w:val="0"/>
        <w:autoSpaceDN w:val="0"/>
        <w:spacing w:before="1" w:after="0" w:line="251" w:lineRule="auto"/>
        <w:ind w:left="226" w:right="306" w:firstLine="420"/>
        <w:jc w:val="left"/>
        <w:rPr>
          <w:rFonts w:ascii="新宋体" w:hAnsi="宋体" w:eastAsia="新宋体" w:cs="宋体"/>
          <w:b w:val="0"/>
          <w:bCs w:val="0"/>
          <w:kern w:val="0"/>
          <w:sz w:val="21"/>
          <w:szCs w:val="21"/>
          <w:lang w:val="zh-CN" w:bidi="zh-CN"/>
        </w:rPr>
      </w:pPr>
      <w:r>
        <w:rPr>
          <w:rFonts w:hint="eastAsia" w:ascii="新宋体" w:hAnsi="宋体" w:eastAsia="新宋体" w:cs="宋体"/>
          <w:b w:val="0"/>
          <w:bCs w:val="0"/>
          <w:kern w:val="0"/>
          <w:sz w:val="21"/>
          <w:szCs w:val="21"/>
          <w:lang w:val="zh-CN" w:bidi="zh-CN"/>
        </w:rPr>
        <w:t>(由投标人自行详细作出，有国家及行业标准的不得低于国家或行业标准，承诺要条理化、完善、合理、可行。)</w:t>
      </w:r>
    </w:p>
    <w:p>
      <w:pPr>
        <w:pStyle w:val="15"/>
        <w:rPr>
          <w:rFonts w:ascii="新宋体"/>
          <w:sz w:val="24"/>
        </w:rPr>
      </w:pPr>
    </w:p>
    <w:p>
      <w:pPr>
        <w:pStyle w:val="15"/>
        <w:rPr>
          <w:rFonts w:ascii="新宋体"/>
          <w:sz w:val="24"/>
        </w:rPr>
      </w:pPr>
    </w:p>
    <w:p>
      <w:pPr>
        <w:pStyle w:val="15"/>
        <w:rPr>
          <w:rFonts w:ascii="新宋体"/>
          <w:sz w:val="24"/>
        </w:rPr>
      </w:pPr>
    </w:p>
    <w:p>
      <w:pPr>
        <w:pStyle w:val="15"/>
        <w:spacing w:before="2"/>
        <w:rPr>
          <w:rFonts w:ascii="新宋体"/>
          <w:sz w:val="32"/>
        </w:rPr>
      </w:pPr>
    </w:p>
    <w:p>
      <w:pPr>
        <w:pStyle w:val="15"/>
        <w:spacing w:before="1"/>
        <w:ind w:left="226"/>
        <w:rPr>
          <w:rFonts w:ascii="宋体" w:hAnsi="宋体" w:cs="宋体"/>
          <w:szCs w:val="21"/>
        </w:rPr>
      </w:pPr>
      <w:r>
        <w:t>投标人名称（单位章）：</w:t>
      </w:r>
    </w:p>
    <w:p>
      <w:pPr>
        <w:pStyle w:val="15"/>
        <w:tabs>
          <w:tab w:val="left" w:pos="5211"/>
        </w:tabs>
        <w:ind w:left="226"/>
        <w:rPr>
          <w:rFonts w:ascii="Times New Roman"/>
          <w:sz w:val="10"/>
        </w:rPr>
      </w:pPr>
      <w:r>
        <w:rPr>
          <w:rFonts w:hint="eastAsia" w:ascii="宋体" w:hAnsi="宋体" w:cs="宋体"/>
          <w:szCs w:val="21"/>
        </w:rPr>
        <w:t xml:space="preserve">法定代表人或其授权的代理人(签字)： </w:t>
      </w:r>
      <w:r>
        <w:rPr>
          <w:rFonts w:ascii="Times New Roman" w:eastAsia="Times New Roman"/>
          <w:u w:val="single"/>
        </w:rPr>
        <w:tab/>
      </w:r>
    </w:p>
    <w:p>
      <w:pPr>
        <w:pStyle w:val="15"/>
        <w:tabs>
          <w:tab w:val="left" w:pos="1591"/>
          <w:tab w:val="left" w:pos="2220"/>
          <w:tab w:val="left" w:pos="2851"/>
        </w:tabs>
        <w:spacing w:before="70"/>
        <w:ind w:left="226"/>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ectPr>
          <w:pgSz w:w="11910" w:h="16840"/>
          <w:pgMar w:top="1380" w:right="1280" w:bottom="1160" w:left="1360" w:header="878" w:footer="975" w:gutter="0"/>
          <w:cols w:space="720" w:num="1"/>
        </w:sectPr>
      </w:pPr>
    </w:p>
    <w:p>
      <w:pPr>
        <w:spacing w:line="360" w:lineRule="auto"/>
        <w:rPr>
          <w:b/>
          <w:bCs/>
          <w:sz w:val="32"/>
          <w:szCs w:val="32"/>
        </w:rPr>
      </w:pPr>
      <w:r>
        <w:rPr>
          <w:rFonts w:hint="eastAsia"/>
          <w:b/>
          <w:bCs/>
          <w:sz w:val="32"/>
          <w:szCs w:val="32"/>
        </w:rPr>
        <w:t>附件4、</w:t>
      </w:r>
    </w:p>
    <w:p>
      <w:pPr>
        <w:pStyle w:val="15"/>
        <w:rPr>
          <w:sz w:val="11"/>
        </w:rPr>
      </w:pPr>
    </w:p>
    <w:p>
      <w:pPr>
        <w:pStyle w:val="5"/>
        <w:ind w:right="2403"/>
        <w:jc w:val="center"/>
        <w:rPr>
          <w:sz w:val="28"/>
        </w:rPr>
      </w:pPr>
      <w:bookmarkStart w:id="31" w:name="其它相关资料"/>
      <w:bookmarkEnd w:id="31"/>
      <w:r>
        <w:rPr>
          <w:rFonts w:hint="eastAsia"/>
        </w:rPr>
        <w:t xml:space="preserve">              </w:t>
      </w:r>
      <w:r>
        <w:t>业绩资料</w:t>
      </w:r>
    </w:p>
    <w:tbl>
      <w:tblPr>
        <w:tblStyle w:val="32"/>
        <w:tblW w:w="0" w:type="auto"/>
        <w:tblInd w:w="3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9"/>
        <w:gridCol w:w="1986"/>
        <w:gridCol w:w="1444"/>
        <w:gridCol w:w="1218"/>
        <w:gridCol w:w="1454"/>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209" w:type="dxa"/>
          </w:tcPr>
          <w:p>
            <w:pPr>
              <w:pStyle w:val="150"/>
              <w:rPr>
                <w:b/>
                <w:sz w:val="30"/>
              </w:rPr>
            </w:pPr>
          </w:p>
          <w:p>
            <w:pPr>
              <w:pStyle w:val="150"/>
              <w:ind w:left="343" w:right="335"/>
              <w:jc w:val="center"/>
              <w:rPr>
                <w:rFonts w:ascii="新宋体" w:eastAsia="新宋体"/>
                <w:sz w:val="24"/>
              </w:rPr>
            </w:pPr>
            <w:r>
              <w:rPr>
                <w:rFonts w:hint="eastAsia" w:ascii="新宋体" w:eastAsia="新宋体"/>
                <w:sz w:val="24"/>
              </w:rPr>
              <w:t>序号</w:t>
            </w:r>
          </w:p>
        </w:tc>
        <w:tc>
          <w:tcPr>
            <w:tcW w:w="1986" w:type="dxa"/>
          </w:tcPr>
          <w:p>
            <w:pPr>
              <w:pStyle w:val="150"/>
              <w:rPr>
                <w:b/>
                <w:sz w:val="30"/>
              </w:rPr>
            </w:pPr>
          </w:p>
          <w:p>
            <w:pPr>
              <w:pStyle w:val="150"/>
              <w:ind w:left="273"/>
              <w:rPr>
                <w:rFonts w:ascii="新宋体" w:eastAsia="新宋体"/>
                <w:sz w:val="24"/>
              </w:rPr>
            </w:pPr>
            <w:r>
              <w:rPr>
                <w:rFonts w:hint="eastAsia" w:ascii="新宋体" w:eastAsia="新宋体"/>
                <w:sz w:val="24"/>
              </w:rPr>
              <w:t>客户单位名称</w:t>
            </w:r>
          </w:p>
        </w:tc>
        <w:tc>
          <w:tcPr>
            <w:tcW w:w="1444" w:type="dxa"/>
          </w:tcPr>
          <w:p>
            <w:pPr>
              <w:pStyle w:val="150"/>
              <w:spacing w:line="480" w:lineRule="exact"/>
              <w:ind w:left="240" w:right="111" w:hanging="120"/>
              <w:rPr>
                <w:rFonts w:ascii="新宋体" w:eastAsia="新宋体"/>
                <w:sz w:val="24"/>
              </w:rPr>
            </w:pPr>
            <w:r>
              <w:rPr>
                <w:rFonts w:hint="eastAsia" w:ascii="新宋体" w:eastAsia="新宋体"/>
                <w:sz w:val="24"/>
              </w:rPr>
              <w:t>合同或协议签订日期</w:t>
            </w:r>
          </w:p>
        </w:tc>
        <w:tc>
          <w:tcPr>
            <w:tcW w:w="1218" w:type="dxa"/>
          </w:tcPr>
          <w:p>
            <w:pPr>
              <w:pStyle w:val="150"/>
              <w:rPr>
                <w:b/>
                <w:sz w:val="30"/>
              </w:rPr>
            </w:pPr>
          </w:p>
          <w:p>
            <w:pPr>
              <w:pStyle w:val="150"/>
              <w:ind w:left="128"/>
              <w:rPr>
                <w:rFonts w:ascii="新宋体" w:eastAsia="新宋体"/>
                <w:sz w:val="24"/>
              </w:rPr>
            </w:pPr>
            <w:r>
              <w:rPr>
                <w:rFonts w:hint="eastAsia" w:ascii="新宋体" w:eastAsia="新宋体"/>
                <w:sz w:val="24"/>
              </w:rPr>
              <w:t>主要内容</w:t>
            </w:r>
          </w:p>
        </w:tc>
        <w:tc>
          <w:tcPr>
            <w:tcW w:w="1454" w:type="dxa"/>
          </w:tcPr>
          <w:p>
            <w:pPr>
              <w:pStyle w:val="150"/>
              <w:spacing w:line="480" w:lineRule="exact"/>
              <w:ind w:left="127" w:right="114"/>
              <w:rPr>
                <w:rFonts w:ascii="新宋体" w:eastAsia="新宋体"/>
                <w:sz w:val="24"/>
              </w:rPr>
            </w:pPr>
            <w:r>
              <w:rPr>
                <w:rFonts w:hint="eastAsia" w:ascii="新宋体" w:eastAsia="新宋体"/>
                <w:sz w:val="24"/>
              </w:rPr>
              <w:t>采购单位联系人及电话</w:t>
            </w:r>
          </w:p>
        </w:tc>
        <w:tc>
          <w:tcPr>
            <w:tcW w:w="1218" w:type="dxa"/>
          </w:tcPr>
          <w:p>
            <w:pPr>
              <w:pStyle w:val="150"/>
              <w:rPr>
                <w:b/>
                <w:sz w:val="30"/>
              </w:rPr>
            </w:pPr>
          </w:p>
          <w:p>
            <w:pPr>
              <w:pStyle w:val="150"/>
              <w:ind w:left="367"/>
              <w:rPr>
                <w:rFonts w:ascii="新宋体" w:eastAsia="新宋体"/>
                <w:sz w:val="24"/>
              </w:rPr>
            </w:pPr>
            <w:r>
              <w:rPr>
                <w:rFonts w:hint="eastAsia" w:ascii="新宋体" w:eastAsia="新宋体"/>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4"/>
              <w:ind w:left="8"/>
              <w:jc w:val="center"/>
              <w:rPr>
                <w:rFonts w:ascii="新宋体"/>
                <w:sz w:val="24"/>
              </w:rPr>
            </w:pPr>
            <w:r>
              <w:rPr>
                <w:rFonts w:ascii="新宋体"/>
                <w:sz w:val="24"/>
              </w:rPr>
              <w:t>1</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6"/>
              <w:ind w:left="8"/>
              <w:jc w:val="center"/>
              <w:rPr>
                <w:rFonts w:ascii="新宋体"/>
                <w:sz w:val="24"/>
              </w:rPr>
            </w:pPr>
            <w:r>
              <w:rPr>
                <w:rFonts w:ascii="新宋体"/>
                <w:sz w:val="24"/>
              </w:rPr>
              <w:t>2</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5"/>
              <w:ind w:left="8"/>
              <w:jc w:val="center"/>
              <w:rPr>
                <w:rFonts w:ascii="新宋体"/>
                <w:sz w:val="24"/>
              </w:rPr>
            </w:pPr>
            <w:r>
              <w:rPr>
                <w:rFonts w:ascii="新宋体"/>
                <w:sz w:val="24"/>
              </w:rPr>
              <w:t>3</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09" w:type="dxa"/>
          </w:tcPr>
          <w:p>
            <w:pPr>
              <w:pStyle w:val="150"/>
              <w:spacing w:before="145"/>
              <w:ind w:left="343" w:right="335"/>
              <w:jc w:val="center"/>
              <w:rPr>
                <w:rFonts w:ascii="新宋体" w:hAnsi="新宋体"/>
                <w:sz w:val="24"/>
              </w:rPr>
            </w:pPr>
            <w:r>
              <w:rPr>
                <w:rFonts w:ascii="新宋体" w:hAnsi="新宋体"/>
                <w:sz w:val="24"/>
              </w:rPr>
              <w:t>……</w:t>
            </w:r>
          </w:p>
        </w:tc>
        <w:tc>
          <w:tcPr>
            <w:tcW w:w="1986" w:type="dxa"/>
          </w:tcPr>
          <w:p>
            <w:pPr>
              <w:pStyle w:val="150"/>
              <w:rPr>
                <w:rFonts w:ascii="Times New Roman"/>
                <w:sz w:val="20"/>
              </w:rPr>
            </w:pPr>
          </w:p>
        </w:tc>
        <w:tc>
          <w:tcPr>
            <w:tcW w:w="1444" w:type="dxa"/>
          </w:tcPr>
          <w:p>
            <w:pPr>
              <w:pStyle w:val="150"/>
              <w:rPr>
                <w:rFonts w:ascii="Times New Roman"/>
                <w:sz w:val="20"/>
              </w:rPr>
            </w:pPr>
          </w:p>
        </w:tc>
        <w:tc>
          <w:tcPr>
            <w:tcW w:w="1218" w:type="dxa"/>
          </w:tcPr>
          <w:p>
            <w:pPr>
              <w:pStyle w:val="150"/>
              <w:rPr>
                <w:rFonts w:ascii="Times New Roman"/>
                <w:sz w:val="20"/>
              </w:rPr>
            </w:pPr>
          </w:p>
        </w:tc>
        <w:tc>
          <w:tcPr>
            <w:tcW w:w="1454" w:type="dxa"/>
          </w:tcPr>
          <w:p>
            <w:pPr>
              <w:pStyle w:val="150"/>
              <w:rPr>
                <w:rFonts w:ascii="Times New Roman"/>
                <w:sz w:val="20"/>
              </w:rPr>
            </w:pPr>
          </w:p>
        </w:tc>
        <w:tc>
          <w:tcPr>
            <w:tcW w:w="1218" w:type="dxa"/>
          </w:tcPr>
          <w:p>
            <w:pPr>
              <w:pStyle w:val="150"/>
              <w:rPr>
                <w:rFonts w:ascii="Times New Roman"/>
                <w:sz w:val="20"/>
              </w:rPr>
            </w:pPr>
          </w:p>
        </w:tc>
      </w:tr>
    </w:tbl>
    <w:p>
      <w:pPr>
        <w:pStyle w:val="15"/>
        <w:spacing w:before="1"/>
        <w:rPr>
          <w:rFonts w:ascii="新宋体" w:hAnsi="宋体" w:eastAsia="新宋体" w:cs="宋体"/>
          <w:kern w:val="0"/>
          <w:sz w:val="24"/>
          <w:szCs w:val="24"/>
          <w:lang w:val="zh-CN" w:bidi="zh-CN"/>
        </w:rPr>
      </w:pPr>
    </w:p>
    <w:p>
      <w:pPr>
        <w:pStyle w:val="6"/>
        <w:spacing w:before="67"/>
        <w:ind w:left="737" w:leftChars="111" w:hanging="504" w:hangingChars="210"/>
        <w:rPr>
          <w:rFonts w:ascii="新宋体" w:hAnsi="宋体" w:eastAsia="新宋体" w:cs="宋体"/>
          <w:b w:val="0"/>
          <w:bCs w:val="0"/>
          <w:kern w:val="0"/>
          <w:sz w:val="24"/>
          <w:szCs w:val="24"/>
          <w:lang w:val="zh-CN" w:bidi="zh-CN"/>
        </w:rPr>
      </w:pPr>
      <w:r>
        <w:rPr>
          <w:rFonts w:hint="eastAsia" w:ascii="新宋体" w:hAnsi="宋体" w:eastAsia="新宋体" w:cs="宋体"/>
          <w:b w:val="0"/>
          <w:bCs w:val="0"/>
          <w:kern w:val="0"/>
          <w:sz w:val="24"/>
          <w:szCs w:val="24"/>
          <w:lang w:val="zh-CN" w:bidi="zh-CN"/>
        </w:rPr>
        <w:t>(提供与各客户签订的合同或协议书复印件并加盖投标单位公章。)</w:t>
      </w:r>
    </w:p>
    <w:p>
      <w:pPr>
        <w:pStyle w:val="15"/>
        <w:rPr>
          <w:rFonts w:ascii="新宋体"/>
          <w:sz w:val="24"/>
        </w:rPr>
      </w:pPr>
    </w:p>
    <w:p>
      <w:pPr>
        <w:pStyle w:val="15"/>
        <w:rPr>
          <w:rFonts w:ascii="新宋体"/>
          <w:sz w:val="24"/>
        </w:rPr>
      </w:pPr>
    </w:p>
    <w:p>
      <w:pPr>
        <w:pStyle w:val="15"/>
        <w:spacing w:before="10"/>
        <w:rPr>
          <w:rFonts w:ascii="新宋体"/>
          <w:sz w:val="20"/>
        </w:rPr>
      </w:pPr>
    </w:p>
    <w:p>
      <w:pPr>
        <w:pStyle w:val="15"/>
        <w:ind w:left="226"/>
      </w:pPr>
      <w:r>
        <w:t>投标人名称（单位章）：</w:t>
      </w:r>
    </w:p>
    <w:p>
      <w:pPr>
        <w:pStyle w:val="15"/>
        <w:spacing w:before="10"/>
        <w:rPr>
          <w:sz w:val="14"/>
        </w:rPr>
      </w:pPr>
    </w:p>
    <w:p>
      <w:pPr>
        <w:pStyle w:val="15"/>
        <w:tabs>
          <w:tab w:val="left" w:pos="5211"/>
        </w:tabs>
        <w:ind w:left="226"/>
        <w:rPr>
          <w:rFonts w:ascii="Times New Roman" w:eastAsia="Times New Roman"/>
        </w:rPr>
      </w:pPr>
      <w:r>
        <w:rPr>
          <w:szCs w:val="22"/>
        </w:rPr>
        <w:t>法定代表人或其授权的代理人</w:t>
      </w:r>
      <w:r>
        <w:t>（</w:t>
      </w:r>
      <w:r>
        <w:rPr>
          <w:szCs w:val="22"/>
        </w:rPr>
        <w:t>签字</w:t>
      </w:r>
      <w:r>
        <w:t>）</w:t>
      </w:r>
      <w:r>
        <w:rPr>
          <w:szCs w:val="22"/>
        </w:rPr>
        <w:t>：</w:t>
      </w:r>
      <w:r>
        <w:rPr>
          <w:rFonts w:ascii="Times New Roman" w:eastAsia="Times New Roman"/>
          <w:w w:val="95"/>
          <w:u w:val="single"/>
        </w:rPr>
        <w:t xml:space="preserve"> </w:t>
      </w:r>
      <w:r>
        <w:rPr>
          <w:rFonts w:ascii="Times New Roman" w:eastAsia="Times New Roman"/>
          <w:u w:val="single"/>
        </w:rPr>
        <w:tab/>
      </w:r>
    </w:p>
    <w:p>
      <w:pPr>
        <w:pStyle w:val="15"/>
        <w:spacing w:before="5"/>
        <w:rPr>
          <w:rFonts w:ascii="Times New Roman"/>
          <w:sz w:val="10"/>
        </w:rPr>
      </w:pPr>
    </w:p>
    <w:p>
      <w:pPr>
        <w:pStyle w:val="15"/>
        <w:tabs>
          <w:tab w:val="left" w:pos="1591"/>
          <w:tab w:val="left" w:pos="2220"/>
          <w:tab w:val="left" w:pos="2851"/>
        </w:tabs>
        <w:spacing w:before="70"/>
        <w:ind w:left="226"/>
      </w:pPr>
      <w:r>
        <w:t>日期：</w:t>
      </w:r>
      <w:r>
        <w:rPr>
          <w:u w:val="single"/>
        </w:rPr>
        <w:t xml:space="preserve"> </w:t>
      </w:r>
      <w:r>
        <w:rPr>
          <w:u w:val="single"/>
        </w:rPr>
        <w:tab/>
      </w:r>
      <w:r>
        <w:t>年</w:t>
      </w:r>
      <w:r>
        <w:rPr>
          <w:u w:val="single"/>
        </w:rPr>
        <w:t xml:space="preserve"> </w:t>
      </w:r>
      <w:r>
        <w:rPr>
          <w:u w:val="single"/>
        </w:rPr>
        <w:tab/>
      </w:r>
      <w:r>
        <w:t>月</w:t>
      </w:r>
      <w:r>
        <w:rPr>
          <w:rFonts w:hint="eastAsia"/>
          <w:u w:val="single"/>
        </w:rPr>
        <w:t xml:space="preserve">     </w:t>
      </w:r>
      <w:r>
        <w:rPr>
          <w:rFonts w:hint="eastAsia"/>
        </w:rPr>
        <w:t>日</w:t>
      </w: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color w:val="auto"/>
        </w:rPr>
      </w:pPr>
    </w:p>
    <w:p>
      <w:pPr>
        <w:pStyle w:val="60"/>
        <w:rPr>
          <w:rFonts w:ascii="Times New Roman" w:eastAsia="宋体" w:cs="Times New Roman"/>
          <w:b/>
          <w:bCs/>
          <w:color w:val="auto"/>
          <w:kern w:val="2"/>
          <w:sz w:val="32"/>
          <w:szCs w:val="32"/>
        </w:rPr>
      </w:pPr>
      <w:r>
        <w:rPr>
          <w:rFonts w:hint="eastAsia" w:ascii="Times New Roman" w:eastAsia="宋体" w:cs="Times New Roman"/>
          <w:b/>
          <w:bCs/>
          <w:color w:val="auto"/>
          <w:kern w:val="2"/>
          <w:sz w:val="32"/>
          <w:szCs w:val="32"/>
        </w:rPr>
        <w:t>附件5、</w:t>
      </w:r>
    </w:p>
    <w:p>
      <w:pPr>
        <w:pStyle w:val="5"/>
        <w:spacing w:before="14"/>
        <w:ind w:right="21"/>
      </w:pPr>
      <w:r>
        <w:t>制造商授权书</w:t>
      </w:r>
    </w:p>
    <w:p>
      <w:pPr>
        <w:pStyle w:val="15"/>
        <w:rPr>
          <w:sz w:val="20"/>
        </w:rPr>
      </w:pPr>
    </w:p>
    <w:p>
      <w:pPr>
        <w:spacing w:before="149"/>
        <w:ind w:left="220" w:right="333"/>
        <w:jc w:val="center"/>
        <w:outlineLvl w:val="1"/>
        <w:rPr>
          <w:sz w:val="28"/>
        </w:rPr>
      </w:pPr>
      <w:bookmarkStart w:id="32" w:name="_Toc31449"/>
      <w:r>
        <w:rPr>
          <w:sz w:val="28"/>
        </w:rPr>
        <w:t>制造商授权书</w:t>
      </w:r>
      <w:bookmarkEnd w:id="32"/>
    </w:p>
    <w:p>
      <w:pPr>
        <w:pStyle w:val="15"/>
        <w:rPr>
          <w:sz w:val="20"/>
        </w:rPr>
      </w:pPr>
    </w:p>
    <w:p>
      <w:pPr>
        <w:pStyle w:val="15"/>
        <w:rPr>
          <w:sz w:val="20"/>
        </w:rPr>
      </w:pPr>
    </w:p>
    <w:p>
      <w:pPr>
        <w:pStyle w:val="15"/>
        <w:tabs>
          <w:tab w:val="left" w:pos="1991"/>
        </w:tabs>
        <w:spacing w:before="192"/>
        <w:ind w:left="100" w:right="21"/>
      </w:pPr>
      <w:r>
        <w:t>致：</w:t>
      </w:r>
      <w:r>
        <w:rPr>
          <w:rFonts w:ascii="Times New Roman" w:eastAsia="Times New Roman"/>
          <w:u w:val="single"/>
        </w:rPr>
        <w:t xml:space="preserve"> </w:t>
      </w:r>
      <w:r>
        <w:rPr>
          <w:rFonts w:ascii="Times New Roman" w:eastAsia="Times New Roman"/>
          <w:u w:val="single"/>
        </w:rPr>
        <w:tab/>
      </w:r>
      <w:r>
        <w:t>（招标人）</w:t>
      </w:r>
    </w:p>
    <w:p>
      <w:pPr>
        <w:pStyle w:val="15"/>
        <w:spacing w:before="10"/>
        <w:rPr>
          <w:sz w:val="9"/>
        </w:rPr>
      </w:pPr>
    </w:p>
    <w:p>
      <w:pPr>
        <w:pStyle w:val="15"/>
        <w:tabs>
          <w:tab w:val="left" w:pos="2289"/>
          <w:tab w:val="left" w:pos="5614"/>
        </w:tabs>
        <w:spacing w:before="36"/>
        <w:ind w:right="21" w:firstLine="420" w:firstLineChars="200"/>
      </w:pPr>
      <w:r>
        <w:t>我单位</w:t>
      </w:r>
      <w:r>
        <w:rPr>
          <w:rFonts w:ascii="Times New Roman" w:eastAsia="Times New Roman"/>
          <w:u w:val="single"/>
        </w:rPr>
        <w:t xml:space="preserve"> </w:t>
      </w:r>
      <w:r>
        <w:rPr>
          <w:rFonts w:ascii="Times New Roman" w:eastAsia="Times New Roman"/>
          <w:u w:val="single"/>
        </w:rPr>
        <w:tab/>
      </w:r>
      <w:r>
        <w:rPr>
          <w:spacing w:val="-4"/>
        </w:rPr>
        <w:t>（制造商名称）是按</w:t>
      </w:r>
      <w:r>
        <w:rPr>
          <w:rFonts w:ascii="Times New Roman" w:eastAsia="Times New Roman"/>
          <w:spacing w:val="-4"/>
          <w:u w:val="single"/>
        </w:rPr>
        <w:t xml:space="preserve"> </w:t>
      </w:r>
      <w:r>
        <w:rPr>
          <w:rFonts w:ascii="Times New Roman" w:eastAsia="Times New Roman"/>
          <w:spacing w:val="-4"/>
          <w:u w:val="single"/>
        </w:rPr>
        <w:tab/>
      </w:r>
      <w:r>
        <w:rPr>
          <w:spacing w:val="-3"/>
        </w:rPr>
        <w:t>（国家／地区名称）法律成立的一</w:t>
      </w:r>
    </w:p>
    <w:p>
      <w:pPr>
        <w:pStyle w:val="15"/>
        <w:tabs>
          <w:tab w:val="left" w:pos="4161"/>
          <w:tab w:val="left" w:pos="7486"/>
        </w:tabs>
        <w:spacing w:before="36"/>
        <w:ind w:right="21"/>
      </w:pPr>
      <w:r>
        <w:t>家制</w:t>
      </w:r>
      <w:r>
        <w:rPr>
          <w:spacing w:val="-3"/>
        </w:rPr>
        <w:t>造</w:t>
      </w:r>
      <w:r>
        <w:t>商</w:t>
      </w:r>
      <w:r>
        <w:rPr>
          <w:spacing w:val="-22"/>
        </w:rPr>
        <w:t>，</w:t>
      </w:r>
      <w:r>
        <w:t>主</w:t>
      </w:r>
      <w:r>
        <w:rPr>
          <w:spacing w:val="-3"/>
        </w:rPr>
        <w:t>要</w:t>
      </w:r>
      <w:r>
        <w:t>营</w:t>
      </w:r>
      <w:r>
        <w:rPr>
          <w:spacing w:val="-3"/>
        </w:rPr>
        <w:t>业</w:t>
      </w:r>
      <w:r>
        <w:t>地</w:t>
      </w:r>
      <w:r>
        <w:rPr>
          <w:spacing w:val="-3"/>
        </w:rPr>
        <w:t>点</w:t>
      </w:r>
      <w:r>
        <w:t>设在</w:t>
      </w:r>
      <w:r>
        <w:rPr>
          <w:rFonts w:ascii="Times New Roman" w:eastAsia="Times New Roman"/>
          <w:u w:val="single"/>
        </w:rPr>
        <w:t xml:space="preserve"> </w:t>
      </w:r>
      <w:r>
        <w:rPr>
          <w:rFonts w:ascii="Times New Roman" w:eastAsia="Times New Roman"/>
          <w:u w:val="single"/>
        </w:rPr>
        <w:tab/>
      </w:r>
      <w:r>
        <w:rPr>
          <w:spacing w:val="-3"/>
        </w:rPr>
        <w:t>（</w:t>
      </w:r>
      <w:r>
        <w:t>制</w:t>
      </w:r>
      <w:r>
        <w:rPr>
          <w:spacing w:val="-3"/>
        </w:rPr>
        <w:t>造</w:t>
      </w:r>
      <w:r>
        <w:t>商地</w:t>
      </w:r>
      <w:r>
        <w:rPr>
          <w:spacing w:val="-3"/>
        </w:rPr>
        <w:t>址</w:t>
      </w:r>
      <w:r>
        <w:rPr>
          <w:spacing w:val="-106"/>
        </w:rPr>
        <w:t>）</w:t>
      </w:r>
      <w:r>
        <w:rPr>
          <w:spacing w:val="-22"/>
        </w:rPr>
        <w:t>。</w:t>
      </w:r>
      <w:r>
        <w:t>兹</w:t>
      </w:r>
      <w:r>
        <w:rPr>
          <w:spacing w:val="-3"/>
        </w:rPr>
        <w:t>授</w:t>
      </w:r>
      <w:r>
        <w:t>权按</w:t>
      </w:r>
      <w:r>
        <w:rPr>
          <w:rFonts w:ascii="Times New Roman" w:eastAsia="Times New Roman"/>
          <w:u w:val="single"/>
        </w:rPr>
        <w:t xml:space="preserve"> </w:t>
      </w:r>
      <w:r>
        <w:rPr>
          <w:rFonts w:ascii="Times New Roman" w:eastAsia="Times New Roman"/>
          <w:u w:val="single"/>
        </w:rPr>
        <w:tab/>
      </w:r>
      <w:r>
        <w:rPr>
          <w:spacing w:val="-3"/>
        </w:rPr>
        <w:t>（</w:t>
      </w:r>
      <w:r>
        <w:t>国</w:t>
      </w:r>
      <w:r>
        <w:rPr>
          <w:spacing w:val="-3"/>
        </w:rPr>
        <w:t>家</w:t>
      </w:r>
      <w:r>
        <w:t>／</w:t>
      </w:r>
      <w:r>
        <w:rPr>
          <w:spacing w:val="-3"/>
        </w:rPr>
        <w:t>地</w:t>
      </w:r>
      <w:r>
        <w:t>区名</w:t>
      </w:r>
      <w:r>
        <w:rPr>
          <w:spacing w:val="-3"/>
        </w:rPr>
        <w:t>称</w:t>
      </w:r>
      <w:r>
        <w:rPr>
          <w:spacing w:val="-99"/>
        </w:rPr>
        <w:t>）</w:t>
      </w:r>
      <w:r>
        <w:rPr>
          <w:spacing w:val="-3"/>
        </w:rPr>
        <w:t>的</w:t>
      </w:r>
      <w:r>
        <w:t>法</w:t>
      </w:r>
      <w:r>
        <w:rPr>
          <w:spacing w:val="-3"/>
        </w:rPr>
        <w:t>律</w:t>
      </w:r>
      <w:r>
        <w:t>正</w:t>
      </w:r>
      <w:r>
        <w:rPr>
          <w:spacing w:val="-3"/>
        </w:rPr>
        <w:t>式</w:t>
      </w:r>
      <w:r>
        <w:t>成</w:t>
      </w:r>
      <w:r>
        <w:rPr>
          <w:spacing w:val="-3"/>
        </w:rPr>
        <w:t>立</w:t>
      </w:r>
      <w:r>
        <w:t>的</w:t>
      </w:r>
      <w:r>
        <w:rPr>
          <w:spacing w:val="-101"/>
        </w:rPr>
        <w:t>，</w:t>
      </w:r>
      <w:r>
        <w:t>主要</w:t>
      </w:r>
      <w:r>
        <w:rPr>
          <w:spacing w:val="-3"/>
        </w:rPr>
        <w:t>营</w:t>
      </w:r>
      <w:r>
        <w:t>业</w:t>
      </w:r>
      <w:r>
        <w:rPr>
          <w:spacing w:val="-3"/>
        </w:rPr>
        <w:t>地</w:t>
      </w:r>
      <w:r>
        <w:t>点</w:t>
      </w:r>
      <w:r>
        <w:rPr>
          <w:spacing w:val="-3"/>
        </w:rPr>
        <w:t>设</w:t>
      </w:r>
      <w:r>
        <w:rPr>
          <w:spacing w:val="-1"/>
        </w:rPr>
        <w:t>在</w:t>
      </w:r>
      <w:r>
        <w:rPr>
          <w:rFonts w:ascii="Times New Roman" w:eastAsia="Times New Roman"/>
          <w:u w:val="single"/>
        </w:rPr>
        <w:t xml:space="preserve"> </w:t>
      </w:r>
      <w:r>
        <w:rPr>
          <w:rFonts w:ascii="Times New Roman" w:eastAsia="Times New Roman"/>
          <w:u w:val="single"/>
        </w:rPr>
        <w:tab/>
      </w:r>
      <w:r>
        <w:rPr>
          <w:u w:val="single"/>
        </w:rPr>
        <w:t>（</w:t>
      </w:r>
      <w:r>
        <w:rPr>
          <w:spacing w:val="-3"/>
        </w:rPr>
        <w:t>投</w:t>
      </w:r>
      <w:r>
        <w:t>标</w:t>
      </w:r>
      <w:r>
        <w:rPr>
          <w:spacing w:val="-3"/>
        </w:rPr>
        <w:t>人</w:t>
      </w:r>
      <w:r>
        <w:t>的</w:t>
      </w:r>
      <w:r>
        <w:rPr>
          <w:spacing w:val="-3"/>
        </w:rPr>
        <w:t>单</w:t>
      </w:r>
      <w:r>
        <w:t>位</w:t>
      </w:r>
      <w:r>
        <w:rPr>
          <w:spacing w:val="-3"/>
        </w:rPr>
        <w:t>地</w:t>
      </w:r>
      <w:r>
        <w:t>址</w:t>
      </w:r>
      <w:r>
        <w:rPr>
          <w:spacing w:val="-101"/>
        </w:rPr>
        <w:t>）</w:t>
      </w:r>
      <w:r>
        <w:t>的</w:t>
      </w:r>
      <w:r>
        <w:rPr>
          <w:rFonts w:ascii="Times New Roman" w:eastAsia="Times New Roman"/>
          <w:u w:val="single"/>
        </w:rPr>
        <w:t xml:space="preserve"> </w:t>
      </w:r>
      <w:r>
        <w:rPr>
          <w:rFonts w:ascii="Times New Roman" w:eastAsia="Times New Roman"/>
          <w:u w:val="single"/>
        </w:rPr>
        <w:tab/>
      </w:r>
      <w:r>
        <w:rPr>
          <w:spacing w:val="-3"/>
          <w:u w:val="single"/>
        </w:rPr>
        <w:t>（</w:t>
      </w:r>
      <w:r>
        <w:rPr>
          <w:spacing w:val="-3"/>
        </w:rPr>
        <w:t>投标人名称）以我单位制造的</w:t>
      </w:r>
      <w:r>
        <w:rPr>
          <w:rFonts w:ascii="Times New Roman" w:eastAsia="Times New Roman"/>
          <w:spacing w:val="-3"/>
          <w:u w:val="single"/>
        </w:rPr>
        <w:t xml:space="preserve"> </w:t>
      </w:r>
      <w:r>
        <w:rPr>
          <w:rFonts w:ascii="Times New Roman" w:eastAsia="Times New Roman"/>
          <w:spacing w:val="-3"/>
          <w:u w:val="single"/>
        </w:rPr>
        <w:tab/>
      </w:r>
      <w:r>
        <w:rPr>
          <w:spacing w:val="-4"/>
        </w:rPr>
        <w:t>（设备名称）进行</w:t>
      </w:r>
      <w:r>
        <w:rPr>
          <w:rFonts w:ascii="Times New Roman" w:eastAsia="Times New Roman"/>
          <w:spacing w:val="-4"/>
          <w:u w:val="single"/>
        </w:rPr>
        <w:t xml:space="preserve"> </w:t>
      </w:r>
      <w:r>
        <w:rPr>
          <w:rFonts w:ascii="Times New Roman" w:eastAsia="Times New Roman"/>
          <w:spacing w:val="-4"/>
          <w:u w:val="single"/>
        </w:rPr>
        <w:tab/>
      </w:r>
      <w:r>
        <w:rPr>
          <w:spacing w:val="-6"/>
        </w:rPr>
        <w:t>（项目名称）投</w:t>
      </w:r>
      <w:r>
        <w:rPr>
          <w:spacing w:val="-1"/>
        </w:rPr>
        <w:t xml:space="preserve">标活动。我单位同意按照中标合同供货，并对产品质量承担责任。 </w:t>
      </w:r>
      <w:r>
        <w:t>授权期限：</w:t>
      </w:r>
      <w:r>
        <w:rPr>
          <w:rFonts w:ascii="Times New Roman" w:eastAsia="Times New Roman"/>
          <w:u w:val="single"/>
        </w:rPr>
        <w:t xml:space="preserve"> </w:t>
      </w:r>
      <w:r>
        <w:rPr>
          <w:rFonts w:ascii="Times New Roman" w:eastAsia="Times New Roman"/>
          <w:u w:val="single"/>
        </w:rPr>
        <w:tab/>
      </w:r>
      <w:r>
        <w:t>。</w:t>
      </w:r>
    </w:p>
    <w:p>
      <w:pPr>
        <w:pStyle w:val="15"/>
        <w:rPr>
          <w:sz w:val="20"/>
        </w:rPr>
      </w:pPr>
    </w:p>
    <w:p>
      <w:pPr>
        <w:pStyle w:val="15"/>
        <w:rPr>
          <w:sz w:val="20"/>
        </w:rPr>
      </w:pPr>
    </w:p>
    <w:p>
      <w:pPr>
        <w:pStyle w:val="15"/>
        <w:spacing w:before="6"/>
        <w:rPr>
          <w:sz w:val="27"/>
        </w:rPr>
      </w:pPr>
    </w:p>
    <w:p>
      <w:pPr>
        <w:pStyle w:val="15"/>
        <w:tabs>
          <w:tab w:val="left" w:pos="3040"/>
          <w:tab w:val="left" w:pos="4512"/>
          <w:tab w:val="left" w:pos="7572"/>
        </w:tabs>
        <w:spacing w:before="37"/>
        <w:ind w:left="100" w:right="21"/>
        <w:rPr>
          <w:sz w:val="9"/>
        </w:rPr>
      </w:pPr>
      <w:r>
        <w:t>投标人名称：</w:t>
      </w:r>
      <w:r>
        <w:rPr>
          <w:rFonts w:ascii="Times New Roman" w:eastAsia="Times New Roman"/>
          <w:u w:val="single"/>
        </w:rPr>
        <w:t xml:space="preserve"> </w:t>
      </w:r>
      <w:r>
        <w:rPr>
          <w:rFonts w:ascii="Times New Roman" w:eastAsia="Times New Roman"/>
          <w:u w:val="single"/>
        </w:rPr>
        <w:tab/>
      </w:r>
      <w:r>
        <w:t>（盖单位章）</w:t>
      </w:r>
      <w:r>
        <w:tab/>
      </w:r>
      <w:r>
        <w:t>制造商名称：</w:t>
      </w:r>
      <w:r>
        <w:rPr>
          <w:rFonts w:ascii="Times New Roman" w:eastAsia="Times New Roman"/>
          <w:u w:val="single"/>
        </w:rPr>
        <w:t xml:space="preserve"> </w:t>
      </w:r>
      <w:r>
        <w:rPr>
          <w:rFonts w:hint="eastAsia" w:ascii="Times New Roman" w:eastAsia="Times New Roman"/>
          <w:u w:val="single"/>
        </w:rPr>
        <w:t xml:space="preserve">           </w:t>
      </w:r>
      <w:r>
        <w:t>（盖单位章）</w:t>
      </w:r>
    </w:p>
    <w:p>
      <w:pPr>
        <w:pStyle w:val="15"/>
        <w:tabs>
          <w:tab w:val="left" w:pos="4350"/>
          <w:tab w:val="left" w:pos="8758"/>
        </w:tabs>
        <w:spacing w:before="36"/>
        <w:ind w:left="100" w:right="21"/>
        <w:rPr>
          <w:rFonts w:ascii="Times New Roman"/>
          <w:sz w:val="11"/>
        </w:rPr>
      </w:pPr>
      <w:r>
        <w:t>签字人职务：</w:t>
      </w:r>
      <w:r>
        <w:rPr>
          <w:rFonts w:ascii="Times New Roman" w:eastAsia="Times New Roman"/>
          <w:u w:val="single"/>
        </w:rPr>
        <w:tab/>
      </w:r>
      <w:r>
        <w:t>签字人职务：</w:t>
      </w:r>
      <w:r>
        <w:rPr>
          <w:rFonts w:ascii="Times New Roman" w:eastAsia="Times New Roman"/>
          <w:u w:val="single"/>
        </w:rPr>
        <w:t xml:space="preserve"> </w:t>
      </w:r>
      <w:r>
        <w:rPr>
          <w:rFonts w:ascii="Times New Roman" w:eastAsia="Times New Roman"/>
          <w:u w:val="single"/>
        </w:rPr>
        <w:tab/>
      </w:r>
    </w:p>
    <w:p>
      <w:pPr>
        <w:pStyle w:val="15"/>
        <w:tabs>
          <w:tab w:val="left" w:pos="4350"/>
          <w:tab w:val="left" w:pos="8758"/>
        </w:tabs>
        <w:spacing w:before="36"/>
        <w:ind w:left="100" w:right="21"/>
        <w:rPr>
          <w:rFonts w:ascii="Times New Roman"/>
          <w:sz w:val="11"/>
        </w:rPr>
      </w:pPr>
      <w:r>
        <w:t>签字人姓名：</w:t>
      </w:r>
      <w:r>
        <w:rPr>
          <w:rFonts w:ascii="Times New Roman" w:eastAsia="Times New Roman"/>
          <w:u w:val="single"/>
        </w:rPr>
        <w:tab/>
      </w:r>
      <w:r>
        <w:t>签字人姓名：</w:t>
      </w:r>
      <w:r>
        <w:rPr>
          <w:rFonts w:ascii="Times New Roman" w:eastAsia="Times New Roman"/>
          <w:u w:val="single"/>
        </w:rPr>
        <w:t xml:space="preserve"> </w:t>
      </w:r>
      <w:r>
        <w:rPr>
          <w:rFonts w:ascii="Times New Roman" w:eastAsia="Times New Roman"/>
          <w:u w:val="single"/>
        </w:rPr>
        <w:tab/>
      </w:r>
    </w:p>
    <w:p>
      <w:pPr>
        <w:pStyle w:val="15"/>
        <w:tabs>
          <w:tab w:val="left" w:pos="4350"/>
          <w:tab w:val="left" w:pos="8758"/>
        </w:tabs>
        <w:spacing w:before="36"/>
        <w:ind w:left="100" w:right="21"/>
        <w:rPr>
          <w:rFonts w:ascii="Times New Roman" w:eastAsia="Times New Roman"/>
        </w:rPr>
      </w:pPr>
      <w:r>
        <w:t>签字人姓名：</w:t>
      </w:r>
      <w:r>
        <w:rPr>
          <w:rFonts w:ascii="Times New Roman" w:eastAsia="Times New Roman"/>
          <w:u w:val="single"/>
        </w:rPr>
        <w:tab/>
      </w:r>
      <w:r>
        <w:t>签字人姓名：</w:t>
      </w:r>
      <w:r>
        <w:rPr>
          <w:rFonts w:ascii="Times New Roman" w:eastAsia="Times New Roman"/>
          <w:u w:val="single"/>
        </w:rPr>
        <w:t xml:space="preserve"> </w:t>
      </w:r>
      <w:r>
        <w:rPr>
          <w:rFonts w:ascii="Times New Roman" w:eastAsia="Times New Roman"/>
          <w:u w:val="single"/>
        </w:rPr>
        <w:tab/>
      </w: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rPr>
          <w:rFonts w:ascii="Times New Roman" w:eastAsia="宋体" w:cs="Times New Roman"/>
          <w:b/>
          <w:bCs/>
          <w:color w:val="auto"/>
          <w:kern w:val="2"/>
          <w:sz w:val="32"/>
          <w:szCs w:val="32"/>
        </w:rPr>
      </w:pPr>
    </w:p>
    <w:p>
      <w:pPr>
        <w:pStyle w:val="60"/>
        <w:jc w:val="center"/>
        <w:rPr>
          <w:rFonts w:ascii="Times New Roman" w:eastAsia="宋体" w:cs="Times New Roman"/>
          <w:b/>
          <w:bCs/>
          <w:color w:val="auto"/>
          <w:kern w:val="2"/>
          <w:sz w:val="32"/>
          <w:szCs w:val="32"/>
        </w:rPr>
      </w:pPr>
      <w:r>
        <w:rPr>
          <w:rFonts w:hint="eastAsia" w:ascii="Times New Roman" w:eastAsia="宋体" w:cs="Times New Roman"/>
          <w:b/>
          <w:bCs/>
          <w:color w:val="auto"/>
          <w:kern w:val="2"/>
          <w:sz w:val="32"/>
          <w:szCs w:val="32"/>
        </w:rPr>
        <w:t>十、投标人为完成本招标采购项目所具有的设备、器具</w:t>
      </w:r>
    </w:p>
    <w:sectPr>
      <w:pgSz w:w="11906" w:h="16838"/>
      <w:pgMar w:top="1440" w:right="1588" w:bottom="1213" w:left="1588" w:header="851" w:footer="1255"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FZShuSong-Z01">
    <w:altName w:val="宋体"/>
    <w:panose1 w:val="00000000000000000000"/>
    <w:charset w:val="86"/>
    <w:family w:val="auto"/>
    <w:pitch w:val="default"/>
    <w:sig w:usb0="00000000" w:usb1="00000000" w:usb2="00000000" w:usb3="00000000" w:csb0="00160000" w:csb1="00000000"/>
  </w:font>
  <w:font w:name="Verdana">
    <w:panose1 w:val="020B0604030504040204"/>
    <w:charset w:val="00"/>
    <w:family w:val="swiss"/>
    <w:pitch w:val="default"/>
    <w:sig w:usb0="A10006FF" w:usb1="4000205B" w:usb2="0000001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Batang">
    <w:panose1 w:val="02030600000101010101"/>
    <w:charset w:val="81"/>
    <w:family w:val="auto"/>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长城仿宋">
    <w:altName w:val="仿宋"/>
    <w:panose1 w:val="00000000000000000000"/>
    <w:charset w:val="86"/>
    <w:family w:val="modern"/>
    <w:pitch w:val="default"/>
    <w:sig w:usb0="00000000" w:usb1="00000000" w:usb2="00000010" w:usb3="00000000" w:csb0="00040000" w:csb1="00000000"/>
  </w:font>
  <w:font w:name="方正仿宋">
    <w:altName w:val="仿宋"/>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2010601030101010101"/>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Neq4ye+AQAAfAMAAA4AAAAAAAAAAQAgAAAAHwEAAGRycy9lMm9Eb2MueG1sUEsFBgAA&#10;AAAGAAYAWQEAAE8FA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BKJ0Vb0BAAB8AwAADgAAAAAAAAABACAAAAAfAQAAZHJzL2Uyb0RvYy54bWxQSwUGAAAA&#10;AAYABgBZAQAATgU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wrap="none" lIns="0" tIns="0" rIns="0" bIns="0">
                      <a:spAutoFit/>
                    </wps:bodyPr>
                  </wps:wsp>
                </a:graphicData>
              </a:graphic>
            </wp:anchor>
          </w:drawing>
        </mc:Choice>
        <mc:Fallback>
          <w:pict>
            <v:rect id="文本框 18"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Yb+nL0BAAB8AwAADgAAAAAAAAABACAAAAAfAQAAZHJzL2Uyb0RvYy54bWxQSwUGAAAA&#10;AAYABgBZAQAATgU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rect>
          </w:pict>
        </mc:Fallback>
      </mc:AlternateContent>
    </w:r>
    <w:r>
      <w:rPr>
        <w:rFonts w:hint="eastAsia"/>
      </w:rPr>
      <w:t xml:space="preserve">                                           </w:t>
    </w:r>
  </w:p>
  <w:p>
    <w:pPr>
      <w:pStyle w:val="21"/>
      <w:jc w:val="center"/>
    </w:pPr>
  </w:p>
  <w:p>
    <w:pPr>
      <w:pStyle w:val="21"/>
      <w:ind w:left="180" w:hanging="180" w:hangingChars="100"/>
      <w:jc w:val="right"/>
      <w:rPr>
        <w:rFonts w:eastAsia="楷体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rect id="文本框 21"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PlqDHm7AQAAfAMAAA4AAAAAAAAAAQAgAAAAHwEAAGRycy9lMm9Eb2MueG1sUEsFBgAAAAAG&#10;AAYAWQEAAEwFA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wps:txbx>
                    <wps:bodyPr wrap="none" lIns="0" tIns="0" rIns="0" bIns="0">
                      <a:spAutoFit/>
                    </wps:bodyPr>
                  </wps:wsp>
                </a:graphicData>
              </a:graphic>
            </wp:anchor>
          </w:drawing>
        </mc:Choice>
        <mc:Fallback>
          <w:pict>
            <v:rect id="文本框 22"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d3UXCb0BAAB8AwAADgAAAAAAAAABACAAAAAfAQAAZHJzL2Uyb0RvYy54bWxQSwUGAAAA&#10;AAYABgBZAQAATgUAAAAA&#10;">
              <v:fill on="f" focussize="0,0"/>
              <v:stroke on="f"/>
              <v:imagedata o:title=""/>
              <o:lock v:ext="edit" aspectratio="f"/>
              <v:textbox inset="0mm,0mm,0mm,0mm" style="mso-fit-shape-to-text:t;">
                <w:txbxContent>
                  <w:p>
                    <w:pPr>
                      <w:pStyle w:val="21"/>
                      <w:rPr>
                        <w:rFonts w:eastAsia="微软雅黑"/>
                      </w:rPr>
                    </w:pPr>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v:textbox>
            </v:rect>
          </w:pict>
        </mc:Fallback>
      </mc:AlternateContent>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rect id="文本框 25"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bKAV9r0BAAB8AwAADgAAAAAAAAABACAAAAAfAQAAZHJzL2Uyb0RvYy54bWxQSwUGAAAA&#10;AAYABgBZAQAATg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72</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6"/>
      </w:rPr>
    </w:pPr>
    <w:r>
      <w:fldChar w:fldCharType="begin"/>
    </w:r>
    <w:r>
      <w:rPr>
        <w:rStyle w:val="36"/>
      </w:rPr>
      <w:instrText xml:space="preserve">PAGE  </w:instrText>
    </w:r>
    <w:r>
      <w:fldChar w:fldCharType="end"/>
    </w:r>
  </w:p>
  <w:p>
    <w:pPr>
      <w:pStyle w:val="2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ind w:right="540"/>
      <w:jc w:val="right"/>
      <w:rPr>
        <w:sz w:val="32"/>
        <w:szCs w:val="32"/>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ind w:right="360"/>
      <w:rPr>
        <w:sz w:val="32"/>
        <w:szCs w:val="32"/>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single" w:color="auto" w:sz="4" w:space="1"/>
      </w:pBdr>
      <w:ind w:firstLine="320" w:firstLineChars="100"/>
      <w:rPr>
        <w:sz w:val="32"/>
        <w:szCs w:val="32"/>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180" w:firstLineChars="100"/>
      <w:rPr>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33D1F"/>
    <w:multiLevelType w:val="singleLevel"/>
    <w:tmpl w:val="AF133D1F"/>
    <w:lvl w:ilvl="0" w:tentative="0">
      <w:start w:val="1"/>
      <w:numFmt w:val="decimal"/>
      <w:lvlText w:val="%1."/>
      <w:lvlJc w:val="left"/>
      <w:pPr>
        <w:tabs>
          <w:tab w:val="left" w:pos="312"/>
        </w:tabs>
      </w:pPr>
    </w:lvl>
  </w:abstractNum>
  <w:abstractNum w:abstractNumId="1">
    <w:nsid w:val="E100845C"/>
    <w:multiLevelType w:val="singleLevel"/>
    <w:tmpl w:val="E100845C"/>
    <w:lvl w:ilvl="0" w:tentative="0">
      <w:start w:val="1"/>
      <w:numFmt w:val="decimal"/>
      <w:lvlText w:val="%1."/>
      <w:lvlJc w:val="left"/>
      <w:pPr>
        <w:tabs>
          <w:tab w:val="left" w:pos="312"/>
        </w:tabs>
      </w:pPr>
    </w:lvl>
  </w:abstractNum>
  <w:abstractNum w:abstractNumId="2">
    <w:nsid w:val="00000001"/>
    <w:multiLevelType w:val="singleLevel"/>
    <w:tmpl w:val="00000001"/>
    <w:lvl w:ilvl="0" w:tentative="0">
      <w:start w:val="6"/>
      <w:numFmt w:val="decimal"/>
      <w:lvlText w:val="%1."/>
      <w:lvlJc w:val="left"/>
      <w:pPr>
        <w:tabs>
          <w:tab w:val="left" w:pos="312"/>
        </w:tabs>
      </w:pPr>
    </w:lvl>
  </w:abstractNum>
  <w:abstractNum w:abstractNumId="3">
    <w:nsid w:val="00000002"/>
    <w:multiLevelType w:val="singleLevel"/>
    <w:tmpl w:val="00000002"/>
    <w:lvl w:ilvl="0" w:tentative="0">
      <w:start w:val="1"/>
      <w:numFmt w:val="chineseCounting"/>
      <w:suff w:val="space"/>
      <w:lvlText w:val="第%1章"/>
      <w:lvlJc w:val="left"/>
      <w:rPr>
        <w:rFonts w:hint="eastAsia"/>
      </w:rPr>
    </w:lvl>
  </w:abstractNum>
  <w:abstractNum w:abstractNumId="4">
    <w:nsid w:val="00000004"/>
    <w:multiLevelType w:val="multilevel"/>
    <w:tmpl w:val="00000004"/>
    <w:lvl w:ilvl="0" w:tentative="0">
      <w:start w:val="1"/>
      <w:numFmt w:val="japaneseCounting"/>
      <w:lvlText w:val="%1、"/>
      <w:lvlJc w:val="left"/>
      <w:pPr>
        <w:tabs>
          <w:tab w:val="left" w:pos="720"/>
        </w:tabs>
        <w:ind w:left="720" w:hanging="720"/>
      </w:pPr>
      <w:rPr>
        <w:rFonts w:hint="default"/>
      </w:rPr>
    </w:lvl>
    <w:lvl w:ilvl="1" w:tentative="0">
      <w:start w:val="1"/>
      <w:numFmt w:val="lowerLetter"/>
      <w:pStyle w:val="17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5"/>
    <w:multiLevelType w:val="singleLevel"/>
    <w:tmpl w:val="00000005"/>
    <w:lvl w:ilvl="0" w:tentative="0">
      <w:start w:val="1"/>
      <w:numFmt w:val="decimal"/>
      <w:suff w:val="nothing"/>
      <w:lvlText w:val="%1、"/>
      <w:lvlJc w:val="left"/>
    </w:lvl>
  </w:abstractNum>
  <w:abstractNum w:abstractNumId="6">
    <w:nsid w:val="00000006"/>
    <w:multiLevelType w:val="singleLevel"/>
    <w:tmpl w:val="00000006"/>
    <w:lvl w:ilvl="0" w:tentative="0">
      <w:start w:val="1"/>
      <w:numFmt w:val="chineseCounting"/>
      <w:suff w:val="space"/>
      <w:lvlText w:val="%1、"/>
      <w:lvlJc w:val="left"/>
      <w:rPr>
        <w:rFonts w:hint="eastAsia"/>
      </w:rPr>
    </w:lvl>
  </w:abstractNum>
  <w:abstractNum w:abstractNumId="7">
    <w:nsid w:val="00000007"/>
    <w:multiLevelType w:val="singleLevel"/>
    <w:tmpl w:val="00000007"/>
    <w:lvl w:ilvl="0" w:tentative="0">
      <w:start w:val="1"/>
      <w:numFmt w:val="decimal"/>
      <w:suff w:val="nothing"/>
      <w:lvlText w:val="（%1）"/>
      <w:lvlJc w:val="left"/>
    </w:lvl>
  </w:abstractNum>
  <w:abstractNum w:abstractNumId="8">
    <w:nsid w:val="00000008"/>
    <w:multiLevelType w:val="singleLevel"/>
    <w:tmpl w:val="00000008"/>
    <w:lvl w:ilvl="0" w:tentative="0">
      <w:start w:val="1"/>
      <w:numFmt w:val="decimal"/>
      <w:suff w:val="nothing"/>
      <w:lvlText w:val="%1、"/>
      <w:lvlJc w:val="left"/>
    </w:lvl>
  </w:abstractNum>
  <w:abstractNum w:abstractNumId="9">
    <w:nsid w:val="0000000A"/>
    <w:multiLevelType w:val="singleLevel"/>
    <w:tmpl w:val="0000000A"/>
    <w:lvl w:ilvl="0" w:tentative="0">
      <w:start w:val="1"/>
      <w:numFmt w:val="decimal"/>
      <w:lvlText w:val="%1."/>
      <w:lvlJc w:val="left"/>
      <w:pPr>
        <w:tabs>
          <w:tab w:val="left" w:pos="312"/>
        </w:tabs>
      </w:pPr>
    </w:lvl>
  </w:abstractNum>
  <w:abstractNum w:abstractNumId="10">
    <w:nsid w:val="0000000B"/>
    <w:multiLevelType w:val="singleLevel"/>
    <w:tmpl w:val="0000000B"/>
    <w:lvl w:ilvl="0" w:tentative="0">
      <w:start w:val="4"/>
      <w:numFmt w:val="decimal"/>
      <w:suff w:val="nothing"/>
      <w:lvlText w:val="%1、"/>
      <w:lvlJc w:val="left"/>
    </w:lvl>
  </w:abstractNum>
  <w:abstractNum w:abstractNumId="11">
    <w:nsid w:val="053F727D"/>
    <w:multiLevelType w:val="singleLevel"/>
    <w:tmpl w:val="053F727D"/>
    <w:lvl w:ilvl="0" w:tentative="0">
      <w:start w:val="1"/>
      <w:numFmt w:val="decimal"/>
      <w:suff w:val="nothing"/>
      <w:lvlText w:val="%1、"/>
      <w:lvlJc w:val="left"/>
    </w:lvl>
  </w:abstractNum>
  <w:abstractNum w:abstractNumId="12">
    <w:nsid w:val="6906E6E3"/>
    <w:multiLevelType w:val="singleLevel"/>
    <w:tmpl w:val="6906E6E3"/>
    <w:lvl w:ilvl="0" w:tentative="0">
      <w:start w:val="1"/>
      <w:numFmt w:val="decimal"/>
      <w:suff w:val="nothing"/>
      <w:lvlText w:val="%1、"/>
      <w:lvlJc w:val="left"/>
    </w:lvl>
  </w:abstractNum>
  <w:num w:numId="1">
    <w:abstractNumId w:val="4"/>
  </w:num>
  <w:num w:numId="2">
    <w:abstractNumId w:val="3"/>
  </w:num>
  <w:num w:numId="3">
    <w:abstractNumId w:val="2"/>
  </w:num>
  <w:num w:numId="4">
    <w:abstractNumId w:val="10"/>
  </w:num>
  <w:num w:numId="5">
    <w:abstractNumId w:val="5"/>
  </w:num>
  <w:num w:numId="6">
    <w:abstractNumId w:val="7"/>
  </w:num>
  <w:num w:numId="7">
    <w:abstractNumId w:val="9"/>
  </w:num>
  <w:num w:numId="8">
    <w:abstractNumId w:val="11"/>
  </w:num>
  <w:num w:numId="9">
    <w:abstractNumId w:val="1"/>
  </w:num>
  <w:num w:numId="10">
    <w:abstractNumId w:val="12"/>
  </w:num>
  <w:num w:numId="11">
    <w:abstractNumId w:val="0"/>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xNGIxMjU3NWVjM2M2YmU2OWNhYjZhMDg5YjVlNjQifQ=="/>
  </w:docVars>
  <w:rsids>
    <w:rsidRoot w:val="00402D04"/>
    <w:rsid w:val="00035189"/>
    <w:rsid w:val="00091C00"/>
    <w:rsid w:val="0009388B"/>
    <w:rsid w:val="000B1EE7"/>
    <w:rsid w:val="000B3ACE"/>
    <w:rsid w:val="000B5908"/>
    <w:rsid w:val="000D575F"/>
    <w:rsid w:val="000E6512"/>
    <w:rsid w:val="00197886"/>
    <w:rsid w:val="001E74B3"/>
    <w:rsid w:val="00230CAE"/>
    <w:rsid w:val="002B2ECE"/>
    <w:rsid w:val="00317627"/>
    <w:rsid w:val="00354DFD"/>
    <w:rsid w:val="00377548"/>
    <w:rsid w:val="003D0A60"/>
    <w:rsid w:val="003D328C"/>
    <w:rsid w:val="00402D04"/>
    <w:rsid w:val="00462193"/>
    <w:rsid w:val="00470A03"/>
    <w:rsid w:val="004D7BD4"/>
    <w:rsid w:val="004F7940"/>
    <w:rsid w:val="0070738A"/>
    <w:rsid w:val="00715C7F"/>
    <w:rsid w:val="007B69A4"/>
    <w:rsid w:val="007D72DF"/>
    <w:rsid w:val="007F0EEC"/>
    <w:rsid w:val="00811A9A"/>
    <w:rsid w:val="00814B27"/>
    <w:rsid w:val="0087259B"/>
    <w:rsid w:val="008C4210"/>
    <w:rsid w:val="00937BE7"/>
    <w:rsid w:val="00943C49"/>
    <w:rsid w:val="00A01825"/>
    <w:rsid w:val="00A36156"/>
    <w:rsid w:val="00A36E9E"/>
    <w:rsid w:val="00A54C7A"/>
    <w:rsid w:val="00AB1BC5"/>
    <w:rsid w:val="00B07736"/>
    <w:rsid w:val="00B37E75"/>
    <w:rsid w:val="00B44AFC"/>
    <w:rsid w:val="00B450FB"/>
    <w:rsid w:val="00B6700B"/>
    <w:rsid w:val="00BD5DAA"/>
    <w:rsid w:val="00BF0391"/>
    <w:rsid w:val="00BF5820"/>
    <w:rsid w:val="00D676BD"/>
    <w:rsid w:val="00D953D8"/>
    <w:rsid w:val="00DD00AF"/>
    <w:rsid w:val="00E02AE5"/>
    <w:rsid w:val="00E471DC"/>
    <w:rsid w:val="00E50FAD"/>
    <w:rsid w:val="00EF7950"/>
    <w:rsid w:val="00F2000D"/>
    <w:rsid w:val="00F5496F"/>
    <w:rsid w:val="00F92E50"/>
    <w:rsid w:val="00FD01F9"/>
    <w:rsid w:val="01341807"/>
    <w:rsid w:val="016F45ED"/>
    <w:rsid w:val="023575E5"/>
    <w:rsid w:val="038500F8"/>
    <w:rsid w:val="03AC1B29"/>
    <w:rsid w:val="03F37758"/>
    <w:rsid w:val="048C3708"/>
    <w:rsid w:val="049525BD"/>
    <w:rsid w:val="04E13A54"/>
    <w:rsid w:val="04E377CC"/>
    <w:rsid w:val="04F05A45"/>
    <w:rsid w:val="05524952"/>
    <w:rsid w:val="05882122"/>
    <w:rsid w:val="05B66C8F"/>
    <w:rsid w:val="05CD3FD8"/>
    <w:rsid w:val="06E65352"/>
    <w:rsid w:val="076F5BD8"/>
    <w:rsid w:val="07BE62CF"/>
    <w:rsid w:val="07F1057F"/>
    <w:rsid w:val="0935611C"/>
    <w:rsid w:val="095742E5"/>
    <w:rsid w:val="0A21150B"/>
    <w:rsid w:val="0A5E16A3"/>
    <w:rsid w:val="0A9D666F"/>
    <w:rsid w:val="0AA96DC2"/>
    <w:rsid w:val="0ACE4A7B"/>
    <w:rsid w:val="0B304DED"/>
    <w:rsid w:val="0B666A61"/>
    <w:rsid w:val="0BE502CE"/>
    <w:rsid w:val="0CF54541"/>
    <w:rsid w:val="0D1B1ACD"/>
    <w:rsid w:val="0F56503F"/>
    <w:rsid w:val="0FE01000"/>
    <w:rsid w:val="104B26C9"/>
    <w:rsid w:val="104B4477"/>
    <w:rsid w:val="10BB15FD"/>
    <w:rsid w:val="10E87F18"/>
    <w:rsid w:val="10F16DCD"/>
    <w:rsid w:val="11621A79"/>
    <w:rsid w:val="11F823DD"/>
    <w:rsid w:val="12042B30"/>
    <w:rsid w:val="12AF0CEE"/>
    <w:rsid w:val="12E110C3"/>
    <w:rsid w:val="130628D8"/>
    <w:rsid w:val="138E2FF9"/>
    <w:rsid w:val="150F3CC6"/>
    <w:rsid w:val="157B231B"/>
    <w:rsid w:val="15C471A6"/>
    <w:rsid w:val="16337E88"/>
    <w:rsid w:val="16E3365C"/>
    <w:rsid w:val="17A76437"/>
    <w:rsid w:val="17B52555"/>
    <w:rsid w:val="17B86896"/>
    <w:rsid w:val="182E4DAB"/>
    <w:rsid w:val="19AD1CFF"/>
    <w:rsid w:val="1B1F09DB"/>
    <w:rsid w:val="1BE14D20"/>
    <w:rsid w:val="1BEC4D61"/>
    <w:rsid w:val="1C116575"/>
    <w:rsid w:val="1C27223D"/>
    <w:rsid w:val="1C365FDC"/>
    <w:rsid w:val="1C420E24"/>
    <w:rsid w:val="1D5E3A3C"/>
    <w:rsid w:val="1D9C4564"/>
    <w:rsid w:val="1DFC3255"/>
    <w:rsid w:val="1E450758"/>
    <w:rsid w:val="1E6A01BF"/>
    <w:rsid w:val="1E876FC3"/>
    <w:rsid w:val="1E94348E"/>
    <w:rsid w:val="1EB31B66"/>
    <w:rsid w:val="1EF4055A"/>
    <w:rsid w:val="1F4D3D68"/>
    <w:rsid w:val="1F8F4381"/>
    <w:rsid w:val="203E1903"/>
    <w:rsid w:val="20BA367F"/>
    <w:rsid w:val="215A451A"/>
    <w:rsid w:val="2245341D"/>
    <w:rsid w:val="2297354C"/>
    <w:rsid w:val="22DB78DD"/>
    <w:rsid w:val="22EE7610"/>
    <w:rsid w:val="231150AD"/>
    <w:rsid w:val="24975A86"/>
    <w:rsid w:val="24F46A34"/>
    <w:rsid w:val="251610A0"/>
    <w:rsid w:val="25F74A2E"/>
    <w:rsid w:val="26964247"/>
    <w:rsid w:val="26D134D1"/>
    <w:rsid w:val="27402404"/>
    <w:rsid w:val="275A1718"/>
    <w:rsid w:val="27676F01"/>
    <w:rsid w:val="27A21EB8"/>
    <w:rsid w:val="29671ECA"/>
    <w:rsid w:val="29C4731D"/>
    <w:rsid w:val="2A353D77"/>
    <w:rsid w:val="2A7523C5"/>
    <w:rsid w:val="2A7E3970"/>
    <w:rsid w:val="2AA44A58"/>
    <w:rsid w:val="2C9E20A7"/>
    <w:rsid w:val="2CC15D95"/>
    <w:rsid w:val="2D382F2D"/>
    <w:rsid w:val="2D430559"/>
    <w:rsid w:val="2D70499A"/>
    <w:rsid w:val="2E330E95"/>
    <w:rsid w:val="2E3C1B78"/>
    <w:rsid w:val="2E627104"/>
    <w:rsid w:val="2E67471B"/>
    <w:rsid w:val="2EF26EC9"/>
    <w:rsid w:val="2EF91817"/>
    <w:rsid w:val="2F972DDE"/>
    <w:rsid w:val="2FB76FDC"/>
    <w:rsid w:val="2FBC62A5"/>
    <w:rsid w:val="2FBE036A"/>
    <w:rsid w:val="2FE06533"/>
    <w:rsid w:val="2FE43389"/>
    <w:rsid w:val="30C714A1"/>
    <w:rsid w:val="320C360F"/>
    <w:rsid w:val="327411B4"/>
    <w:rsid w:val="32AC3044"/>
    <w:rsid w:val="32B55A55"/>
    <w:rsid w:val="33184235"/>
    <w:rsid w:val="33305A23"/>
    <w:rsid w:val="33B2468A"/>
    <w:rsid w:val="33B25DC6"/>
    <w:rsid w:val="33EC194A"/>
    <w:rsid w:val="340B78F6"/>
    <w:rsid w:val="34270BD4"/>
    <w:rsid w:val="34452E08"/>
    <w:rsid w:val="34871673"/>
    <w:rsid w:val="35374E47"/>
    <w:rsid w:val="35EB5C31"/>
    <w:rsid w:val="367D2D2D"/>
    <w:rsid w:val="37B00EE0"/>
    <w:rsid w:val="37FF7772"/>
    <w:rsid w:val="38A547BD"/>
    <w:rsid w:val="38AA5930"/>
    <w:rsid w:val="38C369F1"/>
    <w:rsid w:val="38DB3D3B"/>
    <w:rsid w:val="3939074D"/>
    <w:rsid w:val="39504729"/>
    <w:rsid w:val="39F552D0"/>
    <w:rsid w:val="39FA4695"/>
    <w:rsid w:val="3B223CEA"/>
    <w:rsid w:val="3B9A612F"/>
    <w:rsid w:val="3BE178BA"/>
    <w:rsid w:val="3D0A2E41"/>
    <w:rsid w:val="3D193084"/>
    <w:rsid w:val="3D5D5666"/>
    <w:rsid w:val="3D804EB1"/>
    <w:rsid w:val="3DBD4357"/>
    <w:rsid w:val="3DBF4370"/>
    <w:rsid w:val="3DCC00F6"/>
    <w:rsid w:val="3DF17B5D"/>
    <w:rsid w:val="3E5C76CC"/>
    <w:rsid w:val="3ED43706"/>
    <w:rsid w:val="40864ED4"/>
    <w:rsid w:val="40A13ABC"/>
    <w:rsid w:val="414803DC"/>
    <w:rsid w:val="417411D1"/>
    <w:rsid w:val="422E312E"/>
    <w:rsid w:val="42820388"/>
    <w:rsid w:val="43AA2C88"/>
    <w:rsid w:val="44093E52"/>
    <w:rsid w:val="446C43E1"/>
    <w:rsid w:val="45435142"/>
    <w:rsid w:val="45725A27"/>
    <w:rsid w:val="464A2500"/>
    <w:rsid w:val="480037BE"/>
    <w:rsid w:val="48EE1869"/>
    <w:rsid w:val="49630094"/>
    <w:rsid w:val="4968161B"/>
    <w:rsid w:val="4971480E"/>
    <w:rsid w:val="4972249A"/>
    <w:rsid w:val="49ED1B20"/>
    <w:rsid w:val="49F92273"/>
    <w:rsid w:val="4A9D52F4"/>
    <w:rsid w:val="4B0B6702"/>
    <w:rsid w:val="4B702A09"/>
    <w:rsid w:val="4C365A00"/>
    <w:rsid w:val="4CF457E6"/>
    <w:rsid w:val="4D063625"/>
    <w:rsid w:val="4D6056FB"/>
    <w:rsid w:val="4DC4703C"/>
    <w:rsid w:val="4DDE1EAC"/>
    <w:rsid w:val="4E05638D"/>
    <w:rsid w:val="4E0D09E3"/>
    <w:rsid w:val="4EB15812"/>
    <w:rsid w:val="4F10078B"/>
    <w:rsid w:val="4F1F277C"/>
    <w:rsid w:val="4F894099"/>
    <w:rsid w:val="500D6A78"/>
    <w:rsid w:val="50424AE5"/>
    <w:rsid w:val="5051105B"/>
    <w:rsid w:val="509C7DFC"/>
    <w:rsid w:val="50D852D8"/>
    <w:rsid w:val="51112598"/>
    <w:rsid w:val="51471786"/>
    <w:rsid w:val="514A5AAA"/>
    <w:rsid w:val="51AE428B"/>
    <w:rsid w:val="523429E2"/>
    <w:rsid w:val="529B480F"/>
    <w:rsid w:val="530A54F1"/>
    <w:rsid w:val="53165C44"/>
    <w:rsid w:val="53964FD7"/>
    <w:rsid w:val="543734F7"/>
    <w:rsid w:val="585316E8"/>
    <w:rsid w:val="593E4146"/>
    <w:rsid w:val="5A7B0A82"/>
    <w:rsid w:val="5A8E07B6"/>
    <w:rsid w:val="5B5163B3"/>
    <w:rsid w:val="5B9C6F02"/>
    <w:rsid w:val="5C3D06E5"/>
    <w:rsid w:val="5CAE3391"/>
    <w:rsid w:val="5CC97269"/>
    <w:rsid w:val="5CF36FF6"/>
    <w:rsid w:val="5DAF5613"/>
    <w:rsid w:val="5E053485"/>
    <w:rsid w:val="5E2348BC"/>
    <w:rsid w:val="5E2C0A11"/>
    <w:rsid w:val="5EC56770"/>
    <w:rsid w:val="5ED57321"/>
    <w:rsid w:val="60172FFB"/>
    <w:rsid w:val="60AA0313"/>
    <w:rsid w:val="60BF5B6D"/>
    <w:rsid w:val="61047A23"/>
    <w:rsid w:val="61AD3C17"/>
    <w:rsid w:val="62035F2D"/>
    <w:rsid w:val="628F5A13"/>
    <w:rsid w:val="629E17B2"/>
    <w:rsid w:val="62EE44E7"/>
    <w:rsid w:val="646A2293"/>
    <w:rsid w:val="647C5B23"/>
    <w:rsid w:val="656B0071"/>
    <w:rsid w:val="65864EAB"/>
    <w:rsid w:val="66112F2E"/>
    <w:rsid w:val="66D165FA"/>
    <w:rsid w:val="68833924"/>
    <w:rsid w:val="68BC19CD"/>
    <w:rsid w:val="6933534A"/>
    <w:rsid w:val="6A2829D5"/>
    <w:rsid w:val="6B3B04E6"/>
    <w:rsid w:val="6BA51E03"/>
    <w:rsid w:val="6CB57E24"/>
    <w:rsid w:val="6CDC3602"/>
    <w:rsid w:val="6CDF30F3"/>
    <w:rsid w:val="6D1C4347"/>
    <w:rsid w:val="6DC742B3"/>
    <w:rsid w:val="6E2F3C06"/>
    <w:rsid w:val="6E4B6C92"/>
    <w:rsid w:val="6E526272"/>
    <w:rsid w:val="6E8B3532"/>
    <w:rsid w:val="6EF015E7"/>
    <w:rsid w:val="6F392F8E"/>
    <w:rsid w:val="6F743FC6"/>
    <w:rsid w:val="6FB6638D"/>
    <w:rsid w:val="70182BA3"/>
    <w:rsid w:val="702A28D7"/>
    <w:rsid w:val="70A1703D"/>
    <w:rsid w:val="70CC398E"/>
    <w:rsid w:val="70F133F4"/>
    <w:rsid w:val="71463740"/>
    <w:rsid w:val="71970440"/>
    <w:rsid w:val="729606F7"/>
    <w:rsid w:val="72E66F89"/>
    <w:rsid w:val="73112934"/>
    <w:rsid w:val="733221CE"/>
    <w:rsid w:val="741713C4"/>
    <w:rsid w:val="742A559B"/>
    <w:rsid w:val="743E4BA3"/>
    <w:rsid w:val="7641097A"/>
    <w:rsid w:val="76C53359"/>
    <w:rsid w:val="777F5BFE"/>
    <w:rsid w:val="779F004E"/>
    <w:rsid w:val="77AB69F3"/>
    <w:rsid w:val="77DA1086"/>
    <w:rsid w:val="787B63C5"/>
    <w:rsid w:val="792A3948"/>
    <w:rsid w:val="7A291E51"/>
    <w:rsid w:val="7BAE260E"/>
    <w:rsid w:val="7BCB31C0"/>
    <w:rsid w:val="7CC540B3"/>
    <w:rsid w:val="7D0A0092"/>
    <w:rsid w:val="7D16490F"/>
    <w:rsid w:val="7D3644D9"/>
    <w:rsid w:val="7DB639FC"/>
    <w:rsid w:val="7E2176EE"/>
    <w:rsid w:val="7E2968C4"/>
    <w:rsid w:val="7E372D8F"/>
    <w:rsid w:val="7EC30AC6"/>
    <w:rsid w:val="7EED5B43"/>
    <w:rsid w:val="7F3379FA"/>
    <w:rsid w:val="7F593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jc w:val="center"/>
      <w:outlineLvl w:val="0"/>
    </w:pPr>
    <w:rPr>
      <w:b/>
      <w:bCs/>
      <w:sz w:val="2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before="260" w:after="260" w:line="413" w:lineRule="auto"/>
      <w:outlineLvl w:val="2"/>
    </w:pPr>
    <w:rPr>
      <w:b/>
      <w:bCs/>
      <w:sz w:val="32"/>
      <w:szCs w:val="32"/>
    </w:rPr>
  </w:style>
  <w:style w:type="paragraph" w:styleId="6">
    <w:name w:val="heading 4"/>
    <w:basedOn w:val="1"/>
    <w:next w:val="1"/>
    <w:link w:val="43"/>
    <w:qFormat/>
    <w:uiPriority w:val="0"/>
    <w:pPr>
      <w:keepNext/>
      <w:keepLines/>
      <w:spacing w:before="280" w:after="290" w:line="376" w:lineRule="auto"/>
      <w:ind w:left="864" w:hanging="864"/>
      <w:outlineLvl w:val="3"/>
    </w:pPr>
    <w:rPr>
      <w:rFonts w:ascii="Cambria" w:hAnsi="Cambria"/>
      <w:b/>
      <w:bCs/>
      <w:sz w:val="28"/>
      <w:szCs w:val="28"/>
    </w:rPr>
  </w:style>
  <w:style w:type="paragraph" w:styleId="7">
    <w:name w:val="heading 5"/>
    <w:basedOn w:val="1"/>
    <w:next w:val="1"/>
    <w:link w:val="44"/>
    <w:qFormat/>
    <w:uiPriority w:val="0"/>
    <w:pPr>
      <w:keepNext/>
      <w:keepLines/>
      <w:spacing w:before="280" w:after="290" w:line="376" w:lineRule="auto"/>
      <w:ind w:left="1008" w:hanging="1008"/>
      <w:outlineLvl w:val="4"/>
    </w:pPr>
    <w:rPr>
      <w:rFonts w:ascii="Calibri" w:hAnsi="Calibri"/>
      <w:b/>
      <w:bCs/>
      <w:sz w:val="28"/>
      <w:szCs w:val="28"/>
    </w:rPr>
  </w:style>
  <w:style w:type="paragraph" w:styleId="8">
    <w:name w:val="heading 6"/>
    <w:basedOn w:val="1"/>
    <w:next w:val="1"/>
    <w:link w:val="45"/>
    <w:qFormat/>
    <w:uiPriority w:val="0"/>
    <w:pPr>
      <w:keepNext/>
      <w:keepLines/>
      <w:spacing w:before="240" w:after="64" w:line="320" w:lineRule="auto"/>
      <w:ind w:left="1152" w:hanging="1152"/>
      <w:outlineLvl w:val="5"/>
    </w:pPr>
    <w:rPr>
      <w:rFonts w:ascii="Cambria" w:hAnsi="Cambria"/>
      <w:b/>
      <w:bCs/>
      <w:sz w:val="24"/>
      <w:szCs w:val="24"/>
    </w:rPr>
  </w:style>
  <w:style w:type="paragraph" w:styleId="9">
    <w:name w:val="heading 7"/>
    <w:basedOn w:val="1"/>
    <w:next w:val="1"/>
    <w:link w:val="46"/>
    <w:qFormat/>
    <w:uiPriority w:val="0"/>
    <w:pPr>
      <w:keepNext/>
      <w:keepLines/>
      <w:spacing w:before="240" w:after="64" w:line="320" w:lineRule="auto"/>
      <w:ind w:left="1296" w:hanging="1296"/>
      <w:outlineLvl w:val="6"/>
    </w:pPr>
    <w:rPr>
      <w:rFonts w:ascii="Calibri" w:hAnsi="Calibri"/>
      <w:b/>
      <w:bCs/>
      <w:sz w:val="24"/>
      <w:szCs w:val="24"/>
    </w:rPr>
  </w:style>
  <w:style w:type="paragraph" w:styleId="10">
    <w:name w:val="heading 8"/>
    <w:basedOn w:val="1"/>
    <w:next w:val="1"/>
    <w:link w:val="47"/>
    <w:qFormat/>
    <w:uiPriority w:val="0"/>
    <w:pPr>
      <w:keepNext/>
      <w:keepLines/>
      <w:spacing w:before="240" w:after="64" w:line="320" w:lineRule="auto"/>
      <w:ind w:left="1440" w:hanging="1440"/>
      <w:outlineLvl w:val="7"/>
    </w:pPr>
    <w:rPr>
      <w:rFonts w:ascii="Cambria" w:hAnsi="Cambria"/>
      <w:sz w:val="24"/>
      <w:szCs w:val="24"/>
    </w:rPr>
  </w:style>
  <w:style w:type="paragraph" w:styleId="11">
    <w:name w:val="heading 9"/>
    <w:basedOn w:val="1"/>
    <w:next w:val="1"/>
    <w:link w:val="48"/>
    <w:qFormat/>
    <w:uiPriority w:val="0"/>
    <w:pPr>
      <w:keepNext/>
      <w:keepLines/>
      <w:spacing w:before="240" w:after="64" w:line="320" w:lineRule="auto"/>
      <w:ind w:left="1584" w:hanging="1584"/>
      <w:outlineLvl w:val="8"/>
    </w:pPr>
    <w:rPr>
      <w:rFonts w:ascii="Cambria" w:hAnsi="Cambria"/>
      <w:szCs w:val="21"/>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rPr>
      <w:szCs w:val="22"/>
    </w:rPr>
  </w:style>
  <w:style w:type="paragraph" w:styleId="12">
    <w:name w:val="Normal Indent"/>
    <w:basedOn w:val="1"/>
    <w:next w:val="1"/>
    <w:qFormat/>
    <w:uiPriority w:val="0"/>
    <w:pPr>
      <w:widowControl/>
      <w:ind w:firstLine="420"/>
      <w:jc w:val="left"/>
    </w:pPr>
    <w:rPr>
      <w:kern w:val="0"/>
      <w:sz w:val="20"/>
    </w:rPr>
  </w:style>
  <w:style w:type="paragraph" w:styleId="13">
    <w:name w:val="Document Map"/>
    <w:basedOn w:val="1"/>
    <w:link w:val="49"/>
    <w:qFormat/>
    <w:uiPriority w:val="0"/>
    <w:rPr>
      <w:rFonts w:ascii="宋体" w:hAnsi="Calibri"/>
      <w:sz w:val="18"/>
      <w:szCs w:val="18"/>
    </w:rPr>
  </w:style>
  <w:style w:type="paragraph" w:styleId="14">
    <w:name w:val="annotation text"/>
    <w:basedOn w:val="1"/>
    <w:link w:val="50"/>
    <w:qFormat/>
    <w:uiPriority w:val="0"/>
    <w:pPr>
      <w:jc w:val="left"/>
    </w:pPr>
    <w:rPr>
      <w:szCs w:val="24"/>
    </w:rPr>
  </w:style>
  <w:style w:type="paragraph" w:styleId="15">
    <w:name w:val="Body Text"/>
    <w:basedOn w:val="1"/>
    <w:next w:val="1"/>
    <w:qFormat/>
    <w:uiPriority w:val="99"/>
    <w:pPr>
      <w:spacing w:after="120"/>
    </w:pPr>
    <w:rPr>
      <w:rFonts w:ascii="Calibri" w:hAnsi="Calibri"/>
    </w:rPr>
  </w:style>
  <w:style w:type="paragraph" w:styleId="16">
    <w:name w:val="Body Text Indent"/>
    <w:basedOn w:val="1"/>
    <w:link w:val="51"/>
    <w:qFormat/>
    <w:uiPriority w:val="0"/>
    <w:pPr>
      <w:ind w:left="359" w:leftChars="171" w:firstLine="524" w:firstLineChars="187"/>
    </w:pPr>
    <w:rPr>
      <w:sz w:val="28"/>
    </w:rPr>
  </w:style>
  <w:style w:type="paragraph" w:styleId="17">
    <w:name w:val="Plain Text"/>
    <w:basedOn w:val="1"/>
    <w:link w:val="52"/>
    <w:qFormat/>
    <w:uiPriority w:val="0"/>
    <w:rPr>
      <w:rFonts w:ascii="宋体" w:hAnsi="Courier New"/>
      <w:szCs w:val="21"/>
    </w:rPr>
  </w:style>
  <w:style w:type="paragraph" w:styleId="18">
    <w:name w:val="Date"/>
    <w:basedOn w:val="1"/>
    <w:next w:val="1"/>
    <w:qFormat/>
    <w:uiPriority w:val="0"/>
    <w:rPr>
      <w:sz w:val="24"/>
    </w:rPr>
  </w:style>
  <w:style w:type="paragraph" w:styleId="19">
    <w:name w:val="Body Text Indent 2"/>
    <w:basedOn w:val="1"/>
    <w:qFormat/>
    <w:uiPriority w:val="0"/>
    <w:pPr>
      <w:spacing w:after="120" w:line="480" w:lineRule="auto"/>
      <w:ind w:left="420" w:leftChars="200"/>
    </w:pPr>
    <w:rPr>
      <w:szCs w:val="24"/>
    </w:rPr>
  </w:style>
  <w:style w:type="paragraph" w:styleId="20">
    <w:name w:val="Balloon Text"/>
    <w:basedOn w:val="1"/>
    <w:link w:val="53"/>
    <w:qFormat/>
    <w:uiPriority w:val="0"/>
    <w:rPr>
      <w:rFonts w:ascii="Calibri" w:hAnsi="Calibri"/>
      <w:sz w:val="18"/>
      <w:szCs w:val="18"/>
    </w:rPr>
  </w:style>
  <w:style w:type="paragraph" w:styleId="21">
    <w:name w:val="footer"/>
    <w:basedOn w:val="1"/>
    <w:link w:val="54"/>
    <w:qFormat/>
    <w:uiPriority w:val="99"/>
    <w:pPr>
      <w:tabs>
        <w:tab w:val="center" w:pos="4153"/>
        <w:tab w:val="right" w:pos="8306"/>
      </w:tabs>
      <w:snapToGrid w:val="0"/>
      <w:jc w:val="left"/>
    </w:pPr>
    <w:rPr>
      <w:sz w:val="18"/>
    </w:rPr>
  </w:style>
  <w:style w:type="paragraph" w:styleId="22">
    <w:name w:val="header"/>
    <w:basedOn w:val="1"/>
    <w:link w:val="5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qFormat/>
    <w:uiPriority w:val="0"/>
  </w:style>
  <w:style w:type="paragraph" w:styleId="24">
    <w:name w:val="Body Text Indent 3"/>
    <w:basedOn w:val="1"/>
    <w:link w:val="56"/>
    <w:qFormat/>
    <w:uiPriority w:val="0"/>
    <w:pPr>
      <w:spacing w:after="120"/>
      <w:ind w:left="420" w:leftChars="200"/>
    </w:pPr>
    <w:rPr>
      <w:sz w:val="16"/>
      <w:szCs w:val="16"/>
    </w:rPr>
  </w:style>
  <w:style w:type="paragraph" w:styleId="25">
    <w:name w:val="toc 2"/>
    <w:basedOn w:val="1"/>
    <w:next w:val="1"/>
    <w:qFormat/>
    <w:uiPriority w:val="0"/>
    <w:pPr>
      <w:tabs>
        <w:tab w:val="right" w:leader="dot" w:pos="9350"/>
      </w:tabs>
      <w:ind w:left="420"/>
    </w:pPr>
    <w:rPr>
      <w:rFonts w:eastAsia="楷体_GB2312"/>
      <w:sz w:val="28"/>
    </w:rPr>
  </w:style>
  <w:style w:type="paragraph" w:styleId="26">
    <w:name w:val="Body Text 2"/>
    <w:basedOn w:val="1"/>
    <w:link w:val="57"/>
    <w:qFormat/>
    <w:uiPriority w:val="0"/>
    <w:rPr>
      <w:rFonts w:ascii="宋体" w:hAnsi="宋体"/>
      <w:sz w:val="30"/>
    </w:r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8">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paragraph" w:styleId="29">
    <w:name w:val="annotation subject"/>
    <w:basedOn w:val="14"/>
    <w:next w:val="14"/>
    <w:link w:val="58"/>
    <w:qFormat/>
    <w:uiPriority w:val="0"/>
    <w:rPr>
      <w:b/>
      <w:bCs/>
    </w:rPr>
  </w:style>
  <w:style w:type="paragraph" w:styleId="30">
    <w:name w:val="Body Text First Indent"/>
    <w:basedOn w:val="15"/>
    <w:qFormat/>
    <w:uiPriority w:val="99"/>
    <w:pPr>
      <w:ind w:firstLine="420" w:firstLineChars="100"/>
    </w:pPr>
  </w:style>
  <w:style w:type="paragraph" w:styleId="31">
    <w:name w:val="Body Text First Indent 2"/>
    <w:basedOn w:val="16"/>
    <w:next w:val="12"/>
    <w:link w:val="59"/>
    <w:qFormat/>
    <w:uiPriority w:val="0"/>
    <w:pPr>
      <w:spacing w:after="120"/>
      <w:ind w:left="420" w:leftChars="200" w:firstLine="420" w:firstLineChars="200"/>
    </w:pPr>
    <w:rPr>
      <w:sz w:val="21"/>
    </w:r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99"/>
    <w:rPr>
      <w:color w:val="800080"/>
      <w:u w:val="single"/>
    </w:rPr>
  </w:style>
  <w:style w:type="character" w:styleId="38">
    <w:name w:val="Hyperlink"/>
    <w:qFormat/>
    <w:uiPriority w:val="99"/>
    <w:rPr>
      <w:color w:val="0000FF"/>
      <w:u w:val="single"/>
    </w:rPr>
  </w:style>
  <w:style w:type="character" w:styleId="39">
    <w:name w:val="annotation reference"/>
    <w:qFormat/>
    <w:uiPriority w:val="0"/>
    <w:rPr>
      <w:sz w:val="21"/>
      <w:szCs w:val="21"/>
    </w:rPr>
  </w:style>
  <w:style w:type="character" w:customStyle="1" w:styleId="40">
    <w:name w:val="标题 1 Char"/>
    <w:link w:val="3"/>
    <w:qFormat/>
    <w:uiPriority w:val="0"/>
    <w:rPr>
      <w:rFonts w:eastAsia="宋体"/>
      <w:b/>
      <w:bCs/>
      <w:kern w:val="2"/>
      <w:sz w:val="24"/>
      <w:lang w:val="en-US" w:eastAsia="zh-CN" w:bidi="ar-SA"/>
    </w:rPr>
  </w:style>
  <w:style w:type="character" w:customStyle="1" w:styleId="41">
    <w:name w:val="标题 2 Char"/>
    <w:link w:val="4"/>
    <w:qFormat/>
    <w:uiPriority w:val="0"/>
    <w:rPr>
      <w:rFonts w:ascii="Arial" w:hAnsi="Arial" w:eastAsia="黑体"/>
      <w:b/>
      <w:bCs/>
      <w:kern w:val="2"/>
      <w:sz w:val="32"/>
      <w:szCs w:val="32"/>
      <w:lang w:val="en-US" w:eastAsia="zh-CN" w:bidi="ar-SA"/>
    </w:rPr>
  </w:style>
  <w:style w:type="character" w:customStyle="1" w:styleId="42">
    <w:name w:val="标题 3 Char"/>
    <w:link w:val="5"/>
    <w:qFormat/>
    <w:uiPriority w:val="0"/>
    <w:rPr>
      <w:rFonts w:eastAsia="宋体"/>
      <w:b/>
      <w:bCs/>
      <w:kern w:val="2"/>
      <w:sz w:val="32"/>
      <w:szCs w:val="32"/>
      <w:lang w:val="en-US" w:eastAsia="zh-CN" w:bidi="ar-SA"/>
    </w:rPr>
  </w:style>
  <w:style w:type="character" w:customStyle="1" w:styleId="43">
    <w:name w:val="标题 4 Char"/>
    <w:link w:val="6"/>
    <w:qFormat/>
    <w:uiPriority w:val="0"/>
    <w:rPr>
      <w:rFonts w:ascii="Cambria" w:hAnsi="Cambria" w:eastAsia="宋体"/>
      <w:b/>
      <w:bCs/>
      <w:kern w:val="2"/>
      <w:sz w:val="28"/>
      <w:szCs w:val="28"/>
      <w:lang w:val="en-US" w:eastAsia="zh-CN" w:bidi="ar-SA"/>
    </w:rPr>
  </w:style>
  <w:style w:type="character" w:customStyle="1" w:styleId="44">
    <w:name w:val="标题 5 Char"/>
    <w:link w:val="7"/>
    <w:qFormat/>
    <w:uiPriority w:val="0"/>
    <w:rPr>
      <w:rFonts w:ascii="Calibri" w:hAnsi="Calibri" w:eastAsia="宋体"/>
      <w:b/>
      <w:bCs/>
      <w:kern w:val="2"/>
      <w:sz w:val="28"/>
      <w:szCs w:val="28"/>
      <w:lang w:val="en-US" w:eastAsia="zh-CN" w:bidi="ar-SA"/>
    </w:rPr>
  </w:style>
  <w:style w:type="character" w:customStyle="1" w:styleId="45">
    <w:name w:val="标题 6 Char"/>
    <w:link w:val="8"/>
    <w:qFormat/>
    <w:uiPriority w:val="0"/>
    <w:rPr>
      <w:rFonts w:ascii="Cambria" w:hAnsi="Cambria" w:eastAsia="宋体"/>
      <w:b/>
      <w:bCs/>
      <w:kern w:val="2"/>
      <w:sz w:val="24"/>
      <w:szCs w:val="24"/>
      <w:lang w:val="en-US" w:eastAsia="zh-CN" w:bidi="ar-SA"/>
    </w:rPr>
  </w:style>
  <w:style w:type="character" w:customStyle="1" w:styleId="46">
    <w:name w:val="标题 7 Char"/>
    <w:link w:val="9"/>
    <w:qFormat/>
    <w:uiPriority w:val="0"/>
    <w:rPr>
      <w:rFonts w:ascii="Calibri" w:hAnsi="Calibri" w:eastAsia="宋体"/>
      <w:b/>
      <w:bCs/>
      <w:kern w:val="2"/>
      <w:sz w:val="24"/>
      <w:szCs w:val="24"/>
      <w:lang w:val="en-US" w:eastAsia="zh-CN" w:bidi="ar-SA"/>
    </w:rPr>
  </w:style>
  <w:style w:type="character" w:customStyle="1" w:styleId="47">
    <w:name w:val="标题 8 Char"/>
    <w:link w:val="10"/>
    <w:qFormat/>
    <w:uiPriority w:val="0"/>
    <w:rPr>
      <w:rFonts w:ascii="Cambria" w:hAnsi="Cambria" w:eastAsia="宋体"/>
      <w:kern w:val="2"/>
      <w:sz w:val="24"/>
      <w:szCs w:val="24"/>
      <w:lang w:val="en-US" w:eastAsia="zh-CN" w:bidi="ar-SA"/>
    </w:rPr>
  </w:style>
  <w:style w:type="character" w:customStyle="1" w:styleId="48">
    <w:name w:val="标题 9 Char"/>
    <w:link w:val="11"/>
    <w:qFormat/>
    <w:uiPriority w:val="0"/>
    <w:rPr>
      <w:rFonts w:ascii="Cambria" w:hAnsi="Cambria" w:eastAsia="宋体"/>
      <w:kern w:val="2"/>
      <w:sz w:val="21"/>
      <w:szCs w:val="21"/>
      <w:lang w:val="en-US" w:eastAsia="zh-CN" w:bidi="ar-SA"/>
    </w:rPr>
  </w:style>
  <w:style w:type="character" w:customStyle="1" w:styleId="49">
    <w:name w:val="文档结构图 Char"/>
    <w:link w:val="13"/>
    <w:qFormat/>
    <w:uiPriority w:val="0"/>
    <w:rPr>
      <w:rFonts w:ascii="宋体" w:hAnsi="Calibri" w:eastAsia="宋体"/>
      <w:kern w:val="2"/>
      <w:sz w:val="18"/>
      <w:szCs w:val="18"/>
      <w:lang w:val="en-US" w:eastAsia="zh-CN" w:bidi="ar-SA"/>
    </w:rPr>
  </w:style>
  <w:style w:type="character" w:customStyle="1" w:styleId="50">
    <w:name w:val="批注文字 Char"/>
    <w:link w:val="14"/>
    <w:qFormat/>
    <w:uiPriority w:val="0"/>
    <w:rPr>
      <w:rFonts w:eastAsia="宋体"/>
      <w:kern w:val="2"/>
      <w:sz w:val="21"/>
      <w:szCs w:val="24"/>
      <w:lang w:val="en-US" w:eastAsia="zh-CN" w:bidi="ar-SA"/>
    </w:rPr>
  </w:style>
  <w:style w:type="character" w:customStyle="1" w:styleId="51">
    <w:name w:val="正文文本缩进 Char"/>
    <w:link w:val="16"/>
    <w:qFormat/>
    <w:uiPriority w:val="0"/>
    <w:rPr>
      <w:kern w:val="2"/>
      <w:sz w:val="28"/>
    </w:rPr>
  </w:style>
  <w:style w:type="character" w:customStyle="1" w:styleId="52">
    <w:name w:val="纯文本 Char"/>
    <w:link w:val="17"/>
    <w:qFormat/>
    <w:uiPriority w:val="0"/>
    <w:rPr>
      <w:rFonts w:ascii="宋体" w:hAnsi="Courier New"/>
      <w:kern w:val="2"/>
      <w:sz w:val="21"/>
      <w:szCs w:val="21"/>
    </w:rPr>
  </w:style>
  <w:style w:type="character" w:customStyle="1" w:styleId="53">
    <w:name w:val="批注框文本 Char"/>
    <w:link w:val="20"/>
    <w:qFormat/>
    <w:uiPriority w:val="0"/>
    <w:rPr>
      <w:rFonts w:ascii="Calibri" w:hAnsi="Calibri" w:eastAsia="宋体"/>
      <w:kern w:val="2"/>
      <w:sz w:val="18"/>
      <w:szCs w:val="18"/>
      <w:lang w:val="en-US" w:eastAsia="zh-CN" w:bidi="ar-SA"/>
    </w:rPr>
  </w:style>
  <w:style w:type="character" w:customStyle="1" w:styleId="54">
    <w:name w:val="页脚 Char"/>
    <w:link w:val="21"/>
    <w:qFormat/>
    <w:uiPriority w:val="99"/>
    <w:rPr>
      <w:rFonts w:eastAsia="宋体"/>
      <w:kern w:val="2"/>
      <w:sz w:val="18"/>
      <w:lang w:val="en-US" w:eastAsia="zh-CN" w:bidi="ar-SA"/>
    </w:rPr>
  </w:style>
  <w:style w:type="character" w:customStyle="1" w:styleId="55">
    <w:name w:val="页眉 Char"/>
    <w:link w:val="22"/>
    <w:qFormat/>
    <w:uiPriority w:val="99"/>
    <w:rPr>
      <w:rFonts w:eastAsia="宋体"/>
      <w:kern w:val="2"/>
      <w:sz w:val="18"/>
      <w:lang w:val="en-US" w:eastAsia="zh-CN" w:bidi="ar-SA"/>
    </w:rPr>
  </w:style>
  <w:style w:type="character" w:customStyle="1" w:styleId="56">
    <w:name w:val="正文文本缩进 3 Char"/>
    <w:link w:val="24"/>
    <w:qFormat/>
    <w:uiPriority w:val="0"/>
    <w:rPr>
      <w:rFonts w:eastAsia="宋体"/>
      <w:kern w:val="2"/>
      <w:sz w:val="16"/>
      <w:szCs w:val="16"/>
      <w:lang w:val="en-US" w:eastAsia="zh-CN" w:bidi="ar-SA"/>
    </w:rPr>
  </w:style>
  <w:style w:type="character" w:customStyle="1" w:styleId="57">
    <w:name w:val="正文文本 2 Char"/>
    <w:link w:val="26"/>
    <w:qFormat/>
    <w:uiPriority w:val="0"/>
    <w:rPr>
      <w:rFonts w:ascii="宋体" w:hAnsi="宋体" w:eastAsia="宋体"/>
      <w:kern w:val="2"/>
      <w:sz w:val="30"/>
      <w:lang w:val="en-US" w:eastAsia="zh-CN" w:bidi="ar-SA"/>
    </w:rPr>
  </w:style>
  <w:style w:type="character" w:customStyle="1" w:styleId="58">
    <w:name w:val="批注主题 Char"/>
    <w:link w:val="29"/>
    <w:qFormat/>
    <w:uiPriority w:val="0"/>
    <w:rPr>
      <w:rFonts w:eastAsia="宋体"/>
      <w:b/>
      <w:bCs/>
      <w:kern w:val="2"/>
      <w:sz w:val="21"/>
      <w:szCs w:val="24"/>
      <w:lang w:val="en-US" w:eastAsia="zh-CN" w:bidi="ar-SA"/>
    </w:rPr>
  </w:style>
  <w:style w:type="character" w:customStyle="1" w:styleId="59">
    <w:name w:val="正文首行缩进 2 Char"/>
    <w:link w:val="31"/>
    <w:qFormat/>
    <w:uiPriority w:val="0"/>
  </w:style>
  <w:style w:type="paragraph" w:customStyle="1" w:styleId="60">
    <w:name w:val="Default"/>
    <w:qFormat/>
    <w:uiPriority w:val="0"/>
    <w:pPr>
      <w:widowControl w:val="0"/>
      <w:autoSpaceDE w:val="0"/>
      <w:autoSpaceDN w:val="0"/>
      <w:adjustRightInd w:val="0"/>
    </w:pPr>
    <w:rPr>
      <w:rFonts w:ascii="FZShuSong-Z01" w:hAnsi="Times New Roman" w:eastAsia="FZShuSong-Z01" w:cs="FZShuSong-Z01"/>
      <w:color w:val="000000"/>
      <w:sz w:val="24"/>
      <w:szCs w:val="24"/>
      <w:lang w:val="en-US" w:eastAsia="zh-CN" w:bidi="ar-SA"/>
    </w:rPr>
  </w:style>
  <w:style w:type="character" w:customStyle="1" w:styleId="61">
    <w:name w:val="p0 Char"/>
    <w:link w:val="62"/>
    <w:qFormat/>
    <w:uiPriority w:val="0"/>
    <w:rPr>
      <w:rFonts w:eastAsia="宋体"/>
      <w:kern w:val="2"/>
      <w:sz w:val="21"/>
      <w:szCs w:val="21"/>
      <w:lang w:val="en-US" w:eastAsia="zh-CN" w:bidi="ar-SA"/>
    </w:rPr>
  </w:style>
  <w:style w:type="paragraph" w:customStyle="1" w:styleId="62">
    <w:name w:val="p0"/>
    <w:basedOn w:val="1"/>
    <w:link w:val="61"/>
    <w:qFormat/>
    <w:uiPriority w:val="0"/>
    <w:pPr>
      <w:widowControl/>
    </w:pPr>
    <w:rPr>
      <w:szCs w:val="21"/>
    </w:rPr>
  </w:style>
  <w:style w:type="character" w:customStyle="1" w:styleId="63">
    <w:name w:val="CharAttribute7"/>
    <w:qFormat/>
    <w:uiPriority w:val="0"/>
    <w:rPr>
      <w:rFonts w:ascii="宋体" w:eastAsia="宋体"/>
      <w:sz w:val="18"/>
    </w:rPr>
  </w:style>
  <w:style w:type="character" w:customStyle="1" w:styleId="64">
    <w:name w:val="tpc_content"/>
    <w:qFormat/>
    <w:uiPriority w:val="0"/>
  </w:style>
  <w:style w:type="character" w:customStyle="1" w:styleId="65">
    <w:name w:val="段 Char Char"/>
    <w:link w:val="66"/>
    <w:qFormat/>
    <w:uiPriority w:val="0"/>
    <w:rPr>
      <w:rFonts w:ascii="宋体"/>
      <w:kern w:val="2"/>
      <w:sz w:val="22"/>
      <w:szCs w:val="22"/>
      <w:lang w:val="en-US" w:eastAsia="zh-CN" w:bidi="ar-SA"/>
    </w:rPr>
  </w:style>
  <w:style w:type="paragraph" w:customStyle="1" w:styleId="66">
    <w:name w:val="段"/>
    <w:link w:val="65"/>
    <w:qFormat/>
    <w:uiPriority w:val="0"/>
    <w:pPr>
      <w:autoSpaceDE w:val="0"/>
      <w:autoSpaceDN w:val="0"/>
      <w:ind w:firstLine="200" w:firstLineChars="200"/>
      <w:jc w:val="both"/>
    </w:pPr>
    <w:rPr>
      <w:rFonts w:ascii="宋体" w:hAnsi="Times New Roman" w:eastAsia="宋体" w:cs="Times New Roman"/>
      <w:kern w:val="2"/>
      <w:sz w:val="22"/>
      <w:szCs w:val="22"/>
      <w:lang w:val="en-US" w:eastAsia="zh-CN" w:bidi="ar-SA"/>
    </w:rPr>
  </w:style>
  <w:style w:type="character" w:customStyle="1" w:styleId="67">
    <w:name w:val="正文文本缩进 3 Char1"/>
    <w:qFormat/>
    <w:uiPriority w:val="0"/>
    <w:rPr>
      <w:rFonts w:eastAsia="宋体"/>
      <w:kern w:val="2"/>
      <w:sz w:val="16"/>
      <w:szCs w:val="16"/>
      <w:lang w:val="en-US" w:eastAsia="zh-CN" w:bidi="ar-SA"/>
    </w:rPr>
  </w:style>
  <w:style w:type="character" w:customStyle="1" w:styleId="68">
    <w:name w:val="CharAttribute5"/>
    <w:qFormat/>
    <w:uiPriority w:val="0"/>
    <w:rPr>
      <w:rFonts w:ascii="宋体" w:eastAsia="宋体"/>
      <w:sz w:val="24"/>
    </w:rPr>
  </w:style>
  <w:style w:type="character" w:customStyle="1" w:styleId="69">
    <w:name w:val="15"/>
    <w:qFormat/>
    <w:uiPriority w:val="0"/>
    <w:rPr>
      <w:rFonts w:ascii="Verdana" w:hAnsi="Verdana"/>
      <w:kern w:val="0"/>
      <w:sz w:val="20"/>
      <w:szCs w:val="20"/>
      <w:lang w:eastAsia="en-US"/>
    </w:rPr>
  </w:style>
  <w:style w:type="character" w:customStyle="1" w:styleId="70">
    <w:name w:val="font101"/>
    <w:qFormat/>
    <w:uiPriority w:val="0"/>
    <w:rPr>
      <w:rFonts w:hint="eastAsia" w:ascii="宋体" w:hAnsi="宋体" w:eastAsia="宋体" w:cs="宋体"/>
      <w:color w:val="000000"/>
      <w:sz w:val="20"/>
      <w:szCs w:val="20"/>
      <w:u w:val="none"/>
    </w:rPr>
  </w:style>
  <w:style w:type="character" w:customStyle="1" w:styleId="71">
    <w:name w:val="CharAttribute16"/>
    <w:qFormat/>
    <w:uiPriority w:val="0"/>
    <w:rPr>
      <w:rFonts w:ascii="华文宋体" w:eastAsia="华文宋体"/>
      <w:sz w:val="24"/>
    </w:rPr>
  </w:style>
  <w:style w:type="character" w:customStyle="1" w:styleId="72">
    <w:name w:val="二级条标题 Char Char"/>
    <w:link w:val="73"/>
    <w:qFormat/>
    <w:uiPriority w:val="99"/>
    <w:rPr>
      <w:rFonts w:eastAsia="黑体"/>
      <w:sz w:val="21"/>
    </w:rPr>
  </w:style>
  <w:style w:type="paragraph" w:customStyle="1" w:styleId="73">
    <w:name w:val="二级条标题"/>
    <w:basedOn w:val="1"/>
    <w:next w:val="1"/>
    <w:link w:val="72"/>
    <w:qFormat/>
    <w:uiPriority w:val="99"/>
    <w:pPr>
      <w:widowControl/>
      <w:tabs>
        <w:tab w:val="left" w:pos="360"/>
      </w:tabs>
      <w:jc w:val="left"/>
      <w:outlineLvl w:val="3"/>
    </w:pPr>
    <w:rPr>
      <w:rFonts w:eastAsia="黑体"/>
      <w:kern w:val="0"/>
    </w:rPr>
  </w:style>
  <w:style w:type="character" w:customStyle="1" w:styleId="74">
    <w:name w:val="CharAttribute9"/>
    <w:qFormat/>
    <w:uiPriority w:val="0"/>
    <w:rPr>
      <w:rFonts w:ascii="Times New Roman" w:eastAsia="宋体"/>
      <w:b/>
      <w:sz w:val="24"/>
    </w:rPr>
  </w:style>
  <w:style w:type="character" w:customStyle="1" w:styleId="75">
    <w:name w:val="apple-converted-space"/>
    <w:qFormat/>
    <w:uiPriority w:val="0"/>
  </w:style>
  <w:style w:type="character" w:customStyle="1" w:styleId="76">
    <w:name w:val="CharAttribute10"/>
    <w:qFormat/>
    <w:uiPriority w:val="0"/>
    <w:rPr>
      <w:rFonts w:ascii="宋体" w:eastAsia="宋体"/>
      <w:b/>
      <w:sz w:val="24"/>
    </w:rPr>
  </w:style>
  <w:style w:type="character" w:customStyle="1" w:styleId="77">
    <w:name w:val="CharAttribute14"/>
    <w:qFormat/>
    <w:uiPriority w:val="0"/>
    <w:rPr>
      <w:rFonts w:ascii="Times New Roman" w:eastAsia="宋体"/>
      <w:b/>
      <w:sz w:val="28"/>
    </w:rPr>
  </w:style>
  <w:style w:type="character" w:customStyle="1" w:styleId="78">
    <w:name w:val="font61"/>
    <w:qFormat/>
    <w:uiPriority w:val="0"/>
    <w:rPr>
      <w:rFonts w:ascii="Arial" w:hAnsi="Arial" w:cs="Arial"/>
      <w:color w:val="000000"/>
      <w:sz w:val="20"/>
      <w:szCs w:val="20"/>
      <w:u w:val="none"/>
    </w:rPr>
  </w:style>
  <w:style w:type="character" w:customStyle="1" w:styleId="79">
    <w:name w:val="段落 Char Char"/>
    <w:link w:val="80"/>
    <w:qFormat/>
    <w:uiPriority w:val="0"/>
    <w:rPr>
      <w:kern w:val="2"/>
      <w:sz w:val="24"/>
      <w:szCs w:val="24"/>
      <w:lang w:val="en-US" w:eastAsia="zh-CN" w:bidi="ar-SA"/>
    </w:rPr>
  </w:style>
  <w:style w:type="paragraph" w:customStyle="1" w:styleId="80">
    <w:name w:val="段落"/>
    <w:link w:val="79"/>
    <w:qFormat/>
    <w:uiPriority w:val="0"/>
    <w:pPr>
      <w:adjustRightInd w:val="0"/>
      <w:snapToGrid w:val="0"/>
      <w:spacing w:before="120" w:after="120"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81">
    <w:name w:val="msoins"/>
    <w:qFormat/>
    <w:uiPriority w:val="0"/>
  </w:style>
  <w:style w:type="paragraph" w:customStyle="1" w:styleId="82">
    <w:name w:val="ParaAttribute15"/>
    <w:qFormat/>
    <w:uiPriority w:val="0"/>
    <w:pPr>
      <w:widowControl w:val="0"/>
      <w:wordWrap w:val="0"/>
      <w:ind w:firstLine="600"/>
      <w:jc w:val="both"/>
    </w:pPr>
    <w:rPr>
      <w:rFonts w:ascii="Times New Roman" w:hAnsi="Times New Roman" w:eastAsia="Batang" w:cs="Times New Roman"/>
      <w:lang w:val="en-US" w:eastAsia="zh-CN" w:bidi="ar-SA"/>
    </w:rPr>
  </w:style>
  <w:style w:type="paragraph" w:customStyle="1" w:styleId="83">
    <w:name w:val="正文_15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4">
    <w:name w:val="正文_1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正文_13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6">
    <w:name w:val="正文_13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7">
    <w:name w:val="正文_12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正文_15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正文_11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正文_9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4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2">
    <w:name w:val="正文_5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4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正文_9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_1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正文_8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p17"/>
    <w:basedOn w:val="1"/>
    <w:qFormat/>
    <w:uiPriority w:val="0"/>
    <w:pPr>
      <w:widowControl/>
      <w:jc w:val="left"/>
    </w:pPr>
    <w:rPr>
      <w:kern w:val="0"/>
      <w:szCs w:val="21"/>
    </w:rPr>
  </w:style>
  <w:style w:type="paragraph" w:customStyle="1" w:styleId="98">
    <w:name w:val="正文_1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
    <w:name w:val="正文_2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0">
    <w:name w:val="正文_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
    <w:name w:val="正文_14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
    <w:name w:val="正文_8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3">
    <w:name w:val="正文_8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
    <w:name w:val="ParaAttribute12"/>
    <w:qFormat/>
    <w:uiPriority w:val="0"/>
    <w:pPr>
      <w:widowControl w:val="0"/>
      <w:wordWrap w:val="0"/>
      <w:jc w:val="both"/>
    </w:pPr>
    <w:rPr>
      <w:rFonts w:ascii="Times New Roman" w:hAnsi="Times New Roman" w:eastAsia="Batang" w:cs="Times New Roman"/>
      <w:lang w:val="en-US" w:eastAsia="zh-CN" w:bidi="ar-SA"/>
    </w:rPr>
  </w:style>
  <w:style w:type="paragraph" w:customStyle="1" w:styleId="105">
    <w:name w:val="正文_10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
    <w:name w:val="正文_1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正文_3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
    <w:name w:val="正文_16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
    <w:name w:val="正文_7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0">
    <w:name w:val="正文_3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Normal_2ae647ef-42f6-4b42-a4c3-74492aab545e"/>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12">
    <w:name w:val="正文_11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3">
    <w:name w:val="正文_13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4">
    <w:name w:val="正文_1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
    <w:name w:val="正文_13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
    <w:name w:val="List Paragraph_43f004e0-7b0d-40c0-a8fc-a93bfca0a867"/>
    <w:basedOn w:val="1"/>
    <w:qFormat/>
    <w:uiPriority w:val="34"/>
    <w:pPr>
      <w:ind w:firstLine="420" w:firstLineChars="200"/>
    </w:pPr>
  </w:style>
  <w:style w:type="paragraph" w:customStyle="1" w:styleId="117">
    <w:name w:val="_Style 116"/>
    <w:qFormat/>
    <w:uiPriority w:val="99"/>
    <w:rPr>
      <w:rFonts w:ascii="Times New Roman" w:hAnsi="Times New Roman" w:eastAsia="宋体" w:cs="Times New Roman"/>
      <w:kern w:val="2"/>
      <w:sz w:val="21"/>
      <w:lang w:val="en-US" w:eastAsia="zh-CN" w:bidi="ar-SA"/>
    </w:rPr>
  </w:style>
  <w:style w:type="paragraph" w:customStyle="1" w:styleId="118">
    <w:name w:val="正文_2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
    <w:name w:val="正文_4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
    <w:name w:val="正文_1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
    <w:name w:val="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正文_12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3">
    <w:name w:val="正文_8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4">
    <w:name w:val="正文_10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正文_9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6">
    <w:name w:val="正文_8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
    <w:name w:val="正文_1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8">
    <w:name w:val="正文_12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9">
    <w:name w:val="正文_12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0">
    <w:name w:val="正文_8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正文_14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正文_15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3">
    <w:name w:val="正文_18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4">
    <w:name w:val="正文_3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5">
    <w:name w:val="正文_3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6">
    <w:name w:val="正文_3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7">
    <w:name w:val="正文_15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8">
    <w:name w:val="正文_11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9">
    <w:name w:val="正文_7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0">
    <w:name w:val="正文_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1">
    <w:name w:val="ParaAttribute6"/>
    <w:qFormat/>
    <w:uiPriority w:val="0"/>
    <w:pPr>
      <w:widowControl w:val="0"/>
      <w:tabs>
        <w:tab w:val="left" w:pos="2160"/>
      </w:tabs>
      <w:wordWrap w:val="0"/>
      <w:ind w:left="359" w:firstLine="120"/>
      <w:jc w:val="both"/>
    </w:pPr>
    <w:rPr>
      <w:rFonts w:ascii="Times New Roman" w:hAnsi="Times New Roman" w:eastAsia="Batang" w:cs="Times New Roman"/>
      <w:lang w:val="en-US" w:eastAsia="zh-CN" w:bidi="ar-SA"/>
    </w:rPr>
  </w:style>
  <w:style w:type="paragraph" w:customStyle="1" w:styleId="142">
    <w:name w:val="正文_6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3">
    <w:name w:val="正文_13"/>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4">
    <w:name w:val="ParaAttribute17"/>
    <w:qFormat/>
    <w:uiPriority w:val="0"/>
    <w:pPr>
      <w:widowControl w:val="0"/>
      <w:wordWrap w:val="0"/>
      <w:ind w:firstLine="360"/>
      <w:jc w:val="both"/>
    </w:pPr>
    <w:rPr>
      <w:rFonts w:ascii="Times New Roman" w:hAnsi="Times New Roman" w:eastAsia="Batang" w:cs="Times New Roman"/>
      <w:lang w:val="en-US" w:eastAsia="zh-CN" w:bidi="ar-SA"/>
    </w:rPr>
  </w:style>
  <w:style w:type="paragraph" w:customStyle="1" w:styleId="145">
    <w:name w:val="正文_1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6">
    <w:name w:val="正文_5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7">
    <w:name w:val="正文_6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8">
    <w:name w:val="正文_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9">
    <w:name w:val="正文_5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0">
    <w:name w:val="Table Paragraph"/>
    <w:basedOn w:val="1"/>
    <w:qFormat/>
    <w:uiPriority w:val="1"/>
    <w:rPr>
      <w:rFonts w:ascii="宋体" w:hAnsi="宋体" w:cs="宋体"/>
      <w:lang w:val="zh-CN" w:bidi="zh-CN"/>
    </w:rPr>
  </w:style>
  <w:style w:type="paragraph" w:customStyle="1" w:styleId="151">
    <w:name w:val="ParaAttribute18"/>
    <w:qFormat/>
    <w:uiPriority w:val="0"/>
    <w:pPr>
      <w:widowControl w:val="0"/>
      <w:wordWrap w:val="0"/>
      <w:jc w:val="both"/>
    </w:pPr>
    <w:rPr>
      <w:rFonts w:ascii="Times New Roman" w:hAnsi="Times New Roman" w:eastAsia="Batang" w:cs="Times New Roman"/>
      <w:lang w:val="en-US" w:eastAsia="zh-CN" w:bidi="ar-SA"/>
    </w:rPr>
  </w:style>
  <w:style w:type="paragraph" w:customStyle="1" w:styleId="152">
    <w:name w:val="正文_7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正文_4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4">
    <w:name w:val="正文_7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5">
    <w:name w:val="正文_15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6">
    <w:name w:val="正文_11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7">
    <w:name w:val="正文_5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8">
    <w:name w:val="ParaAttribute11"/>
    <w:qFormat/>
    <w:uiPriority w:val="0"/>
    <w:pPr>
      <w:widowControl w:val="0"/>
      <w:wordWrap w:val="0"/>
      <w:spacing w:line="300" w:lineRule="exact"/>
      <w:ind w:left="352" w:hanging="352"/>
      <w:jc w:val="both"/>
    </w:pPr>
    <w:rPr>
      <w:rFonts w:ascii="Times New Roman" w:hAnsi="Times New Roman" w:eastAsia="Batang" w:cs="Times New Roman"/>
      <w:lang w:val="en-US" w:eastAsia="zh-CN" w:bidi="ar-SA"/>
    </w:rPr>
  </w:style>
  <w:style w:type="paragraph" w:customStyle="1" w:styleId="159">
    <w:name w:val="正文_7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0">
    <w:name w:val="正文_1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1">
    <w:name w:val="正文_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2">
    <w:name w:val="正文_13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3">
    <w:name w:val="正文_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4">
    <w:name w:val="正文_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5">
    <w:name w:val="ParaAttribute5"/>
    <w:qFormat/>
    <w:uiPriority w:val="0"/>
    <w:pPr>
      <w:widowControl w:val="0"/>
      <w:tabs>
        <w:tab w:val="left" w:pos="2160"/>
      </w:tabs>
      <w:wordWrap w:val="0"/>
      <w:ind w:left="359" w:hanging="120"/>
      <w:jc w:val="both"/>
    </w:pPr>
    <w:rPr>
      <w:rFonts w:ascii="Times New Roman" w:hAnsi="Times New Roman" w:eastAsia="Batang" w:cs="Times New Roman"/>
      <w:lang w:val="en-US" w:eastAsia="zh-CN" w:bidi="ar-SA"/>
    </w:rPr>
  </w:style>
  <w:style w:type="paragraph" w:customStyle="1" w:styleId="166">
    <w:name w:val="ParaAttribute16"/>
    <w:qFormat/>
    <w:uiPriority w:val="0"/>
    <w:pPr>
      <w:widowControl w:val="0"/>
      <w:wordWrap w:val="0"/>
      <w:ind w:firstLine="480"/>
      <w:jc w:val="both"/>
    </w:pPr>
    <w:rPr>
      <w:rFonts w:ascii="Times New Roman" w:hAnsi="Times New Roman" w:eastAsia="Batang" w:cs="Times New Roman"/>
      <w:lang w:val="en-US" w:eastAsia="zh-CN" w:bidi="ar-SA"/>
    </w:rPr>
  </w:style>
  <w:style w:type="paragraph" w:customStyle="1" w:styleId="167">
    <w:name w:val="正文_10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8">
    <w:name w:val="正文_5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
    <w:name w:val="正文_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0">
    <w:name w:val="正文_4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1">
    <w:name w:val="正文_4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2">
    <w:name w:val="正文_9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3">
    <w:name w:val="样式1"/>
    <w:basedOn w:val="4"/>
    <w:qFormat/>
    <w:uiPriority w:val="0"/>
    <w:pPr>
      <w:keepLines w:val="0"/>
      <w:numPr>
        <w:ilvl w:val="1"/>
        <w:numId w:val="1"/>
      </w:numPr>
      <w:spacing w:before="100" w:beforeAutospacing="1" w:after="100" w:afterAutospacing="1" w:line="240" w:lineRule="auto"/>
      <w:ind w:left="678" w:leftChars="100" w:right="100" w:rightChars="100" w:hanging="578"/>
    </w:pPr>
    <w:rPr>
      <w:rFonts w:ascii="Cambria" w:hAnsi="Cambria" w:eastAsia="宋体"/>
      <w:b w:val="0"/>
      <w:iCs/>
      <w:sz w:val="21"/>
      <w:szCs w:val="28"/>
    </w:rPr>
  </w:style>
  <w:style w:type="paragraph" w:customStyle="1" w:styleId="174">
    <w:name w:val="正文_15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5">
    <w:name w:val="正文_8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6">
    <w:name w:val="正文_1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正文_15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8">
    <w:name w:val="正文_1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9">
    <w:name w:val="正文_10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0">
    <w:name w:val="正文_2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1">
    <w:name w:val="正文_13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2">
    <w:name w:val="正文_16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3">
    <w:name w:val="正文_8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4">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5">
    <w:name w:val="ParaAttribute7"/>
    <w:qFormat/>
    <w:uiPriority w:val="0"/>
    <w:pPr>
      <w:widowControl w:val="0"/>
      <w:tabs>
        <w:tab w:val="left" w:pos="2160"/>
      </w:tabs>
      <w:wordWrap w:val="0"/>
      <w:jc w:val="both"/>
    </w:pPr>
    <w:rPr>
      <w:rFonts w:ascii="Times New Roman" w:hAnsi="Times New Roman" w:eastAsia="Batang" w:cs="Times New Roman"/>
      <w:lang w:val="en-US" w:eastAsia="zh-CN" w:bidi="ar-SA"/>
    </w:rPr>
  </w:style>
  <w:style w:type="paragraph" w:customStyle="1" w:styleId="186">
    <w:name w:val="正文_9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7">
    <w:name w:val="List Paragraph_1b9e0ced-efaf-4487-8159-5bb86babb5ac"/>
    <w:basedOn w:val="1"/>
    <w:qFormat/>
    <w:uiPriority w:val="99"/>
    <w:pPr>
      <w:ind w:firstLine="420" w:firstLineChars="200"/>
    </w:pPr>
    <w:rPr>
      <w:szCs w:val="24"/>
    </w:rPr>
  </w:style>
  <w:style w:type="paragraph" w:customStyle="1" w:styleId="188">
    <w:name w:val="p15"/>
    <w:basedOn w:val="1"/>
    <w:qFormat/>
    <w:uiPriority w:val="0"/>
    <w:pPr>
      <w:widowControl/>
    </w:pPr>
    <w:rPr>
      <w:kern w:val="0"/>
      <w:szCs w:val="21"/>
    </w:rPr>
  </w:style>
  <w:style w:type="paragraph" w:customStyle="1" w:styleId="189">
    <w:name w:val="ParaAttribute8"/>
    <w:qFormat/>
    <w:uiPriority w:val="0"/>
    <w:pPr>
      <w:widowControl w:val="0"/>
      <w:tabs>
        <w:tab w:val="left" w:pos="2160"/>
      </w:tabs>
      <w:wordWrap w:val="0"/>
      <w:ind w:left="600" w:hanging="600"/>
      <w:jc w:val="both"/>
    </w:pPr>
    <w:rPr>
      <w:rFonts w:ascii="Times New Roman" w:hAnsi="Times New Roman" w:eastAsia="Batang" w:cs="Times New Roman"/>
      <w:lang w:val="en-US" w:eastAsia="zh-CN" w:bidi="ar-SA"/>
    </w:rPr>
  </w:style>
  <w:style w:type="paragraph" w:customStyle="1" w:styleId="190">
    <w:name w:val="正文_10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1">
    <w:name w:val="正文_1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2">
    <w:name w:val="正文_2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3">
    <w:name w:val="ParaAttribute9"/>
    <w:qFormat/>
    <w:uiPriority w:val="0"/>
    <w:pPr>
      <w:widowControl w:val="0"/>
      <w:wordWrap w:val="0"/>
      <w:ind w:left="240" w:hanging="240"/>
      <w:jc w:val="both"/>
    </w:pPr>
    <w:rPr>
      <w:rFonts w:ascii="Times New Roman" w:hAnsi="Times New Roman" w:eastAsia="Batang" w:cs="Times New Roman"/>
      <w:lang w:val="en-US" w:eastAsia="zh-CN" w:bidi="ar-SA"/>
    </w:rPr>
  </w:style>
  <w:style w:type="paragraph" w:customStyle="1" w:styleId="194">
    <w:name w:val="默认段落字体 Para Char Char Char Char Char Char Char Char Char Char Char Char Char Char Char Char Char Char Char"/>
    <w:basedOn w:val="1"/>
    <w:qFormat/>
    <w:uiPriority w:val="0"/>
    <w:rPr>
      <w:rFonts w:ascii="Tahoma" w:hAnsi="Tahoma"/>
      <w:sz w:val="24"/>
    </w:rPr>
  </w:style>
  <w:style w:type="paragraph" w:customStyle="1" w:styleId="195">
    <w:name w:val="正文_6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6">
    <w:name w:val="正文_14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7">
    <w:name w:val="正文_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8">
    <w:name w:val="正文_11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9">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00">
    <w:name w:val="List Paragraph"/>
    <w:basedOn w:val="1"/>
    <w:qFormat/>
    <w:uiPriority w:val="34"/>
    <w:pPr>
      <w:ind w:firstLine="420" w:firstLineChars="200"/>
    </w:pPr>
    <w:rPr>
      <w:rFonts w:ascii="Calibri" w:hAnsi="Calibri"/>
      <w:szCs w:val="22"/>
    </w:rPr>
  </w:style>
  <w:style w:type="paragraph" w:customStyle="1" w:styleId="201">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2">
    <w:name w:val="正文_15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3">
    <w:name w:val="正文_5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4">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5">
    <w:name w:val="正文_7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6">
    <w:name w:val="正文_2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7">
    <w:name w:val="正文_7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8">
    <w:name w:val="正文_7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9">
    <w:name w:val="正文_13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0">
    <w:name w:val="正文_14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1">
    <w:name w:val="正文_8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2">
    <w:name w:val="正文_7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3">
    <w:name w:val="Char Char Char Char Char Char"/>
    <w:basedOn w:val="1"/>
    <w:qFormat/>
    <w:uiPriority w:val="0"/>
    <w:rPr>
      <w:rFonts w:ascii="仿宋_GB2312" w:eastAsia="仿宋_GB2312"/>
      <w:b/>
      <w:sz w:val="32"/>
      <w:szCs w:val="32"/>
    </w:rPr>
  </w:style>
  <w:style w:type="paragraph" w:customStyle="1" w:styleId="214">
    <w:name w:val="正文_14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5">
    <w:name w:val="正文_2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6">
    <w:name w:val="正文_5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7">
    <w:name w:val="ParaAttribute3"/>
    <w:qFormat/>
    <w:uiPriority w:val="0"/>
    <w:pPr>
      <w:widowControl w:val="0"/>
      <w:tabs>
        <w:tab w:val="left" w:pos="2160"/>
      </w:tabs>
      <w:wordWrap w:val="0"/>
      <w:ind w:left="360" w:hanging="360"/>
      <w:jc w:val="both"/>
    </w:pPr>
    <w:rPr>
      <w:rFonts w:ascii="Times New Roman" w:hAnsi="Times New Roman" w:eastAsia="Batang" w:cs="Times New Roman"/>
      <w:lang w:val="en-US" w:eastAsia="zh-CN" w:bidi="ar-SA"/>
    </w:rPr>
  </w:style>
  <w:style w:type="paragraph" w:customStyle="1" w:styleId="218">
    <w:name w:val="正文_7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9">
    <w:name w:val="正文_4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0">
    <w:name w:val="正文_6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1">
    <w:name w:val="正文_4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2">
    <w:name w:val="正文_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3">
    <w:name w:val="正文_12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4">
    <w:name w:val="正文_6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5">
    <w:name w:val="ParaAttribute14"/>
    <w:qFormat/>
    <w:uiPriority w:val="0"/>
    <w:pPr>
      <w:widowControl w:val="0"/>
      <w:wordWrap w:val="0"/>
      <w:spacing w:line="360" w:lineRule="exact"/>
      <w:ind w:firstLine="240"/>
      <w:jc w:val="both"/>
    </w:pPr>
    <w:rPr>
      <w:rFonts w:ascii="Times New Roman" w:hAnsi="Times New Roman" w:eastAsia="Batang" w:cs="Times New Roman"/>
      <w:lang w:val="en-US" w:eastAsia="zh-CN" w:bidi="ar-SA"/>
    </w:rPr>
  </w:style>
  <w:style w:type="paragraph" w:customStyle="1" w:styleId="226">
    <w:name w:val="正文_9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7">
    <w:name w:val="正文_6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8">
    <w:name w:val="ParaAttribute4"/>
    <w:qFormat/>
    <w:uiPriority w:val="0"/>
    <w:pPr>
      <w:widowControl w:val="0"/>
      <w:tabs>
        <w:tab w:val="left" w:pos="2160"/>
      </w:tabs>
      <w:wordWrap w:val="0"/>
      <w:ind w:left="839" w:hanging="600"/>
      <w:jc w:val="both"/>
    </w:pPr>
    <w:rPr>
      <w:rFonts w:ascii="Times New Roman" w:hAnsi="Times New Roman" w:eastAsia="Batang" w:cs="Times New Roman"/>
      <w:lang w:val="en-US" w:eastAsia="zh-CN" w:bidi="ar-SA"/>
    </w:rPr>
  </w:style>
  <w:style w:type="paragraph" w:customStyle="1" w:styleId="229">
    <w:name w:val="ParaAttribute10"/>
    <w:qFormat/>
    <w:uiPriority w:val="0"/>
    <w:pPr>
      <w:widowControl w:val="0"/>
      <w:wordWrap w:val="0"/>
      <w:spacing w:line="300" w:lineRule="exact"/>
      <w:ind w:left="1111" w:hanging="1080"/>
      <w:jc w:val="both"/>
    </w:pPr>
    <w:rPr>
      <w:rFonts w:ascii="Times New Roman" w:hAnsi="Times New Roman" w:eastAsia="Batang" w:cs="Times New Roman"/>
      <w:lang w:val="en-US" w:eastAsia="zh-CN" w:bidi="ar-SA"/>
    </w:rPr>
  </w:style>
  <w:style w:type="paragraph" w:customStyle="1" w:styleId="230">
    <w:name w:val="正文_16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1">
    <w:name w:val="正文_9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2">
    <w:name w:val="正文_13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3">
    <w:name w:val="正文_8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4">
    <w:name w:val="正文_4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5">
    <w:name w:val="正文_10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6">
    <w:name w:val="正文_23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7">
    <w:name w:val="正文_3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8">
    <w:name w:val="正文_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9">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0">
    <w:name w:val="正文_14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1">
    <w:name w:val="正文_11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2">
    <w:name w:val="正文_3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3">
    <w:name w:val="正文_9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4">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5">
    <w:name w:val="正文_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6">
    <w:name w:val="正文_5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7">
    <w:name w:val="WPSOffice手动目录 1"/>
    <w:qFormat/>
    <w:uiPriority w:val="0"/>
    <w:rPr>
      <w:rFonts w:ascii="Times New Roman" w:hAnsi="Times New Roman" w:eastAsia="宋体" w:cs="Times New Roman"/>
      <w:lang w:val="en-US" w:eastAsia="zh-CN" w:bidi="ar-SA"/>
    </w:rPr>
  </w:style>
  <w:style w:type="paragraph" w:customStyle="1" w:styleId="248">
    <w:name w:val="正文_13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9">
    <w:name w:val="ParaAttribute13"/>
    <w:qFormat/>
    <w:uiPriority w:val="0"/>
    <w:pPr>
      <w:widowControl w:val="0"/>
      <w:wordWrap w:val="0"/>
      <w:jc w:val="both"/>
    </w:pPr>
    <w:rPr>
      <w:rFonts w:ascii="Times New Roman" w:hAnsi="Times New Roman" w:eastAsia="Batang" w:cs="Times New Roman"/>
      <w:lang w:val="en-US" w:eastAsia="zh-CN" w:bidi="ar-SA"/>
    </w:rPr>
  </w:style>
  <w:style w:type="paragraph" w:customStyle="1" w:styleId="250">
    <w:name w:val="正文_11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1">
    <w:name w:val="正文_12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2">
    <w:name w:val="正文_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3">
    <w:name w:val="正文_14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4">
    <w:name w:val="正文_5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5">
    <w:name w:val="正文_12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7">
    <w:name w:val="正文_9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8">
    <w:name w:val="xl5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w:hAnsi="Arial" w:eastAsia="Arial Unicode MS"/>
      <w:b/>
      <w:color w:val="000000"/>
      <w:kern w:val="0"/>
      <w:sz w:val="20"/>
    </w:rPr>
  </w:style>
  <w:style w:type="paragraph" w:customStyle="1" w:styleId="259">
    <w:name w:val="正文_14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0">
    <w:name w:val="正文_14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1">
    <w:name w:val="正文_5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2">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rPr>
  </w:style>
  <w:style w:type="paragraph" w:customStyle="1" w:styleId="263">
    <w:name w:val="正文_6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4">
    <w:name w:val="正文_1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5">
    <w:name w:val="正文_6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6">
    <w:name w:val="正文_10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正文_9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8">
    <w:name w:val="正文_6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9">
    <w:name w:val="正文_10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0">
    <w:name w:val="正文_3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1">
    <w:name w:val="正文_10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2">
    <w:name w:val="正文_10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3">
    <w:name w:val="正文_11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4">
    <w:name w:val="列出段落2"/>
    <w:basedOn w:val="1"/>
    <w:qFormat/>
    <w:uiPriority w:val="34"/>
    <w:pPr>
      <w:ind w:firstLine="420" w:firstLineChars="200"/>
    </w:pPr>
    <w:rPr>
      <w:szCs w:val="24"/>
    </w:rPr>
  </w:style>
  <w:style w:type="paragraph" w:customStyle="1" w:styleId="275">
    <w:name w:val="方正正文"/>
    <w:basedOn w:val="1"/>
    <w:qFormat/>
    <w:uiPriority w:val="0"/>
    <w:pPr>
      <w:snapToGrid w:val="0"/>
      <w:spacing w:line="319" w:lineRule="auto"/>
      <w:ind w:firstLine="200" w:firstLineChars="200"/>
    </w:pPr>
    <w:rPr>
      <w:rFonts w:eastAsia="方正仿宋"/>
      <w:sz w:val="32"/>
    </w:rPr>
  </w:style>
  <w:style w:type="character" w:customStyle="1" w:styleId="276">
    <w:name w:val="font21"/>
    <w:qFormat/>
    <w:uiPriority w:val="0"/>
    <w:rPr>
      <w:rFonts w:hint="eastAsia" w:ascii="宋体" w:hAnsi="宋体" w:eastAsia="宋体" w:cs="宋体"/>
      <w:color w:val="000000"/>
      <w:sz w:val="21"/>
      <w:szCs w:val="21"/>
      <w:u w:val="none"/>
    </w:rPr>
  </w:style>
  <w:style w:type="character" w:customStyle="1" w:styleId="277">
    <w:name w:val="font41"/>
    <w:qFormat/>
    <w:uiPriority w:val="0"/>
    <w:rPr>
      <w:rFonts w:hint="eastAsia" w:ascii="宋体" w:hAnsi="宋体" w:eastAsia="宋体" w:cs="宋体"/>
      <w:color w:val="000000"/>
      <w:sz w:val="18"/>
      <w:szCs w:val="18"/>
      <w:u w:val="none"/>
      <w:vertAlign w:val="superscript"/>
    </w:rPr>
  </w:style>
  <w:style w:type="character" w:customStyle="1" w:styleId="278">
    <w:name w:val="font11"/>
    <w:qFormat/>
    <w:uiPriority w:val="0"/>
    <w:rPr>
      <w:rFonts w:hint="eastAsia" w:ascii="宋体" w:hAnsi="宋体" w:eastAsia="宋体" w:cs="宋体"/>
      <w:color w:val="000000"/>
      <w:sz w:val="18"/>
      <w:szCs w:val="18"/>
      <w:u w:val="none"/>
    </w:rPr>
  </w:style>
  <w:style w:type="character" w:customStyle="1" w:styleId="279">
    <w:name w:val="font91"/>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101</Pages>
  <Words>40926</Words>
  <Characters>43765</Characters>
  <Lines>359</Lines>
  <Paragraphs>101</Paragraphs>
  <TotalTime>2</TotalTime>
  <ScaleCrop>false</ScaleCrop>
  <LinksUpToDate>false</LinksUpToDate>
  <CharactersWithSpaces>48395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2023-03-29T07:35:00Z</dcterms:created>
  <dc:creator>Administrator</dc:creator>
  <cp:lastModifiedBy>王琼玖</cp:lastModifiedBy>
  <cp:lastPrinted>2023-03-30T06:37:00Z</cp:lastPrinted>
  <dcterms:modified xsi:type="dcterms:W3CDTF">2023-04-25T01:10:48Z</dcterms:modified>
  <dc:title>岳阳市政府采购</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D5DB62DD1BE84B3D90C77633BB3A33A4</vt:lpwstr>
  </property>
</Properties>
</file>