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wordWrap/>
        <w:overflowPunct/>
        <w:topLinePunct w:val="0"/>
        <w:bidi w:val="0"/>
        <w:spacing w:beforeLines="0" w:afterLines="0" w:line="360" w:lineRule="auto"/>
        <w:ind w:right="0" w:rightChars="0"/>
        <w:jc w:val="both"/>
        <w:rPr>
          <w:rFonts w:hint="eastAsia" w:ascii="仿宋_GB2312" w:hAnsi="仿宋_GB2312" w:eastAsia="仿宋_GB2312" w:cs="仿宋_GB2312"/>
          <w:b/>
          <w:bCs/>
          <w:color w:val="auto"/>
          <w:sz w:val="24"/>
          <w:szCs w:val="24"/>
        </w:rPr>
      </w:pPr>
      <w:bookmarkStart w:id="0" w:name="_Toc13123"/>
      <w:bookmarkStart w:id="1" w:name="_Toc11551"/>
      <w:bookmarkStart w:id="2" w:name="_Toc536194355"/>
      <w:bookmarkStart w:id="3" w:name="_Toc105062913"/>
      <w:r>
        <w:rPr>
          <w:rFonts w:hint="eastAsia" w:ascii="仿宋" w:hAnsi="仿宋" w:eastAsia="仿宋" w:cs="仿宋"/>
          <w:b/>
          <w:bCs/>
          <w:color w:val="auto"/>
          <w:sz w:val="32"/>
          <w:szCs w:val="32"/>
          <w:lang w:eastAsia="zh-CN"/>
        </w:rPr>
        <w:t>次氯酸钠发生器及投加系统</w:t>
      </w:r>
      <w:r>
        <w:rPr>
          <w:rFonts w:hint="eastAsia" w:ascii="仿宋" w:hAnsi="仿宋" w:eastAsia="仿宋" w:cs="仿宋"/>
          <w:b/>
          <w:bCs/>
          <w:color w:val="auto"/>
          <w:sz w:val="32"/>
          <w:szCs w:val="32"/>
          <w:lang w:val="en-US" w:eastAsia="zh-CN"/>
        </w:rPr>
        <w:t>技术参数</w:t>
      </w:r>
    </w:p>
    <w:p>
      <w:pPr>
        <w:pStyle w:val="2"/>
        <w:pageBreakBefore w:val="0"/>
        <w:numPr>
          <w:ilvl w:val="0"/>
          <w:numId w:val="0"/>
        </w:numPr>
        <w:kinsoku/>
        <w:wordWrap/>
        <w:overflowPunct/>
        <w:topLinePunct w:val="0"/>
        <w:bidi w:val="0"/>
        <w:spacing w:beforeLines="0" w:afterLines="0" w:line="360" w:lineRule="auto"/>
        <w:ind w:leftChars="200" w:right="0" w:rightChars="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1 </w:t>
      </w:r>
      <w:bookmarkEnd w:id="0"/>
      <w:bookmarkEnd w:id="1"/>
      <w:bookmarkEnd w:id="2"/>
      <w:r>
        <w:rPr>
          <w:rFonts w:hint="eastAsia" w:ascii="仿宋_GB2312" w:hAnsi="仿宋_GB2312" w:eastAsia="仿宋_GB2312" w:cs="仿宋_GB2312"/>
          <w:b/>
          <w:bCs/>
          <w:color w:val="auto"/>
          <w:sz w:val="24"/>
          <w:szCs w:val="24"/>
        </w:rPr>
        <w:t>项目概况</w:t>
      </w:r>
      <w:bookmarkEnd w:id="3"/>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4" w:name="_Hlk114038000"/>
      <w:r>
        <w:rPr>
          <w:rFonts w:hint="eastAsia" w:ascii="仿宋_GB2312" w:hAnsi="仿宋_GB2312" w:eastAsia="仿宋_GB2312" w:cs="仿宋_GB2312"/>
          <w:color w:val="auto"/>
          <w:sz w:val="24"/>
          <w:szCs w:val="24"/>
        </w:rPr>
        <w:t>建始县红土坪自来水厂扩建改造工程</w:t>
      </w:r>
      <w:bookmarkEnd w:id="4"/>
      <w:r>
        <w:rPr>
          <w:rFonts w:hint="eastAsia" w:ascii="仿宋_GB2312" w:hAnsi="仿宋_GB2312" w:eastAsia="仿宋_GB2312" w:cs="仿宋_GB2312"/>
          <w:color w:val="auto"/>
          <w:sz w:val="24"/>
          <w:szCs w:val="24"/>
        </w:rPr>
        <w:t>—次氯酸钠发生器系统，加氯系统采用采用次氯酸钠发生器现场制备次氯酸钠消毒溶液，并使用计量泵连续自动投加。本项目选用2套电解次氯酸钠发生器，一用一备，单套产量≥5kg/h。</w:t>
      </w:r>
    </w:p>
    <w:p>
      <w:pPr>
        <w:pStyle w:val="2"/>
        <w:pageBreakBefore w:val="0"/>
        <w:numPr>
          <w:ilvl w:val="0"/>
          <w:numId w:val="0"/>
        </w:numPr>
        <w:kinsoku/>
        <w:wordWrap/>
        <w:overflowPunct/>
        <w:topLinePunct w:val="0"/>
        <w:bidi w:val="0"/>
        <w:spacing w:beforeLines="0" w:afterLines="0" w:line="360" w:lineRule="auto"/>
        <w:ind w:leftChars="200" w:right="0" w:rightChars="0"/>
        <w:jc w:val="left"/>
        <w:rPr>
          <w:rFonts w:hint="eastAsia" w:ascii="仿宋_GB2312" w:hAnsi="仿宋_GB2312" w:eastAsia="仿宋_GB2312" w:cs="仿宋_GB2312"/>
          <w:b/>
          <w:bCs/>
          <w:color w:val="auto"/>
          <w:sz w:val="24"/>
          <w:szCs w:val="24"/>
        </w:rPr>
      </w:pPr>
      <w:bookmarkStart w:id="5" w:name="_Toc41912554"/>
      <w:bookmarkStart w:id="6" w:name="_Toc105062914"/>
      <w:r>
        <w:rPr>
          <w:rFonts w:hint="eastAsia" w:ascii="仿宋_GB2312" w:hAnsi="仿宋_GB2312" w:eastAsia="仿宋_GB2312" w:cs="仿宋_GB2312"/>
          <w:b/>
          <w:bCs/>
          <w:color w:val="auto"/>
          <w:sz w:val="24"/>
          <w:szCs w:val="24"/>
        </w:rPr>
        <w:t xml:space="preserve">2 </w:t>
      </w:r>
      <w:bookmarkEnd w:id="5"/>
      <w:r>
        <w:rPr>
          <w:rFonts w:hint="eastAsia" w:ascii="仿宋_GB2312" w:hAnsi="仿宋_GB2312" w:eastAsia="仿宋_GB2312" w:cs="仿宋_GB2312"/>
          <w:b/>
          <w:bCs/>
          <w:color w:val="auto"/>
          <w:sz w:val="24"/>
          <w:szCs w:val="24"/>
        </w:rPr>
        <w:t>供货清单及供货范围</w:t>
      </w:r>
      <w:bookmarkEnd w:id="6"/>
    </w:p>
    <w:tbl>
      <w:tblPr>
        <w:tblStyle w:val="1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146"/>
        <w:gridCol w:w="2446"/>
        <w:gridCol w:w="717"/>
        <w:gridCol w:w="717"/>
        <w:gridCol w:w="998"/>
        <w:gridCol w:w="717"/>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b/>
                <w:bCs/>
                <w:i w:val="0"/>
                <w:iCs w:val="0"/>
                <w:color w:val="000000"/>
                <w:sz w:val="24"/>
                <w:szCs w:val="24"/>
                <w:u w:val="none"/>
              </w:rPr>
            </w:pPr>
            <w:r>
              <w:rPr>
                <w:rFonts w:hint="eastAsia" w:ascii="仿宋_GB2312" w:hAnsi="仿宋_GB2312" w:eastAsia="仿宋_GB2312" w:cs="仿宋_GB2312"/>
                <w:color w:val="auto"/>
                <w:sz w:val="24"/>
                <w:szCs w:val="24"/>
              </w:rPr>
              <w:br w:type="page"/>
            </w:r>
            <w:r>
              <w:rPr>
                <w:rFonts w:hint="default" w:ascii="仿宋_GB2312" w:hAnsi="宋体" w:eastAsia="仿宋_GB2312" w:cs="仿宋_GB2312"/>
                <w:b/>
                <w:bCs/>
                <w:i w:val="0"/>
                <w:iCs w:val="0"/>
                <w:color w:val="000000"/>
                <w:kern w:val="0"/>
                <w:sz w:val="24"/>
                <w:szCs w:val="24"/>
                <w:u w:val="none"/>
                <w:lang w:val="en-US" w:eastAsia="zh-CN" w:bidi="ar"/>
              </w:rPr>
              <w:t>主要设备供货清单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设备名称</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主要技术参数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单价（元）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小计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次氯酸钠发生器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有效氯产量≥ 5kg/h，有效氯浓度：0.6%-0.8%；板式电极管状电解槽，透明可视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进口品牌电极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2.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电解电源</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高频开关电源，N=30KW，风冷，带485通讯接口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集成于发生器主机内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3.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软水泵</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离心泵，Q=1.7m</w:t>
            </w:r>
            <w:r>
              <w:rPr>
                <w:rStyle w:val="23"/>
                <w:rFonts w:hAnsi="宋体"/>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/h，H=18m，0.3kW，过流材质304不锈钢</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集成于发生器主机内，格兰富、威乐或同等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4.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盐水泵</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机械隔膜计量泵，Q=120L/h，H=35m，0.37kW，PVC泵头；含阀组、过滤器、安全阀、背压阀、脉冲阻尼器等</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集成于发生器主机内，普罗名特、米顿罗、帕斯菲达或同等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5.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电导率仪</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0-200mS/cm</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集成于发生器主机内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6.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软水器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Q=2m</w:t>
            </w:r>
            <w:r>
              <w:rPr>
                <w:rStyle w:val="23"/>
                <w:rFonts w:hAnsi="宋体"/>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/h 单阀双罐，入口水压：0.2-0.4Mpa</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阀头：FLECK、阿图祖、康科或同等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7.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软水罐</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Φ=1070 mm，1m</w:t>
            </w:r>
            <w:r>
              <w:rPr>
                <w:rStyle w:val="23"/>
                <w:rFonts w:hAnsi="宋体"/>
                <w:lang w:val="en-US" w:eastAsia="zh-CN" w:bidi="ar"/>
              </w:rPr>
              <w:t xml:space="preserve">3 </w:t>
            </w:r>
            <w:r>
              <w:rPr>
                <w:rFonts w:hint="default" w:ascii="仿宋_GB2312" w:hAnsi="宋体" w:eastAsia="仿宋_GB2312" w:cs="仿宋_GB2312"/>
                <w:i w:val="0"/>
                <w:iCs w:val="0"/>
                <w:color w:val="000000"/>
                <w:kern w:val="0"/>
                <w:sz w:val="24"/>
                <w:szCs w:val="24"/>
                <w:u w:val="none"/>
                <w:lang w:val="en-US" w:eastAsia="zh-CN" w:bidi="ar"/>
              </w:rPr>
              <w:t>，PE材质，配液位控制系统</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与软水器配套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8.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溶盐罐</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Φ=2100mm，8m</w:t>
            </w:r>
            <w:r>
              <w:rPr>
                <w:rStyle w:val="23"/>
                <w:rFonts w:hAnsi="宋体"/>
                <w:lang w:val="en-US" w:eastAsia="zh-CN" w:bidi="ar"/>
              </w:rPr>
              <w:t xml:space="preserve">3 </w:t>
            </w:r>
            <w:r>
              <w:rPr>
                <w:rFonts w:hint="default" w:ascii="仿宋_GB2312" w:hAnsi="宋体" w:eastAsia="仿宋_GB2312" w:cs="仿宋_GB2312"/>
                <w:i w:val="0"/>
                <w:iCs w:val="0"/>
                <w:color w:val="000000"/>
                <w:kern w:val="0"/>
                <w:sz w:val="24"/>
                <w:szCs w:val="24"/>
                <w:u w:val="none"/>
                <w:lang w:val="en-US" w:eastAsia="zh-CN" w:bidi="ar"/>
              </w:rPr>
              <w:t>，食品级PE</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含液位控制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9.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加盐机</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3T/h，316L不锈钢，3kW</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10.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精密过滤器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PVC外壳，内置PP过滤棉，DN25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11.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脱氢储存罐</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V=15m</w:t>
            </w:r>
            <w:r>
              <w:rPr>
                <w:rStyle w:val="23"/>
                <w:rFonts w:hAnsi="宋体"/>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，∅2580×3300mm，食品级PE</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含防爆超声波液位计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12.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排氢风机</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Q=14m</w:t>
            </w:r>
            <w:r>
              <w:rPr>
                <w:rStyle w:val="23"/>
                <w:rFonts w:hAnsi="宋体"/>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/min，全压1100Pa，0.75KW</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1用1备，含风压开关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13.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氢气探测仪</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0-100%LEL</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检测氢气浓度，报警联锁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14.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全自动酸洗装置</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酸洗箱：250L；酸洗泵：70L/min, .H=9.0m,210W</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移动小车形式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15.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加氯计量大泵</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Q=155L/h，H=7bar，P=0.37kw，PVC泵头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6用6备，普罗名特、米顿罗、SEKO或同等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16.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加氯计量小泵</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Q=80L/h，H=10bar，P=0.37kw，PVC泵头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6用，普罗名特、米顿罗、SEKO或同等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17.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电磁流量计</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DN10，一体式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上海肯特、重庆川仪、上海光华或同等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18.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加氯系统PLC柜</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碳钢喷塑，厚度2mm，西门子PLC；带通讯模块，扩展模块，含10寸液晶屏幕。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PLC采用西门子、施耐德或同等品牌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19.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加氯系统投加控制柜</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碳钢喷塑，厚度2mm</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主要电气元件采用施耐德、ABB或同等品牌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20.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加氯系统配电柜</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碳钢喷塑，厚度2mm，主要电气元件为施耐德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21.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管阀等配件</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UPVC材质，耐压：1.0-1.6MPa</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22.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电线、电缆等</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满足项目安装需要。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大写：            </w:t>
            </w:r>
            <w:bookmarkStart w:id="78" w:name="_GoBack"/>
            <w:bookmarkEnd w:id="78"/>
            <w:r>
              <w:rPr>
                <w:rFonts w:hint="eastAsia" w:ascii="宋体" w:hAnsi="宋体" w:eastAsia="宋体" w:cs="宋体"/>
                <w:i w:val="0"/>
                <w:iCs w:val="0"/>
                <w:color w:val="000000"/>
                <w:sz w:val="22"/>
                <w:szCs w:val="22"/>
                <w:u w:val="none"/>
                <w:lang w:val="en-US" w:eastAsia="zh-CN"/>
              </w:rPr>
              <w:t xml:space="preserve"> 小写：</w:t>
            </w:r>
          </w:p>
        </w:tc>
      </w:tr>
    </w:tbl>
    <w:p>
      <w:pPr>
        <w:pageBreakBefore w:val="0"/>
        <w:kinsoku/>
        <w:wordWrap/>
        <w:overflowPunct/>
        <w:topLinePunct w:val="0"/>
        <w:bidi w:val="0"/>
        <w:spacing w:line="360" w:lineRule="auto"/>
        <w:ind w:left="0" w:right="0" w:rightChars="0"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★设备品牌要求：计量泵采用</w:t>
      </w:r>
      <w:r>
        <w:rPr>
          <w:rFonts w:hint="eastAsia" w:ascii="仿宋_GB2312" w:hAnsi="仿宋_GB2312" w:eastAsia="仿宋_GB2312" w:cs="仿宋_GB2312"/>
          <w:b/>
          <w:bCs/>
          <w:color w:val="auto"/>
          <w:sz w:val="24"/>
          <w:szCs w:val="24"/>
          <w:highlight w:val="none"/>
        </w:rPr>
        <w:t>米顿罗、普罗名特、SEKO</w:t>
      </w:r>
      <w:r>
        <w:rPr>
          <w:rFonts w:hint="eastAsia" w:ascii="仿宋_GB2312" w:hAnsi="仿宋_GB2312" w:eastAsia="仿宋_GB2312" w:cs="仿宋_GB2312"/>
          <w:b/>
          <w:color w:val="auto"/>
          <w:sz w:val="24"/>
          <w:szCs w:val="24"/>
          <w:highlight w:val="none"/>
        </w:rPr>
        <w:t>或同等品牌；相关仪器仪表采用E+H、西门子、ABB或同等品牌；PLC、触摸屏、变频器采用西门子、施耐德、罗克韦尔或同等品牌；断路器、接触器、继电器采用施耐德、ABB、西门子或同等品牌。</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1）供货范围包括次氯酸钠发生器系统的全套设备及配套的管路系统（含室内投加管路，</w:t>
      </w:r>
      <w:r>
        <w:rPr>
          <w:rFonts w:hint="eastAsia" w:ascii="仿宋_GB2312" w:hAnsi="仿宋_GB2312" w:eastAsia="仿宋_GB2312" w:cs="仿宋_GB2312"/>
          <w:bCs/>
          <w:color w:val="auto"/>
          <w:sz w:val="24"/>
          <w:szCs w:val="24"/>
        </w:rPr>
        <w:t>出墙一米</w:t>
      </w:r>
      <w:r>
        <w:rPr>
          <w:rFonts w:hint="eastAsia" w:ascii="仿宋_GB2312" w:hAnsi="仿宋_GB2312" w:eastAsia="仿宋_GB2312" w:cs="仿宋_GB2312"/>
          <w:color w:val="auto"/>
          <w:sz w:val="24"/>
          <w:szCs w:val="24"/>
        </w:rPr>
        <w:t xml:space="preserve">）、配电系统、自动化系统等设计、制造、供货、现场安装、电缆接线、软件编制、试验、调试和开车等工作，以及完成本系统有关的所有其他工作。 </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 xml:space="preserve">必须提供详细供货清单，清单中依次说明型号、数量、生产厂家等内容。 </w:t>
      </w:r>
    </w:p>
    <w:p>
      <w:pPr>
        <w:pStyle w:val="11"/>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bCs/>
          <w:color w:val="auto"/>
          <w:sz w:val="24"/>
          <w:szCs w:val="24"/>
        </w:rPr>
        <w:t>货物采购清单仅为</w:t>
      </w:r>
      <w:r>
        <w:rPr>
          <w:rFonts w:hint="eastAsia" w:ascii="仿宋_GB2312" w:hAnsi="仿宋_GB2312" w:eastAsia="仿宋_GB2312" w:cs="仿宋_GB2312"/>
          <w:bCs/>
          <w:color w:val="auto"/>
          <w:sz w:val="24"/>
          <w:szCs w:val="24"/>
          <w:lang w:eastAsia="zh-CN"/>
        </w:rPr>
        <w:t>采购</w:t>
      </w:r>
      <w:r>
        <w:rPr>
          <w:rFonts w:hint="eastAsia" w:ascii="仿宋_GB2312" w:hAnsi="仿宋_GB2312" w:eastAsia="仿宋_GB2312" w:cs="仿宋_GB2312"/>
          <w:bCs/>
          <w:color w:val="auto"/>
          <w:sz w:val="24"/>
          <w:szCs w:val="24"/>
        </w:rPr>
        <w:t>人要求的最低需求，</w:t>
      </w:r>
      <w:r>
        <w:rPr>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必须遵照本文件要求提供加氯加药系统必须的所有设备及其配件、管线、软件等，而不论</w:t>
      </w:r>
      <w:r>
        <w:rPr>
          <w:rFonts w:hint="eastAsia" w:ascii="仿宋_GB2312" w:hAnsi="仿宋_GB2312" w:eastAsia="仿宋_GB2312" w:cs="仿宋_GB2312"/>
          <w:color w:val="auto"/>
          <w:sz w:val="24"/>
          <w:szCs w:val="24"/>
        </w:rPr>
        <w:t>加单元、系统控制柜、酸洗系统及配套的管路系统、配电系统、自动化系统等设计、制造、供货、现场安装、电缆接线、软件编制、试验、调试和开车等工作，以及完</w:t>
      </w:r>
      <w:r>
        <w:rPr>
          <w:rFonts w:hint="eastAsia" w:ascii="仿宋_GB2312" w:hAnsi="仿宋_GB2312" w:eastAsia="仿宋_GB2312" w:cs="仿宋_GB2312"/>
          <w:bCs/>
          <w:color w:val="auto"/>
          <w:sz w:val="24"/>
          <w:szCs w:val="24"/>
        </w:rPr>
        <w:t>这些设备及其配件、管线、软件等在</w:t>
      </w:r>
      <w:r>
        <w:rPr>
          <w:rFonts w:hint="eastAsia" w:ascii="仿宋_GB2312" w:hAnsi="仿宋_GB2312" w:eastAsia="仿宋_GB2312" w:cs="仿宋_GB2312"/>
          <w:bCs/>
          <w:color w:val="auto"/>
          <w:sz w:val="24"/>
          <w:szCs w:val="24"/>
          <w:lang w:eastAsia="zh-CN"/>
        </w:rPr>
        <w:t>采购</w:t>
      </w:r>
      <w:r>
        <w:rPr>
          <w:rFonts w:hint="eastAsia" w:ascii="仿宋_GB2312" w:hAnsi="仿宋_GB2312" w:eastAsia="仿宋_GB2312" w:cs="仿宋_GB2312"/>
          <w:bCs/>
          <w:color w:val="auto"/>
          <w:sz w:val="24"/>
          <w:szCs w:val="24"/>
        </w:rPr>
        <w:t>文件中是否详细列出。</w:t>
      </w:r>
    </w:p>
    <w:p>
      <w:pPr>
        <w:pStyle w:val="2"/>
        <w:pageBreakBefore w:val="0"/>
        <w:numPr>
          <w:ilvl w:val="0"/>
          <w:numId w:val="0"/>
        </w:numPr>
        <w:kinsoku/>
        <w:wordWrap/>
        <w:overflowPunct/>
        <w:topLinePunct w:val="0"/>
        <w:bidi w:val="0"/>
        <w:spacing w:beforeLines="0" w:afterLines="0" w:line="360" w:lineRule="auto"/>
        <w:ind w:leftChars="200" w:right="0" w:rightChars="0"/>
        <w:jc w:val="left"/>
        <w:rPr>
          <w:rFonts w:hint="eastAsia" w:ascii="仿宋_GB2312" w:hAnsi="仿宋_GB2312" w:eastAsia="仿宋_GB2312" w:cs="仿宋_GB2312"/>
          <w:b/>
          <w:bCs/>
          <w:color w:val="auto"/>
          <w:sz w:val="24"/>
          <w:szCs w:val="24"/>
        </w:rPr>
      </w:pPr>
      <w:bookmarkStart w:id="7" w:name="_Toc105062915"/>
      <w:bookmarkStart w:id="8" w:name="_Toc11119"/>
      <w:bookmarkStart w:id="9" w:name="_Toc536194357"/>
      <w:bookmarkStart w:id="10" w:name="_Toc17997"/>
      <w:r>
        <w:rPr>
          <w:rFonts w:hint="eastAsia" w:ascii="仿宋_GB2312" w:hAnsi="仿宋_GB2312" w:eastAsia="仿宋_GB2312" w:cs="仿宋_GB2312"/>
          <w:b/>
          <w:bCs/>
          <w:color w:val="auto"/>
          <w:sz w:val="24"/>
          <w:szCs w:val="24"/>
        </w:rPr>
        <w:t>3 总体要求</w:t>
      </w:r>
      <w:bookmarkEnd w:id="7"/>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提供的加氯设备及加药必须为同一制造商生产、为全新的、先进的、成熟的、完整的和安全可靠的，且设备的技术经济性能符合要求。</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2）加氯间内设氢气报警器，一旦发生氢气聚集浓度超过设定值，制备系统应立刻停止工作，并强制排风。</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3）加氯系统的品牌应是在同类型水厂中被广泛使用的品牌，具有较长历史的制造、供货和售后服务及零配件供应的制造商。</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4）系统中的关键设备，包括次氯酸钠发生器主机等必须由承包商和供货商配套供货，以保证系统的完整性和有效性。承包商对投加系统及设备的完整性和有效性负有不可推卸的责任。</w:t>
      </w:r>
    </w:p>
    <w:p>
      <w:pPr>
        <w:pageBreakBefore w:val="0"/>
        <w:kinsoku/>
        <w:wordWrap/>
        <w:overflowPunct/>
        <w:topLinePunct w:val="0"/>
        <w:bidi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★5）加氯系统制造商应具有省级以上卫生部门许可，</w:t>
      </w:r>
      <w:r>
        <w:rPr>
          <w:rFonts w:hint="eastAsia" w:ascii="仿宋_GB2312" w:hAnsi="仿宋_GB2312" w:eastAsia="仿宋_GB2312" w:cs="仿宋_GB2312"/>
          <w:b/>
          <w:color w:val="auto"/>
          <w:sz w:val="24"/>
          <w:szCs w:val="24"/>
          <w:lang w:eastAsia="zh-CN"/>
        </w:rPr>
        <w:t>磋商响应</w:t>
      </w:r>
      <w:r>
        <w:rPr>
          <w:rFonts w:hint="eastAsia" w:ascii="仿宋_GB2312" w:hAnsi="仿宋_GB2312" w:eastAsia="仿宋_GB2312" w:cs="仿宋_GB2312"/>
          <w:b/>
          <w:color w:val="auto"/>
          <w:sz w:val="24"/>
          <w:szCs w:val="24"/>
        </w:rPr>
        <w:t>时必须提供消毒产品生产企业卫生许可证。</w:t>
      </w:r>
    </w:p>
    <w:p>
      <w:pPr>
        <w:pageBreakBefore w:val="0"/>
        <w:kinsoku/>
        <w:wordWrap/>
        <w:overflowPunct/>
        <w:topLinePunct w:val="0"/>
        <w:bidi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6）</w:t>
      </w:r>
      <w:r>
        <w:rPr>
          <w:rFonts w:hint="eastAsia" w:ascii="仿宋_GB2312" w:hAnsi="仿宋_GB2312" w:eastAsia="仿宋_GB2312" w:cs="仿宋_GB2312"/>
          <w:b/>
          <w:color w:val="auto"/>
          <w:sz w:val="24"/>
          <w:szCs w:val="24"/>
          <w:lang w:eastAsia="zh-CN"/>
        </w:rPr>
        <w:t>供应商</w:t>
      </w:r>
      <w:r>
        <w:rPr>
          <w:rFonts w:hint="eastAsia" w:ascii="仿宋_GB2312" w:hAnsi="仿宋_GB2312" w:eastAsia="仿宋_GB2312" w:cs="仿宋_GB2312"/>
          <w:b/>
          <w:color w:val="auto"/>
          <w:sz w:val="24"/>
          <w:szCs w:val="24"/>
        </w:rPr>
        <w:t>必须提供</w:t>
      </w:r>
      <w:r>
        <w:rPr>
          <w:rFonts w:hint="eastAsia" w:ascii="仿宋_GB2312" w:hAnsi="仿宋_GB2312" w:eastAsia="仿宋_GB2312" w:cs="仿宋_GB2312"/>
          <w:b/>
          <w:color w:val="auto"/>
          <w:sz w:val="24"/>
          <w:szCs w:val="24"/>
          <w:lang w:eastAsia="zh-CN"/>
        </w:rPr>
        <w:t>磋商响应</w:t>
      </w:r>
      <w:r>
        <w:rPr>
          <w:rFonts w:hint="eastAsia" w:ascii="仿宋_GB2312" w:hAnsi="仿宋_GB2312" w:eastAsia="仿宋_GB2312" w:cs="仿宋_GB2312"/>
          <w:b/>
          <w:color w:val="auto"/>
          <w:sz w:val="24"/>
          <w:szCs w:val="24"/>
        </w:rPr>
        <w:t>次氯酸钠发生器的涉及饮用水卫生安全产品卫生许可批件。</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7</w:t>
      </w:r>
      <w:r>
        <w:rPr>
          <w:rFonts w:hint="eastAsia" w:ascii="仿宋_GB2312" w:hAnsi="仿宋_GB2312" w:eastAsia="仿宋_GB2312" w:cs="仿宋_GB2312"/>
          <w:bCs/>
          <w:color w:val="auto"/>
          <w:sz w:val="24"/>
          <w:szCs w:val="24"/>
        </w:rPr>
        <w:t>）提供本节描述的加氯加药系统的PID图及所有安装图。</w:t>
      </w:r>
    </w:p>
    <w:p>
      <w:pPr>
        <w:pStyle w:val="2"/>
        <w:pageBreakBefore w:val="0"/>
        <w:numPr>
          <w:ilvl w:val="0"/>
          <w:numId w:val="0"/>
        </w:numPr>
        <w:kinsoku/>
        <w:wordWrap/>
        <w:overflowPunct/>
        <w:topLinePunct w:val="0"/>
        <w:bidi w:val="0"/>
        <w:spacing w:beforeLines="0" w:afterLines="0" w:line="360" w:lineRule="auto"/>
        <w:ind w:leftChars="200" w:right="0" w:rightChars="0"/>
        <w:jc w:val="left"/>
        <w:rPr>
          <w:rFonts w:hint="eastAsia" w:ascii="仿宋_GB2312" w:hAnsi="仿宋_GB2312" w:eastAsia="仿宋_GB2312" w:cs="仿宋_GB2312"/>
          <w:b/>
          <w:bCs/>
          <w:color w:val="auto"/>
          <w:sz w:val="24"/>
          <w:szCs w:val="24"/>
        </w:rPr>
      </w:pPr>
      <w:bookmarkStart w:id="11" w:name="_Toc105062916"/>
      <w:r>
        <w:rPr>
          <w:rFonts w:hint="eastAsia" w:ascii="仿宋_GB2312" w:hAnsi="仿宋_GB2312" w:eastAsia="仿宋_GB2312" w:cs="仿宋_GB2312"/>
          <w:b/>
          <w:bCs/>
          <w:color w:val="auto"/>
          <w:sz w:val="24"/>
          <w:szCs w:val="24"/>
        </w:rPr>
        <w:t>4 参考标准</w:t>
      </w:r>
      <w:bookmarkEnd w:id="11"/>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除非有其它规定，消毒设备应符合有关国际、中国和其他国家标准，参考标准如下：</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（1）《生活饮用水卫生标准》（GB5749-2006）；</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w:t>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zh-CN"/>
        </w:rPr>
        <w:t>）《</w:t>
      </w:r>
      <w:r>
        <w:rPr>
          <w:rFonts w:hint="eastAsia" w:ascii="仿宋_GB2312" w:hAnsi="仿宋_GB2312" w:eastAsia="仿宋_GB2312" w:cs="仿宋_GB2312"/>
          <w:color w:val="auto"/>
          <w:sz w:val="24"/>
          <w:szCs w:val="24"/>
        </w:rPr>
        <w:t>次氯酸钠发生器卫生标准</w:t>
      </w:r>
      <w:r>
        <w:rPr>
          <w:rFonts w:hint="eastAsia" w:ascii="仿宋_GB2312" w:hAnsi="仿宋_GB2312" w:eastAsia="仿宋_GB2312" w:cs="仿宋_GB2312"/>
          <w:color w:val="auto"/>
          <w:sz w:val="24"/>
          <w:szCs w:val="24"/>
          <w:lang w:val="zh-CN"/>
        </w:rPr>
        <w:t>》</w:t>
      </w:r>
      <w:r>
        <w:rPr>
          <w:rFonts w:hint="eastAsia" w:ascii="仿宋_GB2312" w:hAnsi="仿宋_GB2312" w:eastAsia="仿宋_GB2312" w:cs="仿宋_GB2312"/>
          <w:color w:val="auto"/>
          <w:sz w:val="24"/>
          <w:szCs w:val="24"/>
        </w:rPr>
        <w:t>（GB28233-2020）；</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（3）《环境保护产品技术要求 电解法次氯酸钠发生器》HJ/T258-2006</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（4）《室外给水设计规范》（GB50013-2006）；</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（5）《室外排水设计规范》（GB50014-2006）；</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（6）《食品安全国家标准 食用盐》（GB 2721-2015）</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（7）建设单位提供的有关资料和要求；</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（8）国内外同类工程项目经验。</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（9）设备所配电动机应满足GB18613《电动机能效限定值及能效等级》要求。</w:t>
      </w:r>
    </w:p>
    <w:p>
      <w:pPr>
        <w:pStyle w:val="2"/>
        <w:pageBreakBefore w:val="0"/>
        <w:numPr>
          <w:ilvl w:val="0"/>
          <w:numId w:val="0"/>
        </w:numPr>
        <w:kinsoku/>
        <w:wordWrap/>
        <w:overflowPunct/>
        <w:topLinePunct w:val="0"/>
        <w:bidi w:val="0"/>
        <w:spacing w:beforeLines="0" w:afterLines="0" w:line="360" w:lineRule="auto"/>
        <w:ind w:leftChars="200" w:right="0" w:rightChars="0"/>
        <w:jc w:val="left"/>
        <w:rPr>
          <w:rFonts w:hint="eastAsia" w:ascii="仿宋_GB2312" w:hAnsi="仿宋_GB2312" w:eastAsia="仿宋_GB2312" w:cs="仿宋_GB2312"/>
          <w:b/>
          <w:bCs/>
          <w:color w:val="auto"/>
          <w:sz w:val="24"/>
          <w:szCs w:val="24"/>
        </w:rPr>
      </w:pPr>
      <w:bookmarkStart w:id="12" w:name="_Toc105062917"/>
      <w:r>
        <w:rPr>
          <w:rFonts w:hint="eastAsia" w:ascii="仿宋_GB2312" w:hAnsi="仿宋_GB2312" w:eastAsia="仿宋_GB2312" w:cs="仿宋_GB2312"/>
          <w:b/>
          <w:bCs/>
          <w:color w:val="auto"/>
          <w:sz w:val="24"/>
          <w:szCs w:val="24"/>
        </w:rPr>
        <w:t>5 次氯酸钠发生系统技术要求</w:t>
      </w:r>
      <w:bookmarkEnd w:id="8"/>
      <w:bookmarkEnd w:id="9"/>
      <w:bookmarkEnd w:id="10"/>
      <w:bookmarkEnd w:id="12"/>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13" w:name="_Toc483130584"/>
      <w:bookmarkStart w:id="14" w:name="_Toc105062918"/>
      <w:bookmarkStart w:id="15" w:name="_Toc529784540"/>
      <w:r>
        <w:rPr>
          <w:rFonts w:hint="eastAsia" w:ascii="仿宋_GB2312" w:hAnsi="仿宋_GB2312" w:eastAsia="仿宋_GB2312" w:cs="仿宋_GB2312"/>
          <w:color w:val="auto"/>
          <w:sz w:val="24"/>
          <w:szCs w:val="24"/>
        </w:rPr>
        <w:t>5.1 整体设计参数和运行方式</w:t>
      </w:r>
      <w:bookmarkEnd w:id="13"/>
      <w:bookmarkEnd w:id="14"/>
      <w:bookmarkEnd w:id="15"/>
    </w:p>
    <w:p>
      <w:pPr>
        <w:pageBreakBefore w:val="0"/>
        <w:tabs>
          <w:tab w:val="left" w:pos="915"/>
        </w:tabs>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次氯酸钠系统应包含次氯酸钠制备、投加及储存排氢三部分组成，</w:t>
      </w:r>
      <w:r>
        <w:rPr>
          <w:rFonts w:hint="eastAsia" w:ascii="仿宋_GB2312" w:hAnsi="仿宋_GB2312" w:eastAsia="仿宋_GB2312" w:cs="仿宋_GB2312"/>
          <w:bCs/>
          <w:color w:val="auto"/>
          <w:sz w:val="24"/>
          <w:szCs w:val="24"/>
        </w:rPr>
        <w:t>必须按系统集成供货，现场只允许进行系统与系统组装。成套系统由以下部分组成（不限于此）：电解主机、整流器、软水系统、溶盐系统、冷却系统、储存排氢系统、酸洗系统、投加系统、配电控制系统、电缆、管件辅材等以及所需的备件。</w:t>
      </w:r>
    </w:p>
    <w:p>
      <w:pPr>
        <w:pageBreakBefore w:val="0"/>
        <w:tabs>
          <w:tab w:val="left" w:pos="915"/>
        </w:tabs>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次氯酸钠发生器及投加系统</w:t>
      </w:r>
      <w:r>
        <w:rPr>
          <w:rFonts w:hint="eastAsia" w:ascii="仿宋_GB2312" w:hAnsi="仿宋_GB2312" w:eastAsia="仿宋_GB2312" w:cs="仿宋_GB2312"/>
          <w:color w:val="auto"/>
          <w:sz w:val="24"/>
          <w:szCs w:val="24"/>
        </w:rPr>
        <w:t>主要由计量泵，安全阀、背压阀、脉动阻尼器、安装支架等组成，由计量泵供应商配套供应。供应商提供的计量泵应为成套装置，须配备有效和安全运行所必需的附件，且应符合一般技术规定的要求，包括但不限于下表设施。</w:t>
      </w:r>
      <w:r>
        <w:rPr>
          <w:rFonts w:hint="eastAsia" w:ascii="仿宋_GB2312" w:hAnsi="仿宋_GB2312" w:eastAsia="仿宋_GB2312" w:cs="仿宋_GB2312"/>
          <w:bCs/>
          <w:color w:val="auto"/>
          <w:sz w:val="24"/>
          <w:szCs w:val="24"/>
        </w:rPr>
        <w:t>投加方式必须为自动连续投加。</w:t>
      </w:r>
    </w:p>
    <w:p>
      <w:pPr>
        <w:pageBreakBefore w:val="0"/>
        <w:tabs>
          <w:tab w:val="left" w:pos="915"/>
        </w:tabs>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运行条件：</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（1）环境条件：室内通风良好，具备给排水设施，冬季室内温度不低于0℃，原料储存环境温度不低于0℃。</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（2）电源条件：380/220VAC（三相五线制）现场提供电源必须有可靠的安全接地线。</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（3）动力水源：设备间应备有清洁稳定动力水源，压力0.2-0.4MPa，流量＞2m³/h。</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（4）原料标准：饮用水用盐应符合食用盐GB2721-2015标准，不含碘；或者食用盐GB/T 5461-2016标准，不含碘。非饮用水用盐应符合工业盐GB/T 5462-2015标准，不含碘。</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（5）安装条件：大型储罐有基础，表面做防腐处理，房间封顶前，所有原料储罐及大型设备需提前就位，或者门的宽度允许设备通过。</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16" w:name="_Toc105062919"/>
      <w:r>
        <w:rPr>
          <w:rFonts w:hint="eastAsia" w:ascii="仿宋_GB2312" w:hAnsi="仿宋_GB2312" w:eastAsia="仿宋_GB2312" w:cs="仿宋_GB2312"/>
          <w:color w:val="auto"/>
          <w:sz w:val="24"/>
          <w:szCs w:val="24"/>
        </w:rPr>
        <w:t>5.2 次氯酸钠发生器</w:t>
      </w:r>
      <w:bookmarkEnd w:id="16"/>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★本发生器主机为国内知名品牌产品，知名品牌进口品牌电解电极。</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设计参数：</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数量：2组（1用1备）</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单套有效氯产量：≥5kg/h</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次氯酸钠浓度：6000-8000ppm（即6-8g/L）</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盐耗：≤3.5kg/ kg•Cl2</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电耗：≤4.5kWh/ kg•Cl2</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电解液出口温度：≤45℃，确保发生器运行稳定。</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阳极材质：采用纯钛作为基材制作；阳极表面涂钌、铱贵金属涂层。</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阴极材质：纯钛</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酸洗间隔时间：累积工作时间超过4000小时。</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次氯酸钠发生器主体设备应为一体化集成设备。</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氯化钠在溶盐池溶解成饱和溶液后直接由盐水泵送入次氯酸钠发生器主机，经与软水泵输送的软化水在线稀释后直接输送至电解槽电解，电解产生次氯酸钠溶液进入次氯酸钠储存罐，再根据需要启动投加泵加入各加药点。                    </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（1）电解槽槽体应避免结构的开裂和渗漏。设备应考虑便于操作及维护，电解槽内部与次氯酸钠液体接触部分应采用相应耐腐蚀材料。</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（2）次氯酸钠发生器选用电极应具有不易结垢，使用寿命长的特点。</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（3）电解槽的进、出口端均应设有等电位接地，使电解液的进、出口在同一电位下运行，保障整个系统的管路元器件（含泵、阀、仪器仪表等）不受杂散电流的电腐蚀。</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（4）次氯酸钠发生器选用的电极，其结构上应保证使电解过程中产生的氢气易于排出。</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★（5）电解管采用管式双极性电极，电解管采用抗腐蚀透明有机玻璃或透明PVC材质。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（6）阳极材质：采用纯钛作为基材制作；阳极表面涂稀土金属氧化物涂层；阴极材质：纯钛。</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（7）电极：电极为板式形状，厚度不小于1mm。阳极和阴极间距小于等于1.5mm，阳极寿命≥5年。使用精制无碘食用盐（符合GB/2721-2015标准）、最佳水温10-25℃。</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（8）密封：密封采用氟橡胶材质O型圈。</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（9）金属零件：槽内所有紧固件为钛材质。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（10）电解槽应横向放置，不得纵向放置。电解槽每级应设挡板，并使用O型圈与电解管内部密封；电解槽出水应设置温度传感器。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）电解槽之间及电解槽与电解电源（或称整流器）之间使用优质电解铜连接；</w:t>
      </w:r>
      <w:r>
        <w:rPr>
          <w:rFonts w:hint="eastAsia" w:ascii="仿宋_GB2312" w:hAnsi="仿宋_GB2312" w:eastAsia="仿宋_GB2312" w:cs="仿宋_GB2312"/>
          <w:b/>
          <w:bCs/>
          <w:color w:val="auto"/>
          <w:sz w:val="24"/>
          <w:szCs w:val="24"/>
        </w:rPr>
        <w:t>次氯酸钠发生器含稀盐水在线制备系统，无需另外配置，稀盐水在线制备系统包括软水泵、盐水泵、电导率仪及手动流量控制阀门等。</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17" w:name="_Toc105062920"/>
      <w:r>
        <w:rPr>
          <w:rFonts w:hint="eastAsia" w:ascii="仿宋_GB2312" w:hAnsi="仿宋_GB2312" w:eastAsia="仿宋_GB2312" w:cs="仿宋_GB2312"/>
          <w:color w:val="auto"/>
          <w:sz w:val="24"/>
          <w:szCs w:val="24"/>
        </w:rPr>
        <w:t>5.3 电解电源</w:t>
      </w:r>
      <w:bookmarkEnd w:id="17"/>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电解电源的作用在于将交流电源整流成的稳定可靠的直流电源，并持续不断地输送给电解槽。</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结构：电机电源的冷却方式采用风冷。控制回路由一套全数字、智能化整流控制单元构成。壳体为碳钢，表面喷塑。</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电解电源安装于次氯酸钠发生器主机内部，四角应设有安装孔，各种穿入柜内的管线具有良好的密封性。</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输入过压、欠压、缺相保护，输出过压、过流、短路、整机过热保护；</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100%负载，输出稳流值：10%~100%连续可调节，电流偏差＜1%，电流效率≥90%；</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工作温度：（-20～50）℃；</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相对湿度：90%（40±2℃）；</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防护等级：NEMA12（IP52）外壳防腐、防潮、防尘等三防处理。</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功率：</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kw</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直电流：75V，400A</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冷却方式：风冷</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运行环境温度：（10~45）℃。</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18" w:name="_Toc105062921"/>
      <w:r>
        <w:rPr>
          <w:rFonts w:hint="eastAsia" w:ascii="仿宋_GB2312" w:hAnsi="仿宋_GB2312" w:eastAsia="仿宋_GB2312" w:cs="仿宋_GB2312"/>
          <w:color w:val="auto"/>
          <w:sz w:val="24"/>
          <w:szCs w:val="24"/>
        </w:rPr>
        <w:t>5.4 稀盐水配比及输送装置单元</w:t>
      </w:r>
      <w:bookmarkEnd w:id="18"/>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本项目采用在线配比3%稀盐水方式制备电解液，不得采用预制3%稀盐水的方式制备电解液。</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在线配比单元集成于发生器主机内，软水输送泵和饱和盐水计量泵将定量的软化水和饱和盐水打入管道在线混合，经混合配比均匀之后，直接送入电解槽进行电解。</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软水泵：Q=1.7m</w:t>
      </w:r>
      <w:r>
        <w:rPr>
          <w:rFonts w:hint="eastAsia" w:ascii="仿宋_GB2312" w:hAnsi="仿宋_GB2312" w:eastAsia="仿宋_GB2312" w:cs="仿宋_GB2312"/>
          <w:color w:val="auto"/>
          <w:sz w:val="24"/>
          <w:szCs w:val="24"/>
          <w:highlight w:val="none"/>
          <w:vertAlign w:val="superscript"/>
        </w:rPr>
        <w:t>3</w:t>
      </w:r>
      <w:r>
        <w:rPr>
          <w:rFonts w:hint="eastAsia" w:ascii="仿宋_GB2312" w:hAnsi="仿宋_GB2312" w:eastAsia="仿宋_GB2312" w:cs="仿宋_GB2312"/>
          <w:color w:val="auto"/>
          <w:sz w:val="24"/>
          <w:szCs w:val="24"/>
          <w:highlight w:val="none"/>
        </w:rPr>
        <w:t>/h，H=17m，0.3kw，过流材质304不锈钢。</w:t>
      </w:r>
      <w:r>
        <w:rPr>
          <w:rFonts w:hint="eastAsia" w:ascii="仿宋_GB2312" w:hAnsi="仿宋_GB2312" w:eastAsia="仿宋_GB2312" w:cs="仿宋_GB2312"/>
          <w:b/>
          <w:color w:val="auto"/>
          <w:sz w:val="24"/>
          <w:szCs w:val="24"/>
          <w:highlight w:val="none"/>
        </w:rPr>
        <w:t>采用离心泵，过流材质不锈钢</w:t>
      </w:r>
      <w:r>
        <w:rPr>
          <w:rFonts w:hint="eastAsia" w:ascii="仿宋_GB2312" w:hAnsi="仿宋_GB2312" w:eastAsia="仿宋_GB2312" w:cs="仿宋_GB2312"/>
          <w:b/>
          <w:bCs/>
          <w:color w:val="auto"/>
          <w:sz w:val="24"/>
          <w:szCs w:val="24"/>
          <w:highlight w:val="none"/>
        </w:rPr>
        <w:t>，采用进口品牌</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盐水泵：Q=120L/h，H=35m，0.37kW，PVC泵头，含阀组、过滤器、安全阀、背压阀、脉冲阻尼器等。</w:t>
      </w:r>
      <w:r>
        <w:rPr>
          <w:rFonts w:hint="eastAsia" w:ascii="仿宋_GB2312" w:hAnsi="仿宋_GB2312" w:eastAsia="仿宋_GB2312" w:cs="仿宋_GB2312"/>
          <w:b/>
          <w:color w:val="auto"/>
          <w:sz w:val="24"/>
          <w:szCs w:val="24"/>
          <w:highlight w:val="none"/>
        </w:rPr>
        <w:t>采用机械隔膜计量泵，过流材质不锈钢</w:t>
      </w:r>
      <w:r>
        <w:rPr>
          <w:rFonts w:hint="eastAsia" w:ascii="仿宋_GB2312" w:hAnsi="仿宋_GB2312" w:eastAsia="仿宋_GB2312" w:cs="仿宋_GB2312"/>
          <w:b/>
          <w:bCs/>
          <w:color w:val="auto"/>
          <w:sz w:val="24"/>
          <w:szCs w:val="24"/>
          <w:highlight w:val="none"/>
        </w:rPr>
        <w:t>，采用进口品牌，参考普罗名特、米顿罗、SEKO或同等。</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电导率仪：0-200mS/cm，分辨率和精度0.</w:t>
      </w:r>
      <w:r>
        <w:rPr>
          <w:rFonts w:hint="eastAsia" w:ascii="仿宋_GB2312" w:hAnsi="仿宋_GB2312" w:eastAsia="仿宋_GB2312" w:cs="仿宋_GB2312"/>
          <w:color w:val="auto"/>
          <w:sz w:val="24"/>
          <w:szCs w:val="24"/>
        </w:rPr>
        <w:t>1&amp;土0.5</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19" w:name="_Toc105062922"/>
      <w:r>
        <w:rPr>
          <w:rFonts w:hint="eastAsia" w:ascii="仿宋_GB2312" w:hAnsi="仿宋_GB2312" w:eastAsia="仿宋_GB2312" w:cs="仿宋_GB2312"/>
          <w:color w:val="auto"/>
          <w:sz w:val="24"/>
          <w:szCs w:val="24"/>
        </w:rPr>
        <w:t>5.5 软化系统</w:t>
      </w:r>
      <w:bookmarkEnd w:id="19"/>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水器内置食品级置换软化树脂，可置换掉进入树脂罐内自来水中的钙、镁硬度，为整个系统的运行提供软水。采用多路控制阀技术，配套树脂罐、置换盐箱、管道构成全自动软化水机组。机组可全自动实现运行，反洗，再生。罐体为玻璃钢，含全自动优质多路控制阀、C100E食品级离子交换树脂。</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树脂罐材质：优质玻璃钢</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形    式：单阀双罐</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出水硬度：≤0.03mmol/L</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设备产量：2t/h</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供电电源：AC220V±10%；50Hz</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使用环境：温度：5-40℃；湿度：&lt;80%</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再生剂：NaCl</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入口压力:0.2-0.6Mpa</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配套提供软水缓冲罐。</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0" w:name="_Toc105062923"/>
      <w:r>
        <w:rPr>
          <w:rFonts w:hint="eastAsia" w:ascii="仿宋_GB2312" w:hAnsi="仿宋_GB2312" w:eastAsia="仿宋_GB2312" w:cs="仿宋_GB2312"/>
          <w:color w:val="auto"/>
          <w:sz w:val="24"/>
          <w:szCs w:val="24"/>
        </w:rPr>
        <w:t>5.6 溶盐系统</w:t>
      </w:r>
      <w:bookmarkEnd w:id="20"/>
      <w:r>
        <w:rPr>
          <w:rFonts w:hint="eastAsia" w:ascii="仿宋_GB2312" w:hAnsi="仿宋_GB2312" w:eastAsia="仿宋_GB2312" w:cs="仿宋_GB2312"/>
          <w:color w:val="auto"/>
          <w:sz w:val="24"/>
          <w:szCs w:val="24"/>
        </w:rPr>
        <w:t xml:space="preserve"> </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溶盐系统包含溶盐罐、过滤系统、溶盐池配浮球阀控制自动补水，进水设置倒流防止器。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本项目溶盐系统采用溶盐罐，溶盐罐采用PE材质。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（1）软水进水采用恒液位控制，配套液位开关，设置低液位保护。</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（2）配套提供自动补水装置，确保池内液位维持在恒定的液位水平。</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（3）提供溶盐罐内盐层过滤装置。</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（4）提供加盐机（3T/h，316L不锈钢，3kw）</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1" w:name="_Toc105062924"/>
      <w:r>
        <w:rPr>
          <w:rFonts w:hint="eastAsia" w:ascii="仿宋_GB2312" w:hAnsi="仿宋_GB2312" w:eastAsia="仿宋_GB2312" w:cs="仿宋_GB2312"/>
          <w:color w:val="auto"/>
          <w:sz w:val="24"/>
          <w:szCs w:val="24"/>
        </w:rPr>
        <w:t>5.7 脱氢系统</w:t>
      </w:r>
      <w:bookmarkEnd w:id="21"/>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由于电解反应所生成的氢气须经过风机排放到大气中。风机在整个运行工况条件下，必须运行平稳、无振动。风机的密封性能良好。排氢装置安装符合系统安全生产要求。</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（1）食盐电解过程中产生的H2，经风机稀释至1%以下排入大气。</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（2）当运行脱氢风机出现故障而停机时，备用脱氢风机应自动投运，并同时报警。</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（3）当次氯酸钠发生器停止运行后，脱氢风机仍应继续运转，以使贮存箱内H2完全排放尽。</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应对脱氢系统的设计做出详尽的说明以证实排氢效果。</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（5）需设置有氢气安全排放系统，确保电解产生的氢气安全排放，配套相关稀释组件及检测仪表。</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2" w:name="_Toc105062925"/>
      <w:r>
        <w:rPr>
          <w:rFonts w:hint="eastAsia" w:ascii="仿宋_GB2312" w:hAnsi="仿宋_GB2312" w:eastAsia="仿宋_GB2312" w:cs="仿宋_GB2312"/>
          <w:color w:val="auto"/>
          <w:sz w:val="24"/>
          <w:szCs w:val="24"/>
        </w:rPr>
        <w:t>5.8 次氯酸钠储存系统</w:t>
      </w:r>
      <w:bookmarkEnd w:id="22"/>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（1）次氯酸钠储存罐采用加强型PE材质储罐，颜色为深色，有利于产生次氯酸钠溶液的储存。</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（2）次氯酸钠储存罐设有进水，出水，溢流口，进风口，出风口，液位仪安装孔，各管口为活接或法兰连接。</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相关技术参数</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存储罐：食品级PE材料，V=15m</w:t>
      </w:r>
      <w:r>
        <w:rPr>
          <w:rFonts w:hint="eastAsia" w:ascii="仿宋_GB2312" w:hAnsi="仿宋_GB2312" w:eastAsia="仿宋_GB2312" w:cs="仿宋_GB2312"/>
          <w:color w:val="auto"/>
          <w:sz w:val="24"/>
          <w:szCs w:val="24"/>
          <w:vertAlign w:val="superscript"/>
        </w:rPr>
        <w:t>3</w:t>
      </w:r>
      <w:r>
        <w:rPr>
          <w:rFonts w:hint="eastAsia" w:ascii="仿宋_GB2312" w:hAnsi="仿宋_GB2312" w:eastAsia="仿宋_GB2312" w:cs="仿宋_GB2312"/>
          <w:color w:val="auto"/>
          <w:sz w:val="24"/>
          <w:szCs w:val="24"/>
        </w:rPr>
        <w:t>。</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  量：2台</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立式储罐生产原料为食品级。</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（3）超声波液位计：</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★品牌为西门子、E+H、ABB或同等及以上品牌。</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超声波液位计用于测量次氯酸钠储罐的液位。超声波液位计是由微处理器控制的数字液位仪表。</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超声波液位计采用非接触的测量，测量探头不受测量介质的限制。是测量次氯酸钠溶液液位的一种良好解决方案。</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技术数据：</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测量范围：0-6m</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输出信号：4-20mA</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防爆型</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highlight w:val="none"/>
        </w:rPr>
      </w:pPr>
      <w:bookmarkStart w:id="23" w:name="_Toc105062926"/>
      <w:r>
        <w:rPr>
          <w:rFonts w:hint="eastAsia" w:ascii="仿宋_GB2312" w:hAnsi="仿宋_GB2312" w:eastAsia="仿宋_GB2312" w:cs="仿宋_GB2312"/>
          <w:color w:val="auto"/>
          <w:sz w:val="24"/>
          <w:szCs w:val="24"/>
          <w:highlight w:val="none"/>
        </w:rPr>
        <w:t>5.9 投加系统</w:t>
      </w:r>
      <w:bookmarkEnd w:id="23"/>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投加计量泵电机均为变频电机，采用进口品牌机械隔膜计量泵，</w:t>
      </w:r>
      <w:r>
        <w:rPr>
          <w:rFonts w:hint="eastAsia" w:ascii="仿宋_GB2312" w:hAnsi="仿宋_GB2312" w:eastAsia="仿宋_GB2312" w:cs="仿宋_GB2312"/>
          <w:b/>
          <w:bCs/>
          <w:color w:val="auto"/>
          <w:sz w:val="24"/>
          <w:szCs w:val="24"/>
          <w:highlight w:val="none"/>
        </w:rPr>
        <w:t>★参考品牌</w:t>
      </w:r>
      <w:r>
        <w:rPr>
          <w:rFonts w:hint="eastAsia" w:ascii="仿宋_GB2312" w:hAnsi="仿宋_GB2312" w:eastAsia="仿宋_GB2312" w:cs="仿宋_GB2312"/>
          <w:b/>
          <w:bCs/>
          <w:color w:val="auto"/>
          <w:kern w:val="0"/>
          <w:sz w:val="24"/>
          <w:szCs w:val="24"/>
          <w:highlight w:val="none"/>
          <w:lang w:bidi="ar"/>
        </w:rPr>
        <w:t>普</w:t>
      </w:r>
      <w:r>
        <w:rPr>
          <w:rFonts w:hint="eastAsia" w:ascii="仿宋_GB2312" w:hAnsi="仿宋_GB2312" w:eastAsia="仿宋_GB2312" w:cs="仿宋_GB2312"/>
          <w:b/>
          <w:bCs/>
          <w:color w:val="auto"/>
          <w:sz w:val="24"/>
          <w:szCs w:val="24"/>
          <w:highlight w:val="none"/>
        </w:rPr>
        <w:t>罗名特、帕斯菲达、SEKO或同等品牌。</w:t>
      </w:r>
      <w:r>
        <w:rPr>
          <w:rFonts w:hint="eastAsia" w:ascii="仿宋_GB2312" w:hAnsi="仿宋_GB2312" w:eastAsia="仿宋_GB2312" w:cs="仿宋_GB2312"/>
          <w:color w:val="auto"/>
          <w:sz w:val="24"/>
          <w:szCs w:val="24"/>
          <w:highlight w:val="none"/>
        </w:rPr>
        <w:t>可实现与水厂提供流</w:t>
      </w:r>
      <w:r>
        <w:rPr>
          <w:rFonts w:hint="eastAsia" w:ascii="仿宋_GB2312" w:hAnsi="仿宋_GB2312" w:eastAsia="仿宋_GB2312" w:cs="仿宋_GB2312"/>
          <w:color w:val="auto"/>
          <w:sz w:val="24"/>
          <w:szCs w:val="24"/>
        </w:rPr>
        <w:t>量信号及余氯信号联动（需用户提供代表流量、余氯的4-20mA信号并接入次钠PLC柜）。投加泵可进行就地手动调节计量调节，改变投加流量，也可根据流量信号及余氯信号综合计算得出的4~20mA信号进行变频调节投加。</w:t>
      </w:r>
    </w:p>
    <w:p>
      <w:pPr>
        <w:pageBreakBefore w:val="0"/>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加氯投加泵，参数按</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清单，均采用变频电机，泵头材质PVC，变频控制，380V</w:t>
      </w:r>
    </w:p>
    <w:p>
      <w:pPr>
        <w:pageBreakBefore w:val="0"/>
        <w:kinsoku/>
        <w:wordWrap/>
        <w:overflowPunct/>
        <w:topLinePunct w:val="0"/>
        <w:bidi w:val="0"/>
        <w:spacing w:line="360" w:lineRule="auto"/>
        <w:ind w:left="0" w:right="0" w:rightChars="0" w:firstLine="482"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计量泵投加系统（含计量泵、系统附件、铝型材撬装支架等）由集成厂家集成撬装供货，并对成撬投加系统质量负责。背压阀、安全阀、阻尼器等主要系统附件的选型及数量应保证系统设计科学合理，投加系统整体由推荐集成厂家工厂内集成出品、杜绝现场加工形式。</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4" w:name="_Toc105062927"/>
      <w:r>
        <w:rPr>
          <w:rFonts w:hint="eastAsia" w:ascii="仿宋_GB2312" w:hAnsi="仿宋_GB2312" w:eastAsia="仿宋_GB2312" w:cs="仿宋_GB2312"/>
          <w:color w:val="auto"/>
          <w:sz w:val="24"/>
          <w:szCs w:val="24"/>
        </w:rPr>
        <w:t>5.10 管道和阀门</w:t>
      </w:r>
      <w:bookmarkEnd w:id="24"/>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管路阀门用于连接制备系统至投加管路。采用UPVC材料，数量和规格满足要求（管道要做好标签，线缆要套PVC管并注明标签）。</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系统中的盐水管道、次氯酸钠管道、酸液管道均采用UPVC塑料管道，球阀采用双活接或法兰UPVC球阀</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5" w:name="_Toc105062928"/>
      <w:r>
        <w:rPr>
          <w:rFonts w:hint="eastAsia" w:ascii="仿宋_GB2312" w:hAnsi="仿宋_GB2312" w:eastAsia="仿宋_GB2312" w:cs="仿宋_GB2312"/>
          <w:color w:val="auto"/>
          <w:sz w:val="24"/>
          <w:szCs w:val="24"/>
        </w:rPr>
        <w:t>5.11 酸洗系统</w:t>
      </w:r>
      <w:bookmarkEnd w:id="25"/>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次氯酸钠发生系统运行一段时间后，需要启动酸洗装置，对电解电极进行清洗。酸洗装置为次氯酸钠发生器系统的一个组成部分，酸洗装置为可移动式酸洗装置，亦可实现固定式功能。</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配置酸洗装置、酸洗泵、酸洗箱及PVC管道阀门。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相关技术参数</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酸洗箱：食品级PE材质。</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  量：1只</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酸冼泵：PP材料防腐电磁泵。Q=70L/min，H=9.5m，220V，260W。</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  量：1台</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  件：配套阀门、管路等。</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  量：1套</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6" w:name="_Toc87624266"/>
      <w:bookmarkStart w:id="27" w:name="_Toc105062929"/>
      <w:r>
        <w:rPr>
          <w:rFonts w:hint="eastAsia" w:ascii="仿宋_GB2312" w:hAnsi="仿宋_GB2312" w:eastAsia="仿宋_GB2312" w:cs="仿宋_GB2312"/>
          <w:color w:val="auto"/>
          <w:sz w:val="24"/>
          <w:szCs w:val="24"/>
        </w:rPr>
        <w:t>5.12 配电系统</w:t>
      </w:r>
      <w:bookmarkEnd w:id="26"/>
      <w:bookmarkEnd w:id="27"/>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根据电解次氯酸钠发生装置及投加设备的用电负荷，由业主提供一路电源给现场配电柜供电。</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设一套现场配电柜为发生器主机、冷水机、投加系统、脱氢系统等供电。</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次氯酸钠发生器整流器系统应与发生器主机一体安装。</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制备系统设备之间的电缆应由</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负责配套提供并安装。</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低压配电柜要求具有分断能力高，动热稳定性好，电气方案灵活、保护等级高等特点。具有完善的电气测量、保护和信号输出功能。柜内配电回路主要器件选用施耐德、西门子、ABB产品。</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28" w:name="_Toc532837384"/>
      <w:bookmarkStart w:id="29" w:name="_Toc529561954"/>
      <w:bookmarkStart w:id="30" w:name="_Toc87624267"/>
      <w:bookmarkStart w:id="31" w:name="_Toc105062930"/>
      <w:bookmarkStart w:id="32" w:name="_Toc458703475"/>
      <w:bookmarkStart w:id="33" w:name="_Toc457328647"/>
      <w:r>
        <w:rPr>
          <w:rFonts w:hint="eastAsia" w:ascii="仿宋_GB2312" w:hAnsi="仿宋_GB2312" w:eastAsia="仿宋_GB2312" w:cs="仿宋_GB2312"/>
          <w:color w:val="auto"/>
          <w:sz w:val="24"/>
          <w:szCs w:val="24"/>
        </w:rPr>
        <w:t>5.13 次氯酸钠控制系统</w:t>
      </w:r>
      <w:bookmarkEnd w:id="28"/>
      <w:bookmarkEnd w:id="29"/>
      <w:bookmarkEnd w:id="30"/>
      <w:bookmarkEnd w:id="31"/>
      <w:bookmarkEnd w:id="32"/>
      <w:bookmarkEnd w:id="33"/>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制备系统自成系统，次氯酸钠发生器集成一套独立的控制系统，闭环控制，根据脱氢、液位自动运行，并根据氢气探测器、风机运行状态等进行保护，通过以太网将运行数据接入水厂通讯环网，中控室监控运行。</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1. 控制方式</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（1）整套设备由PLC控制，进行正常启、停、运行、控制及报警。</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（2）次氯酸钠自控系统可使其无论在独立运行中以及连接网络皆能实现控制功能。</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（3）控制系统可以保证制氯装置除酸洗过程外所有操作运行的自动化控制。</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（4）控制系统可以保证制氯装置在无人值守的工况条件下长期安全运行。</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 操作方式</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次氯酸钠发生装置控制系统由PLC控制。整个系统的启停可通过就地/远程进行控制。标准的通讯方式应用于次氯酸钠发生装置控制系统和PLC网络。采用TCP/IP通讯协议和以太网通讯接口与上层PLC通讯。PLC</w:t>
      </w:r>
      <w:r>
        <w:rPr>
          <w:rFonts w:hint="eastAsia" w:ascii="仿宋_GB2312" w:hAnsi="仿宋_GB2312" w:eastAsia="仿宋_GB2312" w:cs="仿宋_GB2312"/>
          <w:color w:val="auto"/>
          <w:sz w:val="24"/>
          <w:szCs w:val="24"/>
          <w:highlight w:val="none"/>
        </w:rPr>
        <w:t>、触摸屏采用西门子品牌。</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 电气控制元件</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提供的控制箱内所配电气控制元件(其中：控制开关、按钮、继电器采用施耐德、ABB、西门子或同等品牌。配供</w:t>
      </w:r>
      <w:r>
        <w:rPr>
          <w:rFonts w:hint="eastAsia" w:ascii="仿宋_GB2312" w:hAnsi="仿宋_GB2312" w:eastAsia="仿宋_GB2312" w:cs="仿宋_GB2312"/>
          <w:color w:val="auto"/>
          <w:sz w:val="24"/>
          <w:szCs w:val="24"/>
        </w:rPr>
        <w:t>的控制箱柜、动力箱柜具有防潮、防尘、防溅、防盐雾性能，。</w:t>
      </w:r>
    </w:p>
    <w:p>
      <w:pPr>
        <w:pageBreakBefore w:val="0"/>
        <w:kinsoku/>
        <w:wordWrap/>
        <w:overflowPunct/>
        <w:topLinePunct w:val="0"/>
        <w:bidi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4. 次氯酸钠制备控制系统应具备以下功能特点：</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（1）对通过电解槽的电解电流进行稳流控制，稳流精度为1%。为保证整流器和电解槽安全，设置过电流极限值。</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（2）对电解槽设定电压高极限值和电压低极限值。</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（3）当进料泵发生故障时, 自动切断故障电机的电源并切换到备用进料泵并报警。</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（4）风机与发生器有联锁, 当风机未启动时, 不能启动发生器; 当风机出现故障时, 切断整流器电源。</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（5）控制功能和设施至少还包括：</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①完成整个过程的控制；②运行参数控制，包括：电解电流，电解电压；③次氯酸钠发生器控制；④各类泵控制；⑤风机控制；⑥电动阀门控制。</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（6）至少包括下列数据采集系统的模拟量输入/输出信号：</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①电解电压；②电解电流；③进水温度；④氢气浓度； </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（7）至少包括下列状态显示：</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①风机状态（合、跳）；②各类泵状态（合、跳）；③整流器状态；</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（8）至少包括下列报警：</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①次氯酸钠发生器出口温度高报警；②运行过程中，次氯酸钠槽内液位低报警；③过电流极限报警；④氢气浓度报警；⑤电导率过高/低报警； </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（9）系统故障报警至少包括下列联锁项目：</w:t>
      </w:r>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次氯酸钠储罐液位低联锁关停投加泵；②次氯酸钠储罐液位高／低联锁启停整流器；③次氯酸钠发生器出口温度高联锁切断整流器电源；④运行过程中，次氯酸钠发生器槽内液位低联锁切断整流器电源；⑤电解电压高/低联锁切断整流器电源；⑥电解电流超限，切断整流器电源；⑦风机故障停整套系统；⑧氢气浓度超标停整套设备。</w:t>
      </w:r>
      <w:bookmarkStart w:id="34" w:name="_Toc86851816"/>
      <w:bookmarkStart w:id="35" w:name="_Toc105062931"/>
      <w:bookmarkStart w:id="36" w:name="_Toc21912"/>
      <w:bookmarkStart w:id="37" w:name="_Toc87621980"/>
    </w:p>
    <w:p>
      <w:pPr>
        <w:pageBreakBefore w:val="0"/>
        <w:kinsoku/>
        <w:wordWrap/>
        <w:overflowPunct/>
        <w:topLinePunct w:val="0"/>
        <w:bidi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5.14 公用工程条件</w:t>
      </w:r>
      <w:bookmarkEnd w:id="34"/>
      <w:bookmarkEnd w:id="35"/>
      <w:bookmarkEnd w:id="36"/>
      <w:bookmarkEnd w:id="37"/>
    </w:p>
    <w:p>
      <w:pPr>
        <w:pageBreakBefore w:val="0"/>
        <w:numPr>
          <w:ilvl w:val="0"/>
          <w:numId w:val="0"/>
        </w:numPr>
        <w:kinsoku/>
        <w:wordWrap/>
        <w:overflowPunct/>
        <w:topLinePunct w:val="0"/>
        <w:bidi w:val="0"/>
        <w:spacing w:line="360" w:lineRule="auto"/>
        <w:ind w:leftChars="200" w:right="0" w:rightChars="0"/>
        <w:jc w:val="left"/>
        <w:rPr>
          <w:rFonts w:hint="eastAsia" w:ascii="仿宋_GB2312" w:hAnsi="仿宋_GB2312" w:eastAsia="仿宋_GB2312" w:cs="仿宋_GB2312"/>
          <w:b/>
          <w:color w:val="auto"/>
          <w:sz w:val="24"/>
          <w:szCs w:val="24"/>
        </w:rPr>
      </w:pPr>
      <w:bookmarkStart w:id="38" w:name="_Toc134785073"/>
      <w:bookmarkStart w:id="39" w:name="_Toc89336656"/>
      <w:bookmarkStart w:id="40" w:name="_Toc39719062"/>
      <w:bookmarkStart w:id="41" w:name="_Toc39758749"/>
      <w:bookmarkStart w:id="42" w:name="_Toc459457144"/>
      <w:bookmarkStart w:id="43" w:name="_Toc194476784"/>
      <w:bookmarkStart w:id="44" w:name="_Toc39719353"/>
      <w:bookmarkStart w:id="45" w:name="_Toc39766993"/>
      <w:bookmarkStart w:id="46" w:name="_Toc21966"/>
      <w:bookmarkStart w:id="47" w:name="_Toc173679821"/>
      <w:bookmarkStart w:id="48" w:name="_Toc123445280"/>
      <w:r>
        <w:rPr>
          <w:rFonts w:hint="eastAsia" w:ascii="仿宋_GB2312" w:hAnsi="仿宋_GB2312" w:eastAsia="仿宋_GB2312" w:cs="仿宋_GB2312"/>
          <w:b/>
          <w:color w:val="auto"/>
          <w:sz w:val="24"/>
          <w:szCs w:val="24"/>
        </w:rPr>
        <w:t>主要设计条件</w:t>
      </w:r>
      <w:bookmarkEnd w:id="38"/>
      <w:bookmarkEnd w:id="39"/>
      <w:bookmarkEnd w:id="40"/>
      <w:bookmarkEnd w:id="41"/>
      <w:bookmarkEnd w:id="42"/>
      <w:bookmarkEnd w:id="43"/>
      <w:bookmarkEnd w:id="44"/>
      <w:bookmarkEnd w:id="45"/>
      <w:bookmarkEnd w:id="46"/>
    </w:p>
    <w:p>
      <w:pPr>
        <w:pStyle w:val="21"/>
        <w:pageBreakBefore w:val="0"/>
        <w:numPr>
          <w:ilvl w:val="0"/>
          <w:numId w:val="5"/>
        </w:numPr>
        <w:kinsoku/>
        <w:wordWrap/>
        <w:overflowPunct/>
        <w:topLinePunct w:val="0"/>
        <w:bidi w:val="0"/>
        <w:adjustRightInd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供电要求</w:t>
      </w:r>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业主提供1路380V供电线路，要求380V，50Hz，总配电功率80 kW。</w:t>
      </w:r>
    </w:p>
    <w:p>
      <w:pPr>
        <w:pStyle w:val="21"/>
        <w:pageBreakBefore w:val="0"/>
        <w:numPr>
          <w:ilvl w:val="0"/>
          <w:numId w:val="5"/>
        </w:numPr>
        <w:kinsoku/>
        <w:wordWrap/>
        <w:overflowPunct/>
        <w:topLinePunct w:val="0"/>
        <w:bidi w:val="0"/>
        <w:adjustRightInd w:val="0"/>
        <w:snapToGrid w:val="0"/>
        <w:spacing w:line="360" w:lineRule="auto"/>
        <w:ind w:left="0" w:right="0" w:rightChars="0" w:firstLine="482" w:firstLineChars="20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供水要求</w:t>
      </w:r>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进水压力：0.2-0.4MPa，水压稳定并连续供水，供水量满足：2.0T/h</w:t>
      </w:r>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进水温度：10-30℃</w:t>
      </w:r>
    </w:p>
    <w:p>
      <w:pPr>
        <w:pStyle w:val="21"/>
        <w:pageBreakBefore w:val="0"/>
        <w:numPr>
          <w:ilvl w:val="0"/>
          <w:numId w:val="5"/>
        </w:numPr>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供盐要求</w:t>
      </w:r>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原料采用的食盐为精制盐，纯度≥98.5%。</w:t>
      </w:r>
    </w:p>
    <w:p>
      <w:pPr>
        <w:pStyle w:val="21"/>
        <w:pageBreakBefore w:val="0"/>
        <w:numPr>
          <w:ilvl w:val="0"/>
          <w:numId w:val="5"/>
        </w:numPr>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49" w:name="_Toc201721454"/>
      <w:bookmarkStart w:id="50" w:name="_Toc361233094"/>
      <w:r>
        <w:rPr>
          <w:rFonts w:hint="eastAsia" w:ascii="仿宋_GB2312" w:hAnsi="仿宋_GB2312" w:eastAsia="仿宋_GB2312" w:cs="仿宋_GB2312"/>
          <w:color w:val="auto"/>
          <w:sz w:val="24"/>
          <w:szCs w:val="24"/>
        </w:rPr>
        <w:t>设备间要求</w:t>
      </w:r>
      <w:bookmarkEnd w:id="49"/>
      <w:bookmarkEnd w:id="50"/>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51" w:name="_Toc459457145"/>
      <w:bookmarkStart w:id="52" w:name="_Toc134785074"/>
      <w:bookmarkStart w:id="53" w:name="_Toc7071"/>
      <w:bookmarkStart w:id="54" w:name="_Toc89336657"/>
      <w:bookmarkStart w:id="55" w:name="_Toc39719354"/>
      <w:bookmarkStart w:id="56" w:name="_Toc39766994"/>
      <w:bookmarkStart w:id="57" w:name="_Toc39758750"/>
      <w:bookmarkStart w:id="58" w:name="_Toc194476785"/>
      <w:bookmarkStart w:id="59" w:name="_Toc39719063"/>
      <w:r>
        <w:rPr>
          <w:rFonts w:hint="eastAsia" w:ascii="仿宋_GB2312" w:hAnsi="仿宋_GB2312" w:eastAsia="仿宋_GB2312" w:cs="仿宋_GB2312"/>
          <w:color w:val="auto"/>
          <w:sz w:val="24"/>
          <w:szCs w:val="24"/>
        </w:rPr>
        <w:t>设备间应为框架结构，房顶及侧墙设置轴流通风机，开设可通风的窗户，保证设备间内有良好通风。如在北方地区，设备间需供暖。环境温度：0-40℃，相对湿度0-95%。</w:t>
      </w:r>
    </w:p>
    <w:p>
      <w:pPr>
        <w:pStyle w:val="21"/>
        <w:pageBreakBefore w:val="0"/>
        <w:kinsoku/>
        <w:wordWrap/>
        <w:overflowPunct/>
        <w:topLinePunct w:val="0"/>
        <w:bidi w:val="0"/>
        <w:adjustRightInd w:val="0"/>
        <w:snapToGrid w:val="0"/>
        <w:spacing w:line="360" w:lineRule="auto"/>
        <w:ind w:left="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次氯酸钠制备间内的照明以及通风设施按照防爆二区进行选型安装。</w:t>
      </w:r>
    </w:p>
    <w:p>
      <w:pPr>
        <w:pageBreakBefore w:val="0"/>
        <w:numPr>
          <w:ilvl w:val="0"/>
          <w:numId w:val="0"/>
        </w:numPr>
        <w:kinsoku/>
        <w:wordWrap/>
        <w:overflowPunct/>
        <w:topLinePunct w:val="0"/>
        <w:bidi w:val="0"/>
        <w:spacing w:line="360" w:lineRule="auto"/>
        <w:ind w:leftChars="200" w:right="0" w:rightChars="0"/>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设计范围及界限</w:t>
      </w:r>
      <w:bookmarkEnd w:id="51"/>
      <w:bookmarkEnd w:id="52"/>
      <w:bookmarkEnd w:id="53"/>
      <w:bookmarkEnd w:id="54"/>
      <w:bookmarkEnd w:id="55"/>
      <w:bookmarkEnd w:id="56"/>
      <w:bookmarkEnd w:id="57"/>
      <w:bookmarkEnd w:id="58"/>
      <w:bookmarkEnd w:id="59"/>
    </w:p>
    <w:bookmarkEnd w:id="47"/>
    <w:bookmarkEnd w:id="48"/>
    <w:p>
      <w:pPr>
        <w:pStyle w:val="21"/>
        <w:pageBreakBefore w:val="0"/>
        <w:numPr>
          <w:ilvl w:val="0"/>
          <w:numId w:val="6"/>
        </w:numPr>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60" w:name="_Toc87087180"/>
      <w:bookmarkStart w:id="61" w:name="_Toc89148297"/>
      <w:r>
        <w:rPr>
          <w:rFonts w:hint="eastAsia" w:ascii="仿宋_GB2312" w:hAnsi="仿宋_GB2312" w:eastAsia="仿宋_GB2312" w:cs="仿宋_GB2312"/>
          <w:color w:val="auto"/>
          <w:sz w:val="24"/>
          <w:szCs w:val="24"/>
        </w:rPr>
        <w:t>本工程设计范围为次氯酸钠发生器设备。</w:t>
      </w:r>
      <w:bookmarkEnd w:id="60"/>
      <w:bookmarkEnd w:id="61"/>
    </w:p>
    <w:p>
      <w:pPr>
        <w:pStyle w:val="21"/>
        <w:pageBreakBefore w:val="0"/>
        <w:numPr>
          <w:ilvl w:val="0"/>
          <w:numId w:val="6"/>
        </w:numPr>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62" w:name="_Toc87087181"/>
      <w:bookmarkStart w:id="63" w:name="_Toc89148298"/>
      <w:r>
        <w:rPr>
          <w:rFonts w:hint="eastAsia" w:ascii="仿宋_GB2312" w:hAnsi="仿宋_GB2312" w:eastAsia="仿宋_GB2312" w:cs="仿宋_GB2312"/>
          <w:color w:val="auto"/>
          <w:sz w:val="24"/>
          <w:szCs w:val="24"/>
        </w:rPr>
        <w:t>本设计包括设备的处理工艺、电气、土建条件设计。</w:t>
      </w:r>
      <w:bookmarkEnd w:id="62"/>
      <w:bookmarkEnd w:id="63"/>
    </w:p>
    <w:p>
      <w:pPr>
        <w:pStyle w:val="21"/>
        <w:pageBreakBefore w:val="0"/>
        <w:numPr>
          <w:ilvl w:val="0"/>
          <w:numId w:val="6"/>
        </w:numPr>
        <w:kinsoku/>
        <w:wordWrap/>
        <w:overflowPunct/>
        <w:topLinePunct w:val="0"/>
        <w:bidi w:val="0"/>
        <w:spacing w:line="360" w:lineRule="auto"/>
        <w:ind w:left="0" w:right="0" w:rightChars="0" w:firstLine="480" w:firstLineChars="200"/>
        <w:jc w:val="left"/>
        <w:rPr>
          <w:rFonts w:hint="eastAsia" w:ascii="仿宋_GB2312" w:hAnsi="仿宋_GB2312" w:eastAsia="仿宋_GB2312" w:cs="仿宋_GB2312"/>
          <w:color w:val="auto"/>
          <w:sz w:val="24"/>
          <w:szCs w:val="24"/>
        </w:rPr>
      </w:pPr>
      <w:bookmarkStart w:id="64" w:name="_Toc89148299"/>
      <w:bookmarkStart w:id="65" w:name="_Toc87087182"/>
      <w:r>
        <w:rPr>
          <w:rFonts w:hint="eastAsia" w:ascii="仿宋_GB2312" w:hAnsi="仿宋_GB2312" w:eastAsia="仿宋_GB2312" w:cs="仿宋_GB2312"/>
          <w:color w:val="auto"/>
          <w:sz w:val="24"/>
          <w:szCs w:val="24"/>
        </w:rPr>
        <w:t>本设计所需的电源、自来水管、废水排放管道均由甲方按设计要求接至设备间内指定位置。</w:t>
      </w:r>
      <w:bookmarkEnd w:id="64"/>
      <w:bookmarkEnd w:id="65"/>
      <w:bookmarkStart w:id="66" w:name="_Toc113433886"/>
      <w:bookmarkStart w:id="67" w:name="_Toc19425"/>
    </w:p>
    <w:p>
      <w:pPr>
        <w:pStyle w:val="21"/>
        <w:pageBreakBefore w:val="0"/>
        <w:numPr>
          <w:ilvl w:val="0"/>
          <w:numId w:val="0"/>
        </w:numPr>
        <w:kinsoku/>
        <w:wordWrap/>
        <w:overflowPunct/>
        <w:topLinePunct w:val="0"/>
        <w:bidi w:val="0"/>
        <w:spacing w:line="360" w:lineRule="auto"/>
        <w:ind w:left="0" w:leftChars="0" w:right="0" w:rightChars="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 xml:space="preserve"> 清洁、油漆、标志、装卸、运输与储存</w:t>
      </w:r>
      <w:bookmarkEnd w:id="66"/>
      <w:bookmarkEnd w:id="67"/>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68" w:name="_Toc4727"/>
      <w:bookmarkStart w:id="69" w:name="_Toc113433887"/>
      <w:r>
        <w:rPr>
          <w:rFonts w:hint="eastAsia" w:ascii="仿宋_GB2312" w:hAnsi="仿宋_GB2312" w:eastAsia="仿宋_GB2312" w:cs="仿宋_GB2312"/>
          <w:color w:val="auto"/>
          <w:sz w:val="24"/>
          <w:szCs w:val="24"/>
        </w:rPr>
        <w:t>6.1 清洁</w:t>
      </w:r>
      <w:bookmarkEnd w:id="68"/>
      <w:bookmarkEnd w:id="69"/>
    </w:p>
    <w:p>
      <w:pPr>
        <w:pStyle w:val="22"/>
        <w:pageBreakBefore w:val="0"/>
        <w:numPr>
          <w:ilvl w:val="1"/>
          <w:numId w:val="7"/>
        </w:numPr>
        <w:kinsoku/>
        <w:wordWrap/>
        <w:overflowPunct/>
        <w:topLinePunct w:val="0"/>
        <w:autoSpaceDE w:val="0"/>
        <w:autoSpaceDN w:val="0"/>
        <w:bidi w:val="0"/>
        <w:snapToGrid w:val="0"/>
        <w:spacing w:before="0" w:beforeLines="0" w:after="0" w:afterLines="0" w:line="360" w:lineRule="auto"/>
        <w:ind w:left="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设备在出厂之前，应对设备进行清理。</w:t>
      </w:r>
    </w:p>
    <w:p>
      <w:pPr>
        <w:pStyle w:val="22"/>
        <w:pageBreakBefore w:val="0"/>
        <w:numPr>
          <w:ilvl w:val="1"/>
          <w:numId w:val="7"/>
        </w:numPr>
        <w:kinsoku/>
        <w:wordWrap/>
        <w:overflowPunct/>
        <w:topLinePunct w:val="0"/>
        <w:autoSpaceDE w:val="0"/>
        <w:autoSpaceDN w:val="0"/>
        <w:bidi w:val="0"/>
        <w:snapToGrid w:val="0"/>
        <w:spacing w:before="0" w:beforeLines="0" w:after="0" w:afterLines="0" w:line="360" w:lineRule="auto"/>
        <w:ind w:left="0" w:leftChars="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有制造废料，如金属屑、填料、电焊条和残留焊条头、破布、垃圾等从构件内部清出，所有鳞皮、锈迹、油漆、油迹、粉笔、蜡笔、油漆记号和其他有害材料都应从内、外表面上清除掉，发运时，产品内外应该清洁，所有设备由承包商在工厂完成油漆工作后才能交货。</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70" w:name="_Toc113433888"/>
      <w:bookmarkStart w:id="71" w:name="_Toc12530"/>
      <w:r>
        <w:rPr>
          <w:rFonts w:hint="eastAsia" w:ascii="仿宋_GB2312" w:hAnsi="仿宋_GB2312" w:eastAsia="仿宋_GB2312" w:cs="仿宋_GB2312"/>
          <w:color w:val="auto"/>
          <w:sz w:val="24"/>
          <w:szCs w:val="24"/>
        </w:rPr>
        <w:t>6.2 油漆</w:t>
      </w:r>
      <w:bookmarkEnd w:id="70"/>
      <w:bookmarkEnd w:id="71"/>
    </w:p>
    <w:p>
      <w:pPr>
        <w:pageBreakBefore w:val="0"/>
        <w:kinsoku/>
        <w:wordWrap/>
        <w:overflowPunct/>
        <w:topLinePunct w:val="0"/>
        <w:autoSpaceDE w:val="0"/>
        <w:autoSpaceDN w:val="0"/>
        <w:bidi w:val="0"/>
        <w:snapToGrid w:val="0"/>
        <w:spacing w:line="360" w:lineRule="auto"/>
        <w:ind w:left="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对于需要精确装配的明亮洁净加工面的货物，加工面应采用优良，耐久的保护层（不得用油漆）以防止在安装前发生锈蚀和损坏。</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72" w:name="_Toc113433889"/>
      <w:bookmarkStart w:id="73" w:name="_Toc14973"/>
      <w:r>
        <w:rPr>
          <w:rFonts w:hint="eastAsia" w:ascii="仿宋_GB2312" w:hAnsi="仿宋_GB2312" w:eastAsia="仿宋_GB2312" w:cs="仿宋_GB2312"/>
          <w:color w:val="auto"/>
          <w:sz w:val="24"/>
          <w:szCs w:val="24"/>
        </w:rPr>
        <w:t>6.3 标志</w:t>
      </w:r>
      <w:bookmarkEnd w:id="72"/>
      <w:bookmarkEnd w:id="73"/>
    </w:p>
    <w:p>
      <w:pPr>
        <w:pStyle w:val="22"/>
        <w:pageBreakBefore w:val="0"/>
        <w:numPr>
          <w:ilvl w:val="1"/>
          <w:numId w:val="7"/>
        </w:numPr>
        <w:kinsoku/>
        <w:wordWrap/>
        <w:overflowPunct/>
        <w:topLinePunct w:val="0"/>
        <w:autoSpaceDE w:val="0"/>
        <w:autoSpaceDN w:val="0"/>
        <w:bidi w:val="0"/>
        <w:snapToGrid w:val="0"/>
        <w:spacing w:before="0" w:beforeLines="0" w:after="0" w:afterLines="0" w:line="360" w:lineRule="auto"/>
        <w:ind w:left="0" w:leftChars="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明显部位，应装设用耐腐蚀材料制作的金属铭牌，金属铭牌至少应包括下列内容：设备名称、设备制造厂名称、制造年月、制造厂产品编号、制造许可证编号、设备型号、类别、以及制造厂对设备常用的标称参数(如设计压力、设计温度、额定出力、最高工作压力、设备净重等)。</w:t>
      </w:r>
    </w:p>
    <w:p>
      <w:pPr>
        <w:pStyle w:val="22"/>
        <w:pageBreakBefore w:val="0"/>
        <w:numPr>
          <w:ilvl w:val="1"/>
          <w:numId w:val="7"/>
        </w:numPr>
        <w:kinsoku/>
        <w:wordWrap/>
        <w:overflowPunct/>
        <w:topLinePunct w:val="0"/>
        <w:autoSpaceDE w:val="0"/>
        <w:autoSpaceDN w:val="0"/>
        <w:bidi w:val="0"/>
        <w:snapToGrid w:val="0"/>
        <w:spacing w:before="0" w:beforeLines="0" w:after="0" w:afterLines="0" w:line="360" w:lineRule="auto"/>
        <w:ind w:left="0" w:leftChars="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设备应设置金属固定铭牌。铭牌应耐腐蚀，并牢固地安装在设备本体明显的位置上。铭牌尺寸及技术要求应符合GB/T13306-2011《标牌》标准的规定。</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74" w:name="_Toc113433890"/>
      <w:bookmarkStart w:id="75" w:name="_Toc31697"/>
      <w:r>
        <w:rPr>
          <w:rFonts w:hint="eastAsia" w:ascii="仿宋_GB2312" w:hAnsi="仿宋_GB2312" w:eastAsia="仿宋_GB2312" w:cs="仿宋_GB2312"/>
          <w:color w:val="auto"/>
          <w:sz w:val="24"/>
          <w:szCs w:val="24"/>
        </w:rPr>
        <w:t>6.4 装卸、运输与储存</w:t>
      </w:r>
      <w:bookmarkEnd w:id="74"/>
      <w:bookmarkEnd w:id="75"/>
    </w:p>
    <w:p>
      <w:pPr>
        <w:pageBreakBefore w:val="0"/>
        <w:kinsoku/>
        <w:wordWrap/>
        <w:overflowPunct/>
        <w:topLinePunct w:val="0"/>
        <w:autoSpaceDE w:val="0"/>
        <w:autoSpaceDN w:val="0"/>
        <w:bidi w:val="0"/>
        <w:snapToGrid w:val="0"/>
        <w:spacing w:line="360" w:lineRule="auto"/>
        <w:ind w:left="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设备均应按照国家标准和有关规定进行装卸、运输与储存。</w:t>
      </w:r>
    </w:p>
    <w:p>
      <w:pPr>
        <w:pStyle w:val="3"/>
        <w:pageBreakBefore w:val="0"/>
        <w:numPr>
          <w:ilvl w:val="1"/>
          <w:numId w:val="0"/>
        </w:numPr>
        <w:tabs>
          <w:tab w:val="left" w:pos="1080"/>
        </w:tabs>
        <w:kinsoku/>
        <w:wordWrap/>
        <w:overflowPunct/>
        <w:topLinePunct w:val="0"/>
        <w:bidi w:val="0"/>
        <w:spacing w:before="0" w:beforeLines="0" w:after="0" w:afterLines="0" w:line="360" w:lineRule="auto"/>
        <w:ind w:leftChars="200" w:right="0" w:rightChars="0"/>
        <w:jc w:val="left"/>
        <w:rPr>
          <w:rFonts w:hint="eastAsia" w:ascii="仿宋_GB2312" w:hAnsi="仿宋_GB2312" w:eastAsia="仿宋_GB2312" w:cs="仿宋_GB2312"/>
          <w:color w:val="auto"/>
          <w:sz w:val="24"/>
          <w:szCs w:val="24"/>
        </w:rPr>
      </w:pPr>
      <w:bookmarkStart w:id="76" w:name="_Toc14121"/>
      <w:bookmarkStart w:id="77" w:name="_Toc113433891"/>
      <w:r>
        <w:rPr>
          <w:rFonts w:hint="eastAsia" w:ascii="仿宋_GB2312" w:hAnsi="仿宋_GB2312" w:eastAsia="仿宋_GB2312" w:cs="仿宋_GB2312"/>
          <w:color w:val="auto"/>
          <w:sz w:val="24"/>
          <w:szCs w:val="24"/>
        </w:rPr>
        <w:t>6.5 设备的安装</w:t>
      </w:r>
      <w:bookmarkEnd w:id="76"/>
      <w:bookmarkEnd w:id="77"/>
    </w:p>
    <w:p>
      <w:pPr>
        <w:pageBreakBefore w:val="0"/>
        <w:kinsoku/>
        <w:wordWrap/>
        <w:overflowPunct/>
        <w:topLinePunct w:val="0"/>
        <w:autoSpaceDE w:val="0"/>
        <w:autoSpaceDN w:val="0"/>
        <w:bidi w:val="0"/>
        <w:snapToGrid w:val="0"/>
        <w:spacing w:line="360" w:lineRule="auto"/>
        <w:ind w:left="0" w:right="0" w:rightChars="0" w:firstLine="480" w:firstLineChars="200"/>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由承包商提供次氯酸钠成套设备，并负责现场安装、调试，运行技术参数必须满足设计要求。</w:t>
      </w:r>
    </w:p>
    <w:p>
      <w:pPr>
        <w:pageBreakBefore w:val="0"/>
        <w:kinsoku/>
        <w:wordWrap/>
        <w:overflowPunct/>
        <w:topLinePunct w:val="0"/>
        <w:bidi w:val="0"/>
        <w:spacing w:line="360" w:lineRule="auto"/>
        <w:ind w:left="0" w:right="0" w:rightChars="0" w:firstLine="560" w:firstLineChars="200"/>
        <w:jc w:val="left"/>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35FB"/>
    <w:multiLevelType w:val="multilevel"/>
    <w:tmpl w:val="82AC35FB"/>
    <w:lvl w:ilvl="0" w:tentative="0">
      <w:start w:val="1"/>
      <w:numFmt w:val="chineseCounting"/>
      <w:pStyle w:val="1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A8F6BD"/>
    <w:multiLevelType w:val="multilevel"/>
    <w:tmpl w:val="DEA8F6BD"/>
    <w:lvl w:ilvl="0" w:tentative="0">
      <w:start w:val="1"/>
      <w:numFmt w:val="chineseCounting"/>
      <w:suff w:val="nothing"/>
      <w:lvlText w:val="第%1章 "/>
      <w:lvlJc w:val="center"/>
      <w:pPr>
        <w:tabs>
          <w:tab w:val="left" w:pos="0"/>
        </w:tabs>
        <w:ind w:left="0" w:firstLine="402"/>
      </w:pPr>
      <w:rPr>
        <w:rFonts w:hint="eastAsia" w:ascii="宋体" w:hAnsi="宋体" w:eastAsia="宋体" w:cs="宋体"/>
        <w:sz w:val="36"/>
      </w:rPr>
    </w:lvl>
    <w:lvl w:ilvl="1" w:tentative="0">
      <w:start w:val="1"/>
      <w:numFmt w:val="chineseCounting"/>
      <w:suff w:val="nothing"/>
      <w:lvlText w:val="%2、"/>
      <w:lvlJc w:val="left"/>
      <w:pPr>
        <w:ind w:left="0" w:firstLine="402"/>
      </w:pPr>
      <w:rPr>
        <w:rFonts w:hint="eastAsia" w:ascii="宋体" w:hAnsi="宋体" w:eastAsia="宋体" w:cs="宋体"/>
        <w:sz w:val="28"/>
        <w:szCs w:val="28"/>
      </w:rPr>
    </w:lvl>
    <w:lvl w:ilvl="2" w:tentative="0">
      <w:start w:val="1"/>
      <w:numFmt w:val="decimal"/>
      <w:suff w:val="nothing"/>
      <w:lvlText w:val="%3．"/>
      <w:lvlJc w:val="left"/>
      <w:pPr>
        <w:ind w:left="0" w:firstLine="402"/>
      </w:pPr>
      <w:rPr>
        <w:rFonts w:hint="eastAsia" w:ascii="宋体" w:hAnsi="宋体" w:eastAsia="仿宋_GB2312" w:cs="仿宋_GB2312"/>
        <w:sz w:val="28"/>
        <w:szCs w:val="28"/>
      </w:rPr>
    </w:lvl>
    <w:lvl w:ilvl="3" w:tentative="0">
      <w:start w:val="1"/>
      <w:numFmt w:val="decimal"/>
      <w:suff w:val="nothing"/>
      <w:lvlText w:val="（%4）"/>
      <w:lvlJc w:val="left"/>
      <w:pPr>
        <w:ind w:left="0" w:firstLine="402"/>
      </w:pPr>
      <w:rPr>
        <w:rFonts w:hint="eastAsia" w:ascii="宋体" w:hAnsi="宋体" w:eastAsia="仿宋_GB2312" w:cs="仿宋_GB2312"/>
        <w:sz w:val="28"/>
        <w:szCs w:val="28"/>
      </w:rPr>
    </w:lvl>
    <w:lvl w:ilvl="4" w:tentative="0">
      <w:start w:val="1"/>
      <w:numFmt w:val="decimalEnclosedCircleChinese"/>
      <w:pStyle w:val="4"/>
      <w:suff w:val="nothing"/>
      <w:lvlText w:val="%5 "/>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2CF66A0"/>
    <w:multiLevelType w:val="multilevel"/>
    <w:tmpl w:val="02CF66A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0A631F85"/>
    <w:multiLevelType w:val="multilevel"/>
    <w:tmpl w:val="0A631F85"/>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776E9E5"/>
    <w:multiLevelType w:val="multilevel"/>
    <w:tmpl w:val="4776E9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4B4C7762"/>
    <w:multiLevelType w:val="multilevel"/>
    <w:tmpl w:val="4B4C7762"/>
    <w:lvl w:ilvl="0" w:tentative="0">
      <w:start w:val="1"/>
      <w:numFmt w:val="decimal"/>
      <w:lvlText w:val="%1."/>
      <w:lvlJc w:val="left"/>
      <w:pPr>
        <w:ind w:left="562" w:hanging="4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
    <w:nsid w:val="5FF9124F"/>
    <w:multiLevelType w:val="multilevel"/>
    <w:tmpl w:val="5FF9124F"/>
    <w:lvl w:ilvl="0" w:tentative="0">
      <w:start w:val="1"/>
      <w:numFmt w:val="decimal"/>
      <w:lvlText w:val="%1."/>
      <w:lvlJc w:val="left"/>
      <w:pPr>
        <w:ind w:left="562" w:hanging="4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WE1OTBjODc0YmY3ZGU3ZTVlOGYzNDlhMGIzZDEifQ=="/>
  </w:docVars>
  <w:rsids>
    <w:rsidRoot w:val="316E6C0A"/>
    <w:rsid w:val="02257B6A"/>
    <w:rsid w:val="022658CE"/>
    <w:rsid w:val="02660ABE"/>
    <w:rsid w:val="031C139D"/>
    <w:rsid w:val="03487E43"/>
    <w:rsid w:val="03A96EB6"/>
    <w:rsid w:val="0C1C35C4"/>
    <w:rsid w:val="0F582B65"/>
    <w:rsid w:val="116021A5"/>
    <w:rsid w:val="14F450DE"/>
    <w:rsid w:val="1759391E"/>
    <w:rsid w:val="1C67088B"/>
    <w:rsid w:val="1DDE4B7D"/>
    <w:rsid w:val="1FA3607E"/>
    <w:rsid w:val="20FA39A6"/>
    <w:rsid w:val="243E3D48"/>
    <w:rsid w:val="256F2F54"/>
    <w:rsid w:val="263E08AF"/>
    <w:rsid w:val="29E4351B"/>
    <w:rsid w:val="2A2266B3"/>
    <w:rsid w:val="316E4441"/>
    <w:rsid w:val="316E6C0A"/>
    <w:rsid w:val="32486F4C"/>
    <w:rsid w:val="373158C6"/>
    <w:rsid w:val="37503F9E"/>
    <w:rsid w:val="39346CD8"/>
    <w:rsid w:val="3ECD2378"/>
    <w:rsid w:val="3EF36D39"/>
    <w:rsid w:val="4379487C"/>
    <w:rsid w:val="43C33D49"/>
    <w:rsid w:val="461C2955"/>
    <w:rsid w:val="47590C4D"/>
    <w:rsid w:val="4FB01C7F"/>
    <w:rsid w:val="5139389D"/>
    <w:rsid w:val="51E43C4C"/>
    <w:rsid w:val="5334256E"/>
    <w:rsid w:val="54D46600"/>
    <w:rsid w:val="5898534D"/>
    <w:rsid w:val="59017396"/>
    <w:rsid w:val="5EF332DD"/>
    <w:rsid w:val="5FA82426"/>
    <w:rsid w:val="5FB3530C"/>
    <w:rsid w:val="62BF7E2A"/>
    <w:rsid w:val="63E40CAB"/>
    <w:rsid w:val="66B912B0"/>
    <w:rsid w:val="68D70C05"/>
    <w:rsid w:val="6B3A5AC7"/>
    <w:rsid w:val="73B47087"/>
    <w:rsid w:val="73FB2F08"/>
    <w:rsid w:val="76E35F8C"/>
    <w:rsid w:val="7AAC0AB8"/>
    <w:rsid w:val="7B476A33"/>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left="0" w:firstLine="0" w:firstLineChars="0"/>
      <w:jc w:val="center"/>
      <w:outlineLvl w:val="0"/>
    </w:pPr>
    <w:rPr>
      <w:rFonts w:ascii="Times New Roman" w:hAnsi="Times New Roman" w:eastAsia="方正小标宋简体"/>
      <w:kern w:val="44"/>
      <w:sz w:val="36"/>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560" w:lineRule="exact"/>
      <w:ind w:left="0" w:firstLine="0" w:firstLineChars="0"/>
      <w:jc w:val="left"/>
      <w:outlineLvl w:val="1"/>
    </w:pPr>
    <w:rPr>
      <w:rFonts w:ascii="Arial" w:hAnsi="Arial" w:eastAsia="新宋体"/>
      <w:b/>
      <w:sz w:val="28"/>
    </w:rPr>
  </w:style>
  <w:style w:type="paragraph" w:styleId="4">
    <w:name w:val="heading 3"/>
    <w:basedOn w:val="1"/>
    <w:next w:val="1"/>
    <w:link w:val="19"/>
    <w:semiHidden/>
    <w:unhideWhenUsed/>
    <w:qFormat/>
    <w:uiPriority w:val="0"/>
    <w:pPr>
      <w:keepNext w:val="0"/>
      <w:keepLines/>
      <w:pageBreakBefore/>
      <w:widowControl/>
      <w:numPr>
        <w:ilvl w:val="4"/>
        <w:numId w:val="2"/>
      </w:numPr>
      <w:topLinePunct/>
      <w:spacing w:beforeLines="0" w:beforeAutospacing="0" w:afterLines="0" w:afterAutospacing="0" w:line="560" w:lineRule="exact"/>
      <w:ind w:left="0" w:leftChars="0" w:firstLine="560" w:firstLineChars="200"/>
      <w:jc w:val="left"/>
      <w:outlineLvl w:val="2"/>
    </w:pPr>
    <w:rPr>
      <w:rFonts w:ascii="Times New Roman" w:hAnsi="Times New Roman"/>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Indent"/>
    <w:basedOn w:val="1"/>
    <w:qFormat/>
    <w:uiPriority w:val="0"/>
    <w:pPr>
      <w:spacing w:after="120" w:afterLines="0" w:afterAutospacing="0"/>
      <w:ind w:left="420" w:leftChars="200"/>
    </w:p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2"/>
    <w:basedOn w:val="12"/>
    <w:qFormat/>
    <w:uiPriority w:val="0"/>
    <w:pPr>
      <w:ind w:firstLine="420" w:firstLineChars="200"/>
    </w:pPr>
  </w:style>
  <w:style w:type="paragraph" w:customStyle="1" w:styleId="17">
    <w:name w:val="样式12021"/>
    <w:basedOn w:val="2"/>
    <w:next w:val="1"/>
    <w:qFormat/>
    <w:uiPriority w:val="0"/>
    <w:pPr>
      <w:numPr>
        <w:ilvl w:val="0"/>
        <w:numId w:val="4"/>
      </w:numPr>
      <w:spacing w:line="360" w:lineRule="auto"/>
      <w:jc w:val="center"/>
    </w:pPr>
    <w:rPr>
      <w:rFonts w:hint="eastAsia" w:ascii="楷体" w:hAnsi="楷体" w:eastAsia="宋体" w:cs="楷体"/>
      <w:w w:val="95"/>
      <w:sz w:val="44"/>
      <w:szCs w:val="72"/>
    </w:rPr>
  </w:style>
  <w:style w:type="paragraph" w:customStyle="1" w:styleId="18">
    <w:name w:val="样式12022"/>
    <w:basedOn w:val="1"/>
    <w:qFormat/>
    <w:uiPriority w:val="0"/>
    <w:pPr>
      <w:spacing w:line="400" w:lineRule="exact"/>
      <w:ind w:firstLine="0" w:firstLineChars="0"/>
      <w:jc w:val="center"/>
    </w:pPr>
    <w:rPr>
      <w:rFonts w:hint="eastAsia" w:ascii="Times New Roman" w:hAnsi="Times New Roman" w:eastAsia="黑体"/>
      <w:sz w:val="24"/>
    </w:rPr>
  </w:style>
  <w:style w:type="character" w:customStyle="1" w:styleId="19">
    <w:name w:val="标题 3 Char"/>
    <w:link w:val="4"/>
    <w:qFormat/>
    <w:uiPriority w:val="0"/>
    <w:rPr>
      <w:rFonts w:ascii="Times New Roman" w:hAnsi="Times New Roman" w:eastAsia="仿宋_GB2312"/>
    </w:rPr>
  </w:style>
  <w:style w:type="character" w:customStyle="1" w:styleId="20">
    <w:name w:val="font21"/>
    <w:qFormat/>
    <w:uiPriority w:val="0"/>
    <w:rPr>
      <w:rFonts w:hint="eastAsia" w:ascii="宋体" w:hAnsi="宋体" w:eastAsia="宋体" w:cs="宋体"/>
      <w:color w:val="000000"/>
      <w:sz w:val="24"/>
      <w:szCs w:val="24"/>
      <w:u w:val="none"/>
    </w:rPr>
  </w:style>
  <w:style w:type="paragraph" w:customStyle="1" w:styleId="21">
    <w:name w:val="_正文"/>
    <w:basedOn w:val="1"/>
    <w:qFormat/>
    <w:uiPriority w:val="0"/>
    <w:pPr>
      <w:tabs>
        <w:tab w:val="left" w:pos="540"/>
      </w:tabs>
      <w:spacing w:line="360" w:lineRule="auto"/>
      <w:ind w:firstLine="200" w:firstLineChars="200"/>
    </w:pPr>
    <w:rPr>
      <w:sz w:val="24"/>
    </w:rPr>
  </w:style>
  <w:style w:type="paragraph" w:customStyle="1" w:styleId="22">
    <w:name w:val="列表段落1"/>
    <w:basedOn w:val="1"/>
    <w:qFormat/>
    <w:uiPriority w:val="34"/>
    <w:pPr>
      <w:adjustRightInd w:val="0"/>
      <w:spacing w:before="0" w:beforeLines="0" w:after="0" w:afterLines="0"/>
      <w:ind w:firstLine="420"/>
      <w:textAlignment w:val="baseline"/>
    </w:pPr>
    <w:rPr>
      <w:rFonts w:ascii="Calibri" w:hAnsi="Calibri"/>
      <w:kern w:val="0"/>
      <w:sz w:val="21"/>
    </w:rPr>
  </w:style>
  <w:style w:type="character" w:customStyle="1" w:styleId="23">
    <w:name w:val="font41"/>
    <w:basedOn w:val="16"/>
    <w:uiPriority w:val="0"/>
    <w:rPr>
      <w:rFonts w:hint="default" w:ascii="仿宋_GB2312" w:eastAsia="仿宋_GB2312" w:cs="仿宋_GB2312"/>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7281</Words>
  <Characters>8124</Characters>
  <Lines>0</Lines>
  <Paragraphs>0</Paragraphs>
  <TotalTime>5</TotalTime>
  <ScaleCrop>false</ScaleCrop>
  <LinksUpToDate>false</LinksUpToDate>
  <CharactersWithSpaces>8247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2022-11-28T03:44:00Z</dcterms:created>
  <dc:creator>小样儿</dc:creator>
  <cp:lastModifiedBy>小样儿</cp:lastModifiedBy>
  <dcterms:modified xsi:type="dcterms:W3CDTF">2022-12-01T09:23:43Z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B8D8FF2144BB448FB518BDE8AF7C03C6</vt:lpwstr>
  </property>
</Properties>
</file>