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numId w:val="0"/>
        </w:numPr>
        <w:kinsoku/>
        <w:wordWrap/>
        <w:overflowPunct/>
        <w:bidi w:val="0"/>
        <w:spacing w:line="240" w:lineRule="auto"/>
        <w:ind w:leftChars="0"/>
        <w:jc w:val="both"/>
        <w:textAlignment w:val="auto"/>
        <w:rPr>
          <w:rFonts w:hint="eastAsia" w:eastAsia="宋体" w:cstheme="minorEastAsia"/>
          <w:color w:val="000000"/>
          <w:sz w:val="24"/>
          <w:szCs w:val="11"/>
          <w:lang w:eastAsia="zh-CN"/>
        </w:rPr>
      </w:pPr>
      <w:bookmarkStart w:id="0" w:name="_Toc514013133"/>
      <w:r>
        <w:rPr>
          <w:rFonts w:hint="eastAsia" w:eastAsia="宋体" w:cstheme="minorEastAsia"/>
          <w:color w:val="000000"/>
          <w:sz w:val="24"/>
          <w:szCs w:val="11"/>
        </w:rPr>
        <w:t>全自动PAC智能（粉末）投加装置技术</w:t>
      </w:r>
      <w:bookmarkEnd w:id="0"/>
      <w:r>
        <w:rPr>
          <w:rFonts w:hint="eastAsia" w:eastAsia="宋体" w:cstheme="minorEastAsia"/>
          <w:color w:val="000000"/>
          <w:sz w:val="24"/>
          <w:szCs w:val="11"/>
          <w:lang w:val="en-US" w:eastAsia="zh-CN"/>
        </w:rPr>
        <w:t>参数</w:t>
      </w:r>
    </w:p>
    <w:p>
      <w:pPr>
        <w:pStyle w:val="20"/>
        <w:keepNext/>
        <w:keepLines/>
        <w:pageBreakBefore w:val="0"/>
        <w:widowControl w:val="0"/>
        <w:numPr>
          <w:ilvl w:val="1"/>
          <w:numId w:val="5"/>
        </w:numPr>
        <w:kinsoku/>
        <w:wordWrap/>
        <w:overflowPunct/>
        <w:bidi w:val="0"/>
        <w:spacing w:line="360" w:lineRule="auto"/>
        <w:ind w:firstLine="0" w:firstLineChars="0"/>
        <w:jc w:val="left"/>
        <w:textAlignment w:val="auto"/>
        <w:rPr>
          <w:rFonts w:hint="eastAsia" w:ascii="宋体" w:hAnsi="宋体" w:eastAsia="宋体" w:cs="宋体"/>
          <w:color w:val="000000" w:themeColor="text1"/>
          <w14:textFill>
            <w14:solidFill>
              <w14:schemeClr w14:val="tx1"/>
            </w14:solidFill>
          </w14:textFill>
        </w:rPr>
      </w:pPr>
      <w:bookmarkStart w:id="1" w:name="_Toc32754671"/>
      <w:r>
        <w:rPr>
          <w:rFonts w:hint="eastAsia" w:ascii="宋体" w:hAnsi="宋体" w:eastAsia="宋体" w:cs="宋体"/>
          <w:color w:val="000000" w:themeColor="text1"/>
          <w14:textFill>
            <w14:solidFill>
              <w14:schemeClr w14:val="tx1"/>
            </w14:solidFill>
          </w14:textFill>
        </w:rPr>
        <w:t>PAC投加装</w:t>
      </w:r>
      <w:bookmarkEnd w:id="1"/>
      <w:r>
        <w:rPr>
          <w:rFonts w:hint="eastAsia" w:ascii="宋体" w:hAnsi="宋体" w:eastAsia="宋体" w:cs="宋体"/>
          <w:color w:val="000000" w:themeColor="text1"/>
          <w14:textFill>
            <w14:solidFill>
              <w14:schemeClr w14:val="tx1"/>
            </w14:solidFill>
          </w14:textFill>
        </w:rPr>
        <w:t>装置</w:t>
      </w:r>
    </w:p>
    <w:p>
      <w:pPr>
        <w:pStyle w:val="20"/>
        <w:keepNext/>
        <w:keepLines/>
        <w:pageBreakBefore w:val="0"/>
        <w:widowControl w:val="0"/>
        <w:numPr>
          <w:ilvl w:val="0"/>
          <w:numId w:val="0"/>
        </w:numPr>
        <w:kinsoku/>
        <w:wordWrap/>
        <w:overflowPunct/>
        <w:bidi w:val="0"/>
        <w:spacing w:line="360" w:lineRule="auto"/>
        <w:ind w:leftChars="0"/>
        <w:jc w:val="left"/>
        <w:textAlignment w:val="auto"/>
        <w:rPr>
          <w:b/>
          <w:bCs/>
          <w:szCs w:val="24"/>
          <w:lang w:val="zh-CN"/>
        </w:rPr>
      </w:pPr>
      <w:r>
        <w:rPr>
          <w:rFonts w:hint="eastAsia"/>
          <w:b/>
          <w:bCs/>
          <w:szCs w:val="24"/>
        </w:rPr>
        <w:t>1.1.2</w:t>
      </w:r>
      <w:r>
        <w:rPr>
          <w:rFonts w:hint="eastAsia"/>
          <w:b/>
          <w:bCs/>
          <w:szCs w:val="24"/>
          <w:lang w:val="zh-CN"/>
        </w:rPr>
        <w:t>供货范围：</w:t>
      </w:r>
    </w:p>
    <w:p>
      <w:pPr>
        <w:pStyle w:val="20"/>
        <w:keepNext/>
        <w:keepLines/>
        <w:pageBreakBefore w:val="0"/>
        <w:widowControl w:val="0"/>
        <w:kinsoku/>
        <w:wordWrap/>
        <w:overflowPunct/>
        <w:bidi w:val="0"/>
        <w:spacing w:line="360" w:lineRule="auto"/>
        <w:jc w:val="left"/>
        <w:textAlignment w:val="auto"/>
        <w:rPr>
          <w:lang w:val="zh-CN"/>
        </w:rPr>
      </w:pPr>
      <w:r>
        <w:rPr>
          <w:rFonts w:hint="eastAsia"/>
          <w:lang w:val="zh-CN"/>
        </w:rPr>
        <w:t>拟按加药间为单元系统采购，即</w:t>
      </w:r>
      <w:r>
        <w:rPr>
          <w:rFonts w:hint="eastAsia"/>
          <w:lang w:val="en-US" w:eastAsia="zh-CN"/>
        </w:rPr>
        <w:t>供货</w:t>
      </w:r>
      <w:r>
        <w:rPr>
          <w:rFonts w:hint="eastAsia"/>
          <w:lang w:val="zh-CN"/>
        </w:rPr>
        <w:t>商应对，PAC（粉末）投加系统的技术性能、设备性能全部负责。直接使用投加PAC粉剂（不需要预先配置、要求经过连续计量的粉剂和水直接溶解，即时使用，要求溶解的溶液</w:t>
      </w:r>
      <w:r>
        <w:rPr>
          <w:rFonts w:hint="eastAsia"/>
        </w:rPr>
        <w:t>1~</w:t>
      </w:r>
      <w:r>
        <w:rPr>
          <w:rFonts w:hint="eastAsia"/>
          <w:lang w:val="zh-CN"/>
        </w:rPr>
        <w:t>2分钟内进入投加点）、应对PAC药剂高腐蚀、易受潮、易粘附、易板结保证投药能力。</w:t>
      </w:r>
    </w:p>
    <w:p>
      <w:pPr>
        <w:pStyle w:val="20"/>
        <w:keepNext/>
        <w:keepLines/>
        <w:pageBreakBefore w:val="0"/>
        <w:widowControl w:val="0"/>
        <w:kinsoku/>
        <w:wordWrap/>
        <w:overflowPunct/>
        <w:bidi w:val="0"/>
        <w:spacing w:line="360" w:lineRule="auto"/>
        <w:jc w:val="left"/>
        <w:textAlignment w:val="auto"/>
        <w:rPr>
          <w:lang w:val="zh-CN"/>
        </w:rPr>
      </w:pPr>
      <w:r>
        <w:rPr>
          <w:rFonts w:hint="eastAsia"/>
          <w:lang w:val="zh-CN"/>
        </w:rPr>
        <w:t>全自动PAC智能（粉末）投加系统应成套地配备，安全、有效及可靠运行所需的附件。主要包括地埋式上料装置、储存料仓装置、PAC 专用粉体连续精确计量混合系统、干粉下料排放器、粉尘再循环回收单元、溶解水位控制器，空气下料阀，进水电磁控制阀、进水流量控制阀。投加系统全部工艺设备的连接管道、管道支架、管件以及电气、控制、仪表设备、电控箱、控制电缆均由供应商配套供货。</w:t>
      </w:r>
    </w:p>
    <w:p>
      <w:pPr>
        <w:pStyle w:val="20"/>
        <w:keepNext/>
        <w:keepLines/>
        <w:pageBreakBefore w:val="0"/>
        <w:widowControl w:val="0"/>
        <w:kinsoku/>
        <w:wordWrap/>
        <w:overflowPunct/>
        <w:bidi w:val="0"/>
        <w:spacing w:line="360" w:lineRule="auto"/>
        <w:ind w:firstLine="0" w:firstLineChars="0"/>
        <w:jc w:val="left"/>
        <w:textAlignment w:val="auto"/>
        <w:rPr>
          <w:b/>
          <w:bCs/>
          <w:highlight w:val="none"/>
          <w:lang w:val="zh-CN"/>
        </w:rPr>
      </w:pPr>
      <w:r>
        <w:rPr>
          <w:rFonts w:hint="eastAsia" w:ascii="仿宋" w:hAnsi="仿宋" w:eastAsia="仿宋" w:cs="仿宋"/>
          <w:sz w:val="28"/>
          <w:szCs w:val="28"/>
          <w:highlight w:val="none"/>
        </w:rPr>
        <w:t>★</w:t>
      </w:r>
      <w:r>
        <w:rPr>
          <w:rFonts w:hint="eastAsia"/>
          <w:b/>
          <w:bCs/>
          <w:highlight w:val="none"/>
        </w:rPr>
        <w:t>1.1.3</w:t>
      </w:r>
      <w:r>
        <w:rPr>
          <w:rFonts w:hint="eastAsia"/>
          <w:b/>
          <w:bCs/>
          <w:highlight w:val="none"/>
          <w:lang w:val="zh-CN"/>
        </w:rPr>
        <w:t>设备技术参数</w:t>
      </w:r>
    </w:p>
    <w:tbl>
      <w:tblPr>
        <w:tblStyle w:val="15"/>
        <w:tblW w:w="845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2700"/>
        <w:gridCol w:w="5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highlight w:val="none"/>
                <w:lang w:val="zh-CN"/>
              </w:rPr>
            </w:pPr>
            <w:r>
              <w:rPr>
                <w:rFonts w:hint="eastAsia"/>
                <w:highlight w:val="none"/>
                <w:lang w:val="zh-CN"/>
              </w:rPr>
              <w:t>1</w:t>
            </w:r>
          </w:p>
        </w:tc>
        <w:tc>
          <w:tcPr>
            <w:tcW w:w="2700" w:type="dxa"/>
            <w:vAlign w:val="center"/>
          </w:tcPr>
          <w:p>
            <w:pPr>
              <w:pStyle w:val="20"/>
              <w:keepNext/>
              <w:keepLines/>
              <w:pageBreakBefore w:val="0"/>
              <w:widowControl w:val="0"/>
              <w:kinsoku/>
              <w:wordWrap/>
              <w:overflowPunct/>
              <w:bidi w:val="0"/>
              <w:spacing w:line="360" w:lineRule="auto"/>
              <w:ind w:firstLine="0" w:firstLineChars="0"/>
              <w:jc w:val="left"/>
              <w:textAlignment w:val="auto"/>
              <w:rPr>
                <w:b/>
                <w:sz w:val="21"/>
                <w:szCs w:val="21"/>
                <w:highlight w:val="none"/>
                <w:lang w:val="zh-CN"/>
              </w:rPr>
            </w:pPr>
            <w:r>
              <w:rPr>
                <w:rFonts w:hint="eastAsia"/>
                <w:b/>
                <w:sz w:val="21"/>
                <w:szCs w:val="21"/>
                <w:highlight w:val="none"/>
                <w:lang w:val="zh-CN"/>
              </w:rPr>
              <w:t>全自动PAC智能（粉末）投加系统</w:t>
            </w:r>
          </w:p>
        </w:tc>
        <w:tc>
          <w:tcPr>
            <w:tcW w:w="5209" w:type="dxa"/>
            <w:vAlign w:val="center"/>
          </w:tcPr>
          <w:p>
            <w:pPr>
              <w:pStyle w:val="20"/>
              <w:keepNext/>
              <w:keepLines/>
              <w:pageBreakBefore w:val="0"/>
              <w:widowControl w:val="0"/>
              <w:kinsoku/>
              <w:wordWrap/>
              <w:overflowPunct/>
              <w:bidi w:val="0"/>
              <w:spacing w:line="360" w:lineRule="auto"/>
              <w:jc w:val="left"/>
              <w:textAlignment w:val="auto"/>
              <w:rPr>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color w:val="000000" w:themeColor="text1"/>
                <w:sz w:val="21"/>
                <w:szCs w:val="21"/>
                <w:highlight w:val="none"/>
                <w:lang w:val="zh-CN"/>
                <w14:textFill>
                  <w14:solidFill>
                    <w14:schemeClr w14:val="tx1"/>
                  </w14:solidFill>
                </w14:textFill>
              </w:rPr>
              <w:t>数量</w:t>
            </w:r>
          </w:p>
        </w:tc>
        <w:tc>
          <w:tcPr>
            <w:tcW w:w="5209"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rPr>
            </w:pPr>
            <w:r>
              <w:rPr>
                <w:rFonts w:hint="eastAsia"/>
                <w:sz w:val="21"/>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安装位置</w:t>
            </w:r>
          </w:p>
        </w:tc>
        <w:tc>
          <w:tcPr>
            <w:tcW w:w="5209"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加药间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处理介质</w:t>
            </w:r>
          </w:p>
        </w:tc>
        <w:tc>
          <w:tcPr>
            <w:tcW w:w="5209"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rPr>
            </w:pPr>
            <w:r>
              <w:rPr>
                <w:rFonts w:hint="eastAsia"/>
                <w:sz w:val="21"/>
                <w:szCs w:val="21"/>
                <w:highlight w:val="none"/>
              </w:rPr>
              <w:t>污水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lang w:val="zh-CN"/>
              </w:rPr>
            </w:pPr>
            <w:r>
              <w:rPr>
                <w:rFonts w:hint="eastAsia"/>
                <w:sz w:val="21"/>
                <w:szCs w:val="21"/>
                <w:highlight w:val="none"/>
                <w:lang w:val="zh-CN"/>
              </w:rPr>
              <w:t>★</w:t>
            </w: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投加能力</w:t>
            </w:r>
          </w:p>
        </w:tc>
        <w:tc>
          <w:tcPr>
            <w:tcW w:w="5209"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rPr>
            </w:pPr>
            <w:r>
              <w:rPr>
                <w:rFonts w:hint="eastAsia"/>
                <w:color w:val="000000" w:themeColor="text1"/>
                <w:sz w:val="21"/>
                <w:szCs w:val="21"/>
                <w:highlight w:val="none"/>
                <w:shd w:val="clear" w:color="auto" w:fill="FFFFFF" w:themeFill="background1"/>
                <w14:textFill>
                  <w14:solidFill>
                    <w14:schemeClr w14:val="tx1"/>
                  </w14:solidFill>
                </w14:textFill>
              </w:rPr>
              <w:t>4~80</w:t>
            </w:r>
            <w:r>
              <w:rPr>
                <w:rFonts w:hint="eastAsia"/>
                <w:color w:val="000000" w:themeColor="text1"/>
                <w:sz w:val="21"/>
                <w:szCs w:val="21"/>
                <w:highlight w:val="none"/>
                <w:shd w:val="clear" w:color="auto" w:fill="FFFFFF" w:themeFill="background1"/>
                <w:lang w:val="zh-CN"/>
                <w14:textFill>
                  <w14:solidFill>
                    <w14:schemeClr w14:val="tx1"/>
                  </w14:solidFill>
                </w14:textFill>
              </w:rPr>
              <w:t>kg</w:t>
            </w:r>
            <w:r>
              <w:rPr>
                <w:color w:val="000000" w:themeColor="text1"/>
                <w:sz w:val="21"/>
                <w:szCs w:val="21"/>
                <w:highlight w:val="none"/>
                <w:shd w:val="clear" w:color="auto" w:fill="FFFFFF" w:themeFill="background1"/>
                <w:lang w:val="zh-CN"/>
                <w14:textFill>
                  <w14:solidFill>
                    <w14:schemeClr w14:val="tx1"/>
                  </w14:solidFill>
                </w14:textFill>
              </w:rPr>
              <w:t>/</w:t>
            </w:r>
            <w:r>
              <w:rPr>
                <w:rFonts w:hint="eastAsia"/>
                <w:color w:val="000000" w:themeColor="text1"/>
                <w:sz w:val="21"/>
                <w:szCs w:val="21"/>
                <w:highlight w:val="none"/>
                <w:shd w:val="clear" w:color="auto" w:fill="FFFFFF" w:themeFill="background1"/>
                <w:lang w:val="zh-CN"/>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药剂种类</w:t>
            </w:r>
          </w:p>
        </w:tc>
        <w:tc>
          <w:tcPr>
            <w:tcW w:w="5209"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PAC粉末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rPr>
            </w:pPr>
            <w:r>
              <w:rPr>
                <w:rFonts w:hint="eastAsia"/>
                <w:sz w:val="21"/>
                <w:szCs w:val="21"/>
                <w:highlight w:val="none"/>
              </w:rPr>
              <w:t>外形尺寸</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sz w:val="21"/>
                <w:szCs w:val="21"/>
                <w:highlight w:val="none"/>
              </w:rPr>
              <w:t>1850*1600*3200mm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lang w:val="zh-CN"/>
              </w:rPr>
            </w:pPr>
            <w:r>
              <w:rPr>
                <w:rFonts w:hint="eastAsia"/>
                <w:sz w:val="21"/>
                <w:szCs w:val="21"/>
                <w:highlight w:val="none"/>
                <w:lang w:val="zh-CN"/>
              </w:rPr>
              <w:t>★</w:t>
            </w: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药剂溶解方式</w:t>
            </w:r>
          </w:p>
        </w:tc>
        <w:tc>
          <w:tcPr>
            <w:tcW w:w="5209" w:type="dxa"/>
            <w:vAlign w:val="center"/>
          </w:tcPr>
          <w:p>
            <w:pPr>
              <w:pStyle w:val="20"/>
              <w:keepNext/>
              <w:keepLines/>
              <w:pageBreakBefore w:val="0"/>
              <w:widowControl w:val="0"/>
              <w:kinsoku/>
              <w:wordWrap/>
              <w:overflowPunct/>
              <w:bidi w:val="0"/>
              <w:spacing w:line="360" w:lineRule="auto"/>
              <w:ind w:firstLine="420"/>
              <w:jc w:val="left"/>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PAC 粉剂连续计量、即时混合溶解（不采用预先配置成溶液的方式）、要求经过连续计量的粉剂和水直接溶解，即时混合使用，（计量固含量确定浓度），要求即时溶解后的溶液</w:t>
            </w:r>
            <w:r>
              <w:rPr>
                <w:rFonts w:hint="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val="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min</w:t>
            </w:r>
            <w:r>
              <w:rPr>
                <w:rFonts w:hint="eastAsia"/>
                <w:color w:val="000000" w:themeColor="text1"/>
                <w:sz w:val="21"/>
                <w:szCs w:val="21"/>
                <w:highlight w:val="none"/>
                <w:lang w:val="zh-CN"/>
                <w14:textFill>
                  <w14:solidFill>
                    <w14:schemeClr w14:val="tx1"/>
                  </w14:solidFill>
                </w14:textFill>
              </w:rPr>
              <w:t>内投入投加点。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进水流量</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sz w:val="21"/>
                <w:szCs w:val="21"/>
                <w:highlight w:val="none"/>
                <w:lang w:val="zh-CN"/>
              </w:rPr>
              <w:t>0</w:t>
            </w:r>
            <w:r>
              <w:rPr>
                <w:rFonts w:hint="eastAsia"/>
                <w:sz w:val="21"/>
                <w:szCs w:val="21"/>
                <w:highlight w:val="none"/>
                <w:lang w:val="zh-CN"/>
              </w:rPr>
              <w:t>~4m</w:t>
            </w:r>
            <w:r>
              <w:rPr>
                <w:rFonts w:ascii="Calibri" w:hAnsi="Calibri" w:cs="Calibri"/>
                <w:sz w:val="21"/>
                <w:szCs w:val="21"/>
                <w:highlight w:val="none"/>
                <w:lang w:val="zh-CN"/>
              </w:rPr>
              <w:t>³</w:t>
            </w:r>
            <w:r>
              <w:rPr>
                <w:rFonts w:hint="eastAsia"/>
                <w:sz w:val="21"/>
                <w:szCs w:val="21"/>
                <w:highlight w:val="none"/>
                <w:lang w:val="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进水压力</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rPr>
            </w:pPr>
            <w:r>
              <w:rPr>
                <w:rFonts w:hint="eastAsia"/>
                <w:sz w:val="21"/>
                <w:szCs w:val="21"/>
                <w:highlight w:val="none"/>
                <w:lang w:val="zh-CN"/>
              </w:rPr>
              <w:t>0.2~0.5Mpa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成套设备重量</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rFonts w:hint="eastAsia"/>
                <w:sz w:val="21"/>
                <w:szCs w:val="21"/>
                <w:highlight w:val="none"/>
                <w:lang w:val="zh-CN"/>
              </w:rPr>
              <w:t>＜</w:t>
            </w:r>
            <w:r>
              <w:rPr>
                <w:rFonts w:hint="eastAsia"/>
                <w:sz w:val="21"/>
                <w:szCs w:val="21"/>
                <w:highlight w:val="none"/>
              </w:rPr>
              <w:t>9</w:t>
            </w:r>
            <w:r>
              <w:rPr>
                <w:rFonts w:hint="eastAsia"/>
                <w:sz w:val="21"/>
                <w:szCs w:val="21"/>
                <w:highlight w:val="none"/>
                <w:lang w:val="zh-CN"/>
              </w:rPr>
              <w:t>00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5"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lang w:val="zh-CN"/>
              </w:rPr>
            </w:pPr>
            <w:r>
              <w:rPr>
                <w:rFonts w:hint="eastAsia"/>
                <w:sz w:val="21"/>
                <w:szCs w:val="21"/>
                <w:highlight w:val="none"/>
                <w:lang w:val="zh-CN"/>
              </w:rPr>
              <w:t>★</w:t>
            </w: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rPr>
            </w:pPr>
            <w:r>
              <w:rPr>
                <w:rFonts w:hint="eastAsia"/>
                <w:sz w:val="21"/>
                <w:szCs w:val="21"/>
                <w:highlight w:val="none"/>
                <w:lang w:val="zh-CN"/>
              </w:rPr>
              <w:t>上料方式</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rFonts w:hint="eastAsia"/>
                <w:sz w:val="21"/>
                <w:szCs w:val="21"/>
                <w:highlight w:val="none"/>
                <w:lang w:val="zh-CN"/>
              </w:rPr>
              <w:t>地埋式螺杆自动上料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5"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lang w:val="zh-CN"/>
              </w:rPr>
            </w:pPr>
            <w:r>
              <w:rPr>
                <w:rFonts w:hint="eastAsia"/>
                <w:sz w:val="21"/>
                <w:szCs w:val="21"/>
                <w:highlight w:val="none"/>
                <w:lang w:val="zh-CN"/>
              </w:rPr>
              <w:t>★</w:t>
            </w:r>
          </w:p>
        </w:tc>
        <w:tc>
          <w:tcPr>
            <w:tcW w:w="2700"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rPr>
            </w:pPr>
            <w:r>
              <w:rPr>
                <w:rFonts w:hint="eastAsia"/>
                <w:sz w:val="21"/>
                <w:szCs w:val="21"/>
                <w:highlight w:val="none"/>
                <w:lang w:val="zh-CN"/>
              </w:rPr>
              <w:t>粉体连续精确自洁计量装置</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rFonts w:hint="eastAsia"/>
                <w:sz w:val="21"/>
                <w:szCs w:val="21"/>
                <w:highlight w:val="none"/>
                <w:lang w:val="zh-CN"/>
              </w:rPr>
              <w:t>投加精度＞3‰</w:t>
            </w:r>
            <w:r>
              <w:rPr>
                <w:rFonts w:hint="eastAsia"/>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5"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lang w:val="zh-CN"/>
              </w:rPr>
            </w:pPr>
            <w:r>
              <w:rPr>
                <w:rFonts w:hint="eastAsia"/>
                <w:sz w:val="21"/>
                <w:szCs w:val="21"/>
                <w:highlight w:val="none"/>
                <w:lang w:val="zh-CN"/>
              </w:rPr>
              <w:t>★</w:t>
            </w:r>
          </w:p>
        </w:tc>
        <w:tc>
          <w:tcPr>
            <w:tcW w:w="2700"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lang w:val="zh-CN"/>
              </w:rPr>
            </w:pPr>
            <w:r>
              <w:rPr>
                <w:rFonts w:hint="eastAsia"/>
                <w:sz w:val="21"/>
                <w:szCs w:val="21"/>
                <w:highlight w:val="none"/>
                <w:lang w:val="zh-CN"/>
              </w:rPr>
              <w:t>杂质分离装置</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rFonts w:hint="eastAsia"/>
                <w:sz w:val="21"/>
                <w:szCs w:val="21"/>
                <w:highlight w:val="none"/>
                <w:lang w:val="zh-CN"/>
              </w:rPr>
              <w:t>分离直径＞0.8mm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5"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lang w:val="zh-CN"/>
              </w:rPr>
            </w:pPr>
            <w:r>
              <w:rPr>
                <w:rFonts w:hint="eastAsia"/>
                <w:sz w:val="21"/>
                <w:szCs w:val="21"/>
                <w:highlight w:val="none"/>
                <w:lang w:val="zh-CN"/>
              </w:rPr>
              <w:t>★</w:t>
            </w:r>
          </w:p>
        </w:tc>
        <w:tc>
          <w:tcPr>
            <w:tcW w:w="2700"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rPr>
            </w:pPr>
            <w:r>
              <w:rPr>
                <w:rFonts w:hint="eastAsia"/>
                <w:sz w:val="21"/>
                <w:szCs w:val="21"/>
                <w:highlight w:val="none"/>
                <w:lang w:val="zh-CN"/>
              </w:rPr>
              <w:t>PAC专用溶解程度控制器</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rFonts w:hint="eastAsia"/>
                <w:sz w:val="21"/>
                <w:szCs w:val="21"/>
                <w:highlight w:val="none"/>
                <w:lang w:val="zh-CN"/>
              </w:rPr>
              <w:t>即时溶解时间&lt;</w:t>
            </w:r>
            <w:r>
              <w:rPr>
                <w:rFonts w:hint="eastAsia"/>
                <w:sz w:val="21"/>
                <w:szCs w:val="21"/>
                <w:highlight w:val="none"/>
              </w:rPr>
              <w:t>3</w:t>
            </w:r>
            <w:r>
              <w:rPr>
                <w:rFonts w:hint="eastAsia"/>
                <w:sz w:val="21"/>
                <w:szCs w:val="21"/>
                <w:highlight w:val="none"/>
                <w:lang w:val="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5"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lang w:val="zh-CN"/>
              </w:rPr>
            </w:pPr>
            <w:r>
              <w:rPr>
                <w:rFonts w:hint="eastAsia"/>
                <w:sz w:val="21"/>
                <w:szCs w:val="21"/>
                <w:highlight w:val="none"/>
                <w:lang w:val="zh-CN"/>
              </w:rPr>
              <w:t>★</w:t>
            </w:r>
          </w:p>
        </w:tc>
        <w:tc>
          <w:tcPr>
            <w:tcW w:w="2700"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rPr>
            </w:pPr>
            <w:r>
              <w:rPr>
                <w:rFonts w:hint="eastAsia"/>
                <w:sz w:val="21"/>
                <w:szCs w:val="21"/>
                <w:highlight w:val="none"/>
                <w:lang w:val="zh-CN"/>
              </w:rPr>
              <w:t>粉尘再循环回收单元</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rFonts w:hint="eastAsia"/>
                <w:sz w:val="21"/>
                <w:szCs w:val="21"/>
                <w:highlight w:val="none"/>
                <w:lang w:val="zh-CN"/>
              </w:rPr>
              <w:t>粉尘回收效率&gt;9</w:t>
            </w:r>
            <w:r>
              <w:rPr>
                <w:sz w:val="21"/>
                <w:szCs w:val="21"/>
                <w:highlight w:val="none"/>
                <w:lang w:val="zh-CN"/>
              </w:rPr>
              <w:t>8</w:t>
            </w:r>
            <w:r>
              <w:rPr>
                <w:rFonts w:hint="eastAsia"/>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rPr>
            </w:pPr>
            <w:r>
              <w:rPr>
                <w:rFonts w:hint="eastAsia"/>
                <w:sz w:val="21"/>
                <w:szCs w:val="21"/>
                <w:highlight w:val="none"/>
                <w:lang w:val="zh-CN"/>
              </w:rPr>
              <w:t>防板结震动装置</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rFonts w:hint="eastAsia"/>
                <w:sz w:val="21"/>
                <w:szCs w:val="21"/>
                <w:highlight w:val="none"/>
                <w:lang w:val="zh-CN"/>
              </w:rPr>
              <w:t>频率5次/秒、振动力＞</w:t>
            </w:r>
            <w:r>
              <w:rPr>
                <w:rFonts w:hint="eastAsia"/>
                <w:sz w:val="21"/>
                <w:szCs w:val="21"/>
                <w:highlight w:val="none"/>
              </w:rPr>
              <w:t>2</w:t>
            </w:r>
            <w:r>
              <w:rPr>
                <w:rFonts w:hint="eastAsia"/>
                <w:sz w:val="21"/>
                <w:szCs w:val="21"/>
                <w:highlight w:val="none"/>
                <w:lang w:val="zh-CN"/>
              </w:rPr>
              <w:t>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rPr>
            </w:pPr>
            <w:r>
              <w:rPr>
                <w:rFonts w:hint="eastAsia"/>
                <w:sz w:val="21"/>
                <w:szCs w:val="21"/>
                <w:highlight w:val="none"/>
                <w:lang w:val="zh-CN"/>
              </w:rPr>
              <w:t>储料仓</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sz w:val="21"/>
                <w:szCs w:val="21"/>
                <w:highlight w:val="none"/>
                <w:lang w:val="zh-CN"/>
              </w:rPr>
              <w:t>V</w:t>
            </w:r>
            <w:r>
              <w:rPr>
                <w:rFonts w:hint="eastAsia"/>
                <w:sz w:val="21"/>
                <w:szCs w:val="21"/>
                <w:highlight w:val="none"/>
                <w:lang w:val="zh-CN"/>
              </w:rPr>
              <w:t>≥0</w:t>
            </w:r>
            <w:r>
              <w:rPr>
                <w:sz w:val="21"/>
                <w:szCs w:val="21"/>
                <w:highlight w:val="none"/>
                <w:lang w:val="zh-CN"/>
              </w:rPr>
              <w:t>.8</w:t>
            </w:r>
            <w:r>
              <w:rPr>
                <w:rFonts w:hint="eastAsia"/>
                <w:sz w:val="21"/>
                <w:szCs w:val="21"/>
                <w:highlight w:val="none"/>
                <w:lang w:val="zh-CN"/>
              </w:rPr>
              <w:t>m</w:t>
            </w:r>
            <w:r>
              <w:rPr>
                <w:rFonts w:ascii="Calibri" w:hAnsi="Calibri" w:cs="Calibri"/>
                <w:sz w:val="21"/>
                <w:szCs w:val="21"/>
                <w:highlight w:val="none"/>
                <w:lang w:val="zh-CN"/>
              </w:rPr>
              <w:t>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5" w:type="dxa"/>
            <w:vAlign w:val="center"/>
          </w:tcPr>
          <w:p>
            <w:pPr>
              <w:pStyle w:val="20"/>
              <w:keepNext/>
              <w:keepLines/>
              <w:pageBreakBefore w:val="0"/>
              <w:widowControl w:val="0"/>
              <w:kinsoku/>
              <w:wordWrap/>
              <w:overflowPunct/>
              <w:bidi w:val="0"/>
              <w:spacing w:line="360" w:lineRule="auto"/>
              <w:ind w:firstLine="422"/>
              <w:jc w:val="left"/>
              <w:textAlignment w:val="auto"/>
              <w:rPr>
                <w:b/>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rPr>
            </w:pPr>
            <w:r>
              <w:rPr>
                <w:rFonts w:hint="eastAsia"/>
                <w:sz w:val="21"/>
                <w:szCs w:val="21"/>
                <w:highlight w:val="none"/>
              </w:rPr>
              <w:t>材料</w:t>
            </w:r>
          </w:p>
        </w:tc>
        <w:tc>
          <w:tcPr>
            <w:tcW w:w="5209"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rPr>
            </w:pPr>
            <w:r>
              <w:rPr>
                <w:rFonts w:hint="eastAsia"/>
                <w:sz w:val="21"/>
                <w:szCs w:val="21"/>
                <w:highlight w:val="none"/>
              </w:rPr>
              <w:t>全部结构</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rPr>
            </w:pPr>
            <w:r>
              <w:rPr>
                <w:rFonts w:hint="eastAsia"/>
                <w:sz w:val="21"/>
                <w:szCs w:val="21"/>
                <w:highlight w:val="none"/>
              </w:rPr>
              <w:t>不低于SS304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lang w:val="zh-CN"/>
              </w:rPr>
            </w:pPr>
            <w:r>
              <w:rPr>
                <w:rFonts w:hint="eastAsia"/>
                <w:sz w:val="21"/>
                <w:szCs w:val="21"/>
                <w:highlight w:val="none"/>
                <w:lang w:val="zh-CN"/>
              </w:rPr>
              <w:t>★</w:t>
            </w:r>
          </w:p>
        </w:tc>
        <w:tc>
          <w:tcPr>
            <w:tcW w:w="2700"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rPr>
            </w:pPr>
            <w:r>
              <w:rPr>
                <w:rFonts w:hint="eastAsia"/>
                <w:color w:val="000000" w:themeColor="text1"/>
                <w:sz w:val="21"/>
                <w:szCs w:val="21"/>
                <w:highlight w:val="none"/>
                <w14:textFill>
                  <w14:solidFill>
                    <w14:schemeClr w14:val="tx1"/>
                  </w14:solidFill>
                </w14:textFill>
              </w:rPr>
              <w:t>主料仓</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rPr>
            </w:pPr>
            <w:r>
              <w:rPr>
                <w:rFonts w:hint="eastAsia"/>
                <w:sz w:val="21"/>
                <w:szCs w:val="21"/>
                <w:highlight w:val="none"/>
              </w:rPr>
              <w:t>材质SS304   内壁PVDF涂层＞0.5mm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lang w:val="zh-CN"/>
              </w:rPr>
            </w:pPr>
            <w:r>
              <w:rPr>
                <w:rFonts w:hint="eastAsia"/>
                <w:sz w:val="21"/>
                <w:szCs w:val="21"/>
                <w:highlight w:val="none"/>
                <w:lang w:val="zh-CN"/>
              </w:rPr>
              <w:t>★</w:t>
            </w:r>
          </w:p>
        </w:tc>
        <w:tc>
          <w:tcPr>
            <w:tcW w:w="2700"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rPr>
            </w:pPr>
            <w:r>
              <w:rPr>
                <w:rFonts w:hint="eastAsia"/>
                <w:sz w:val="21"/>
                <w:szCs w:val="21"/>
                <w:highlight w:val="none"/>
              </w:rPr>
              <w:t>高速混合装置</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rPr>
            </w:pPr>
            <w:r>
              <w:rPr>
                <w:rFonts w:hint="eastAsia"/>
                <w:sz w:val="21"/>
                <w:szCs w:val="21"/>
                <w:highlight w:val="none"/>
              </w:rPr>
              <w:t xml:space="preserve">材质SS316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计量料仓</w:t>
            </w:r>
            <w:r>
              <w:rPr>
                <w:color w:val="000000" w:themeColor="text1"/>
                <w:sz w:val="21"/>
                <w:szCs w:val="21"/>
                <w:highlight w:val="none"/>
                <w:lang w:val="zh-CN"/>
                <w14:textFill>
                  <w14:solidFill>
                    <w14:schemeClr w14:val="tx1"/>
                  </w14:solidFill>
                </w14:textFill>
              </w:rPr>
              <w:t>V</w:t>
            </w:r>
            <w:r>
              <w:rPr>
                <w:rFonts w:hint="eastAsia"/>
                <w:color w:val="000000" w:themeColor="text1"/>
                <w:sz w:val="21"/>
                <w:szCs w:val="21"/>
                <w:highlight w:val="none"/>
                <w:lang w:val="zh-CN"/>
                <w14:textFill>
                  <w14:solidFill>
                    <w14:schemeClr w14:val="tx1"/>
                  </w14:solidFill>
                </w14:textFill>
              </w:rPr>
              <w:t>≥0</w:t>
            </w:r>
            <w:r>
              <w:rPr>
                <w:color w:val="000000" w:themeColor="text1"/>
                <w:sz w:val="21"/>
                <w:szCs w:val="21"/>
                <w:highlight w:val="none"/>
                <w:lang w:val="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val="zh-CN"/>
                <w14:textFill>
                  <w14:solidFill>
                    <w14:schemeClr w14:val="tx1"/>
                  </w14:solidFill>
                </w14:textFill>
              </w:rPr>
              <w:t>m</w:t>
            </w:r>
            <w:r>
              <w:rPr>
                <w:rFonts w:ascii="Calibri" w:hAnsi="Calibri" w:cs="Calibri"/>
                <w:color w:val="000000" w:themeColor="text1"/>
                <w:sz w:val="21"/>
                <w:szCs w:val="21"/>
                <w:highlight w:val="none"/>
                <w:lang w:val="zh-CN"/>
                <w14:textFill>
                  <w14:solidFill>
                    <w14:schemeClr w14:val="tx1"/>
                  </w14:solidFill>
                </w14:textFill>
              </w:rPr>
              <w:t>³</w:t>
            </w:r>
            <w:r>
              <w:rPr>
                <w:rFonts w:hint="eastAsia" w:ascii="Calibri" w:hAnsi="Calibri" w:cs="Calibri"/>
                <w:color w:val="000000" w:themeColor="text1"/>
                <w:sz w:val="21"/>
                <w:szCs w:val="21"/>
                <w:highlight w:val="none"/>
                <w14:textFill>
                  <w14:solidFill>
                    <w14:schemeClr w14:val="tx1"/>
                  </w14:solidFill>
                </w14:textFill>
              </w:rPr>
              <w:t xml:space="preserve"> </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材质SS304   表面氟碳漆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lang w:val="zh-CN"/>
              </w:rPr>
            </w:pPr>
            <w:r>
              <w:rPr>
                <w:rFonts w:hint="eastAsia"/>
                <w:sz w:val="21"/>
                <w:szCs w:val="21"/>
                <w:highlight w:val="none"/>
                <w:lang w:val="zh-CN"/>
              </w:rPr>
              <w:t>★</w:t>
            </w: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上料螺杆</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材质SS304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rPr>
            </w:pPr>
            <w:r>
              <w:rPr>
                <w:rFonts w:hint="eastAsia"/>
                <w:sz w:val="21"/>
                <w:szCs w:val="21"/>
                <w:highlight w:val="none"/>
              </w:rPr>
              <w:t>上料螺筒</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rPr>
            </w:pPr>
            <w:r>
              <w:rPr>
                <w:rFonts w:hint="eastAsia"/>
                <w:sz w:val="21"/>
                <w:szCs w:val="21"/>
                <w:highlight w:val="none"/>
              </w:rPr>
              <w:t xml:space="preserve">材质SS304   </w:t>
            </w:r>
            <w:r>
              <w:rPr>
                <w:rFonts w:hint="eastAsia"/>
                <w:sz w:val="21"/>
                <w:szCs w:val="21"/>
                <w:highlight w:val="none"/>
                <w:lang w:val="zh-CN"/>
              </w:rPr>
              <w:t>内衬四氟乙烯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lang w:val="zh-CN"/>
              </w:rPr>
            </w:pPr>
            <w:r>
              <w:rPr>
                <w:rFonts w:hint="eastAsia"/>
                <w:sz w:val="21"/>
                <w:szCs w:val="21"/>
                <w:highlight w:val="none"/>
                <w:lang w:val="zh-CN"/>
              </w:rPr>
              <w:t>★</w:t>
            </w:r>
          </w:p>
        </w:tc>
        <w:tc>
          <w:tcPr>
            <w:tcW w:w="2700"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rPr>
            </w:pPr>
            <w:r>
              <w:rPr>
                <w:rFonts w:hint="eastAsia"/>
                <w:sz w:val="21"/>
                <w:szCs w:val="21"/>
                <w:highlight w:val="none"/>
                <w:lang w:val="zh-CN"/>
              </w:rPr>
              <w:t>多螺旋自洁螺杆</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rPr>
            </w:pPr>
            <w:r>
              <w:rPr>
                <w:rFonts w:hint="eastAsia"/>
                <w:sz w:val="21"/>
                <w:szCs w:val="21"/>
                <w:highlight w:val="none"/>
              </w:rPr>
              <w:t xml:space="preserve">材质SS304   </w:t>
            </w:r>
            <w:r>
              <w:rPr>
                <w:rFonts w:hint="eastAsia"/>
                <w:sz w:val="21"/>
                <w:szCs w:val="21"/>
                <w:highlight w:val="none"/>
                <w:lang w:val="zh-CN"/>
              </w:rPr>
              <w:t>螺杆表面</w:t>
            </w:r>
            <w:r>
              <w:rPr>
                <w:rFonts w:hint="eastAsia"/>
                <w:sz w:val="21"/>
                <w:szCs w:val="21"/>
                <w:highlight w:val="none"/>
              </w:rPr>
              <w:t>8K</w:t>
            </w:r>
            <w:r>
              <w:rPr>
                <w:rFonts w:hint="eastAsia"/>
                <w:sz w:val="21"/>
                <w:szCs w:val="21"/>
                <w:highlight w:val="none"/>
                <w:lang w:val="zh-CN"/>
              </w:rPr>
              <w:t>镜面处理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气动蝶阀</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rFonts w:hint="eastAsia"/>
                <w:sz w:val="21"/>
                <w:szCs w:val="21"/>
                <w:highlight w:val="none"/>
                <w:lang w:val="zh-CN"/>
              </w:rPr>
              <w:t>材质</w:t>
            </w:r>
            <w:r>
              <w:rPr>
                <w:rFonts w:hint="eastAsia"/>
                <w:sz w:val="21"/>
                <w:szCs w:val="21"/>
                <w:highlight w:val="none"/>
              </w:rPr>
              <w:t xml:space="preserve">SS304   </w:t>
            </w:r>
            <w:r>
              <w:rPr>
                <w:rFonts w:hint="eastAsia"/>
                <w:sz w:val="21"/>
                <w:szCs w:val="21"/>
                <w:highlight w:val="none"/>
                <w:lang w:val="zh-CN"/>
              </w:rPr>
              <w:t>内衬聚四氟乙烯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lang w:val="zh-CN"/>
              </w:rPr>
            </w:pPr>
            <w:r>
              <w:rPr>
                <w:rFonts w:hint="eastAsia"/>
                <w:color w:val="000000" w:themeColor="text1"/>
                <w:sz w:val="21"/>
                <w:szCs w:val="21"/>
                <w:highlight w:val="none"/>
                <w:lang w:val="zh-CN"/>
                <w14:textFill>
                  <w14:solidFill>
                    <w14:schemeClr w14:val="tx1"/>
                  </w14:solidFill>
                </w14:textFill>
              </w:rPr>
              <w:t>★</w:t>
            </w: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螺杆、搅拌器密封</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14:textFill>
                  <w14:solidFill>
                    <w14:schemeClr w14:val="tx1"/>
                  </w14:solidFill>
                </w14:textFill>
              </w:rPr>
              <w:t>反</w:t>
            </w:r>
            <w:r>
              <w:rPr>
                <w:rFonts w:hint="eastAsia"/>
                <w:color w:val="000000" w:themeColor="text1"/>
                <w:sz w:val="21"/>
                <w:szCs w:val="21"/>
                <w:highlight w:val="none"/>
                <w:lang w:val="zh-CN"/>
                <w14:textFill>
                  <w14:solidFill>
                    <w14:schemeClr w14:val="tx1"/>
                  </w14:solidFill>
                </w14:textFill>
              </w:rPr>
              <w:t xml:space="preserve">推出型密封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lang w:val="zh-CN"/>
              </w:rPr>
            </w:pPr>
            <w:r>
              <w:rPr>
                <w:rFonts w:hint="eastAsia"/>
                <w:sz w:val="21"/>
                <w:szCs w:val="21"/>
                <w:highlight w:val="none"/>
                <w:lang w:val="zh-CN"/>
              </w:rPr>
              <w:t>★</w:t>
            </w: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运转噪音</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rFonts w:hint="eastAsia"/>
                <w:sz w:val="21"/>
                <w:szCs w:val="21"/>
                <w:highlight w:val="none"/>
                <w:lang w:val="zh-CN"/>
              </w:rPr>
              <w:t>≤80dB，1m附近测量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电机</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rFonts w:hint="eastAsia" w:eastAsia="仿宋"/>
                <w:sz w:val="21"/>
                <w:szCs w:val="21"/>
                <w:highlight w:val="none"/>
                <w:lang w:val="en-US" w:eastAsia="zh-CN"/>
              </w:rPr>
            </w:pPr>
            <w:r>
              <w:rPr>
                <w:rFonts w:hint="eastAsia"/>
                <w:sz w:val="21"/>
                <w:szCs w:val="21"/>
                <w:highlight w:val="none"/>
                <w:lang w:val="en-US" w:eastAsia="zh-CN"/>
              </w:rPr>
              <w:t>详见清单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额定电压</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rFonts w:hint="eastAsia"/>
                <w:sz w:val="21"/>
                <w:szCs w:val="21"/>
                <w:highlight w:val="none"/>
                <w:lang w:val="zh-CN"/>
              </w:rPr>
              <w:t>AC 380V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防护等级</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rFonts w:hint="eastAsia"/>
                <w:sz w:val="21"/>
                <w:szCs w:val="21"/>
                <w:highlight w:val="none"/>
                <w:lang w:val="zh-CN"/>
              </w:rPr>
              <w:t>IP55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0" w:firstLineChars="0"/>
              <w:jc w:val="left"/>
              <w:textAlignment w:val="auto"/>
              <w:rPr>
                <w:b/>
                <w:sz w:val="21"/>
                <w:szCs w:val="21"/>
                <w:highlight w:val="none"/>
                <w:lang w:val="zh-CN"/>
              </w:rPr>
            </w:pPr>
            <w:r>
              <w:rPr>
                <w:rFonts w:hint="eastAsia"/>
                <w:b/>
                <w:sz w:val="21"/>
                <w:szCs w:val="21"/>
                <w:highlight w:val="none"/>
                <w:lang w:val="zh-CN"/>
              </w:rPr>
              <w:t>控制系统（硬件集成和软件编程）</w:t>
            </w:r>
          </w:p>
        </w:tc>
        <w:tc>
          <w:tcPr>
            <w:tcW w:w="5209"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数量</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rFonts w:hint="eastAsia"/>
                <w:sz w:val="21"/>
                <w:szCs w:val="21"/>
                <w:highlight w:val="none"/>
              </w:rPr>
              <w:t>1</w:t>
            </w:r>
            <w:r>
              <w:rPr>
                <w:rFonts w:hint="eastAsia"/>
                <w:sz w:val="21"/>
                <w:szCs w:val="21"/>
                <w:highlight w:val="none"/>
                <w:lang w:val="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5" w:type="dxa"/>
            <w:vAlign w:val="center"/>
          </w:tcPr>
          <w:p>
            <w:pPr>
              <w:pStyle w:val="20"/>
              <w:keepNext/>
              <w:keepLines/>
              <w:pageBreakBefore w:val="0"/>
              <w:widowControl w:val="0"/>
              <w:kinsoku/>
              <w:wordWrap/>
              <w:overflowPunct/>
              <w:bidi w:val="0"/>
              <w:spacing w:line="360" w:lineRule="auto"/>
              <w:ind w:left="0" w:leftChars="0" w:firstLine="0" w:firstLineChars="0"/>
              <w:jc w:val="left"/>
              <w:textAlignment w:val="auto"/>
              <w:rPr>
                <w:sz w:val="21"/>
                <w:szCs w:val="21"/>
                <w:highlight w:val="none"/>
                <w:lang w:val="zh-CN"/>
              </w:rPr>
            </w:pPr>
            <w:r>
              <w:rPr>
                <w:rFonts w:hint="eastAsia"/>
                <w:sz w:val="21"/>
                <w:szCs w:val="21"/>
                <w:highlight w:val="none"/>
                <w:lang w:val="zh-CN"/>
              </w:rPr>
              <w:t>★</w:t>
            </w: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color w:val="auto"/>
                <w:sz w:val="21"/>
                <w:szCs w:val="21"/>
                <w:highlight w:val="none"/>
                <w:lang w:val="zh-CN"/>
              </w:rPr>
            </w:pPr>
            <w:r>
              <w:rPr>
                <w:rFonts w:hint="eastAsia"/>
                <w:color w:val="auto"/>
                <w:sz w:val="21"/>
                <w:szCs w:val="21"/>
                <w:highlight w:val="none"/>
                <w:lang w:val="zh-CN"/>
              </w:rPr>
              <w:t>PLC</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rFonts w:hint="default" w:eastAsia="仿宋"/>
                <w:color w:val="auto"/>
                <w:sz w:val="21"/>
                <w:szCs w:val="21"/>
                <w:highlight w:val="none"/>
                <w:lang w:val="en-US" w:eastAsia="zh-CN"/>
              </w:rPr>
            </w:pPr>
            <w:r>
              <w:rPr>
                <w:rFonts w:asciiTheme="minorEastAsia" w:hAnsiTheme="minorEastAsia" w:eastAsiaTheme="minorEastAsia" w:cstheme="minorEastAsia"/>
                <w:sz w:val="21"/>
                <w:szCs w:val="21"/>
              </w:rPr>
              <w:t>S7-1</w:t>
            </w:r>
            <w:r>
              <w:rPr>
                <w:rFonts w:hint="eastAsia" w:asciiTheme="minorEastAsia" w:hAnsiTheme="minorEastAsia" w:eastAsiaTheme="minorEastAsia" w:cstheme="minorEastAsia"/>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触摸屏</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rFonts w:hint="eastAsia"/>
                <w:sz w:val="21"/>
                <w:szCs w:val="21"/>
                <w:highlight w:val="none"/>
                <w:lang w:val="zh-CN"/>
              </w:rPr>
              <w:t>电源DC 24V  ＞1</w:t>
            </w:r>
            <w:r>
              <w:rPr>
                <w:sz w:val="21"/>
                <w:szCs w:val="21"/>
                <w:highlight w:val="none"/>
                <w:lang w:val="zh-CN"/>
              </w:rPr>
              <w:t>2</w:t>
            </w:r>
            <w:r>
              <w:rPr>
                <w:rFonts w:hint="eastAsia"/>
                <w:sz w:val="21"/>
                <w:szCs w:val="21"/>
                <w:highlight w:val="none"/>
                <w:lang w:val="zh-CN"/>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电源电压</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rFonts w:hint="eastAsia"/>
                <w:sz w:val="21"/>
                <w:szCs w:val="21"/>
                <w:highlight w:val="none"/>
                <w:lang w:val="zh-CN"/>
              </w:rPr>
              <w:t>AC 380V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控制电压</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rFonts w:hint="eastAsia"/>
                <w:sz w:val="21"/>
                <w:szCs w:val="21"/>
                <w:highlight w:val="none"/>
                <w:lang w:val="zh-CN"/>
              </w:rPr>
              <w:t>DC 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主要功能</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lang w:val="zh-CN"/>
              </w:rPr>
            </w:pPr>
            <w:r>
              <w:rPr>
                <w:rFonts w:hint="eastAsia"/>
                <w:sz w:val="21"/>
                <w:szCs w:val="21"/>
                <w:highlight w:val="none"/>
                <w:lang w:val="zh-CN"/>
              </w:rPr>
              <w:t>联动启动/停止全套设备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主要功能</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sz w:val="21"/>
                <w:szCs w:val="21"/>
                <w:highlight w:val="none"/>
              </w:rPr>
            </w:pPr>
            <w:r>
              <w:rPr>
                <w:rFonts w:hint="eastAsia"/>
                <w:sz w:val="21"/>
                <w:szCs w:val="21"/>
                <w:highlight w:val="none"/>
                <w:lang w:val="zh-CN"/>
              </w:rPr>
              <w:t>数据统计分析</w:t>
            </w:r>
            <w:r>
              <w:rPr>
                <w:rFonts w:hint="eastAsia"/>
                <w:sz w:val="21"/>
                <w:szCs w:val="21"/>
                <w:highlight w:val="none"/>
              </w:rPr>
              <w:t xml:space="preserve">  报表生成  报警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5"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p>
        </w:tc>
        <w:tc>
          <w:tcPr>
            <w:tcW w:w="2700" w:type="dxa"/>
            <w:vAlign w:val="center"/>
          </w:tcPr>
          <w:p>
            <w:pPr>
              <w:pStyle w:val="20"/>
              <w:keepNext/>
              <w:keepLines/>
              <w:pageBreakBefore w:val="0"/>
              <w:widowControl w:val="0"/>
              <w:kinsoku/>
              <w:wordWrap/>
              <w:overflowPunct/>
              <w:bidi w:val="0"/>
              <w:spacing w:line="360" w:lineRule="auto"/>
              <w:ind w:firstLine="420"/>
              <w:jc w:val="left"/>
              <w:textAlignment w:val="auto"/>
              <w:rPr>
                <w:sz w:val="21"/>
                <w:szCs w:val="21"/>
                <w:highlight w:val="none"/>
                <w:lang w:val="zh-CN"/>
              </w:rPr>
            </w:pPr>
            <w:r>
              <w:rPr>
                <w:rFonts w:hint="eastAsia"/>
                <w:sz w:val="21"/>
                <w:szCs w:val="21"/>
                <w:highlight w:val="none"/>
                <w:lang w:val="zh-CN"/>
              </w:rPr>
              <w:t>主要功能</w:t>
            </w:r>
          </w:p>
        </w:tc>
        <w:tc>
          <w:tcPr>
            <w:tcW w:w="5209" w:type="dxa"/>
            <w:vAlign w:val="center"/>
          </w:tcPr>
          <w:p>
            <w:pPr>
              <w:pStyle w:val="20"/>
              <w:keepNext/>
              <w:keepLines/>
              <w:pageBreakBefore w:val="0"/>
              <w:widowControl w:val="0"/>
              <w:kinsoku/>
              <w:wordWrap/>
              <w:overflowPunct/>
              <w:bidi w:val="0"/>
              <w:spacing w:line="360" w:lineRule="auto"/>
              <w:ind w:firstLine="0" w:firstLineChars="0"/>
              <w:jc w:val="left"/>
              <w:textAlignment w:val="auto"/>
              <w:rPr>
                <w:color w:val="FF0000"/>
                <w:sz w:val="21"/>
                <w:szCs w:val="21"/>
                <w:highlight w:val="none"/>
              </w:rPr>
            </w:pPr>
            <w:r>
              <w:rPr>
                <w:rFonts w:hint="eastAsia"/>
                <w:color w:val="000000" w:themeColor="text1"/>
                <w:sz w:val="21"/>
                <w:szCs w:val="21"/>
                <w:highlight w:val="none"/>
                <w:shd w:val="clear" w:color="auto" w:fill="FFFFFF" w:themeFill="background1"/>
                <w14:textFill>
                  <w14:solidFill>
                    <w14:schemeClr w14:val="tx1"/>
                  </w14:solidFill>
                </w14:textFill>
              </w:rPr>
              <w:t>定投模式</w:t>
            </w:r>
          </w:p>
        </w:tc>
      </w:tr>
    </w:tbl>
    <w:p>
      <w:pPr>
        <w:pStyle w:val="20"/>
        <w:keepNext/>
        <w:keepLines/>
        <w:pageBreakBefore w:val="0"/>
        <w:widowControl w:val="0"/>
        <w:kinsoku/>
        <w:wordWrap/>
        <w:overflowPunct/>
        <w:bidi w:val="0"/>
        <w:spacing w:line="360" w:lineRule="auto"/>
        <w:ind w:firstLine="0" w:firstLineChars="0"/>
        <w:jc w:val="left"/>
        <w:textAlignment w:val="auto"/>
        <w:rPr>
          <w:lang w:val="zh-CN"/>
        </w:rPr>
      </w:pPr>
    </w:p>
    <w:p>
      <w:pPr>
        <w:pStyle w:val="20"/>
        <w:keepNext/>
        <w:keepLines/>
        <w:pageBreakBefore w:val="0"/>
        <w:widowControl w:val="0"/>
        <w:kinsoku/>
        <w:wordWrap/>
        <w:overflowPunct/>
        <w:bidi w:val="0"/>
        <w:spacing w:line="360" w:lineRule="auto"/>
        <w:ind w:firstLine="0" w:firstLineChars="0"/>
        <w:jc w:val="left"/>
        <w:textAlignment w:val="auto"/>
        <w:rPr>
          <w:b/>
          <w:bCs/>
        </w:rPr>
      </w:pPr>
      <w:r>
        <w:rPr>
          <w:rFonts w:hint="eastAsia"/>
          <w:b/>
          <w:bCs/>
        </w:rPr>
        <w:t>1.1.4</w:t>
      </w:r>
      <w:r>
        <w:rPr>
          <w:rFonts w:hint="eastAsia"/>
          <w:b/>
          <w:bCs/>
          <w:lang w:val="zh-CN"/>
        </w:rPr>
        <w:t>设备清单</w:t>
      </w:r>
      <w:r>
        <w:rPr>
          <w:rFonts w:hint="eastAsia"/>
          <w:b/>
          <w:bCs/>
        </w:rPr>
        <w:t>9（单套）</w:t>
      </w:r>
    </w:p>
    <w:tbl>
      <w:tblPr>
        <w:tblStyle w:val="15"/>
        <w:tblW w:w="8849" w:type="dxa"/>
        <w:jc w:val="center"/>
        <w:tblLayout w:type="fixed"/>
        <w:tblCellMar>
          <w:top w:w="15" w:type="dxa"/>
          <w:left w:w="15" w:type="dxa"/>
          <w:bottom w:w="15" w:type="dxa"/>
          <w:right w:w="15" w:type="dxa"/>
        </w:tblCellMar>
      </w:tblPr>
      <w:tblGrid>
        <w:gridCol w:w="825"/>
        <w:gridCol w:w="1724"/>
        <w:gridCol w:w="2386"/>
        <w:gridCol w:w="1065"/>
        <w:gridCol w:w="855"/>
        <w:gridCol w:w="576"/>
        <w:gridCol w:w="1418"/>
      </w:tblGrid>
      <w:tr>
        <w:tblPrEx>
          <w:tblCellMar>
            <w:top w:w="15" w:type="dxa"/>
            <w:left w:w="15" w:type="dxa"/>
            <w:bottom w:w="15" w:type="dxa"/>
            <w:right w:w="15" w:type="dxa"/>
          </w:tblCellMar>
        </w:tblPrEx>
        <w:trPr>
          <w:trHeight w:val="458"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编号</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名称</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规格</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材质</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单位</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数量</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备注</w:t>
            </w:r>
          </w:p>
        </w:tc>
      </w:tr>
      <w:tr>
        <w:tblPrEx>
          <w:tblCellMar>
            <w:top w:w="15" w:type="dxa"/>
            <w:left w:w="15" w:type="dxa"/>
            <w:bottom w:w="15" w:type="dxa"/>
            <w:right w:w="15" w:type="dxa"/>
          </w:tblCellMar>
        </w:tblPrEx>
        <w:trPr>
          <w:trHeight w:val="499"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一、</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自动上料装置</w:t>
            </w:r>
          </w:p>
        </w:tc>
        <w:tc>
          <w:tcPr>
            <w:tcW w:w="23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cstheme="minorEastAsia"/>
                <w:szCs w:val="21"/>
                <w:lang w:val="zh-CN"/>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0" w:firstLineChars="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547"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上料螺杆、螺筒</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L=3800 DN133 垂直上料</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SS304</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444"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上料电机</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N=2.2KW  Hz=50</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0" w:firstLineChars="0"/>
              <w:jc w:val="center"/>
              <w:textAlignment w:val="auto"/>
              <w:rPr>
                <w:rFonts w:asciiTheme="minorEastAsia" w:hAnsiTheme="minorEastAsia" w:eastAsiaTheme="minorEastAsia" w:cstheme="minorEastAsia"/>
                <w:sz w:val="21"/>
                <w:szCs w:val="21"/>
              </w:rPr>
            </w:pPr>
          </w:p>
        </w:tc>
      </w:tr>
      <w:tr>
        <w:tblPrEx>
          <w:tblCellMar>
            <w:top w:w="15" w:type="dxa"/>
            <w:left w:w="15" w:type="dxa"/>
            <w:bottom w:w="15" w:type="dxa"/>
            <w:right w:w="15" w:type="dxa"/>
          </w:tblCellMar>
        </w:tblPrEx>
        <w:trPr>
          <w:trHeight w:val="90"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投料仓</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非标件 内表面PVDF图层</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SS304</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0" w:firstLineChars="0"/>
              <w:jc w:val="center"/>
              <w:textAlignment w:val="auto"/>
              <w:rPr>
                <w:rFonts w:asciiTheme="minorEastAsia" w:hAnsiTheme="minorEastAsia" w:eastAsiaTheme="minorEastAsia" w:cstheme="minorEastAsia"/>
                <w:sz w:val="21"/>
                <w:szCs w:val="21"/>
              </w:rPr>
            </w:pPr>
          </w:p>
        </w:tc>
      </w:tr>
      <w:tr>
        <w:tblPrEx>
          <w:tblCellMar>
            <w:top w:w="15" w:type="dxa"/>
            <w:left w:w="15" w:type="dxa"/>
            <w:bottom w:w="15" w:type="dxa"/>
            <w:right w:w="15" w:type="dxa"/>
          </w:tblCellMar>
        </w:tblPrEx>
        <w:trPr>
          <w:trHeight w:val="615"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二、</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粉体连续精确计量单元</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420"/>
              <w:jc w:val="center"/>
              <w:textAlignment w:val="auto"/>
              <w:rPr>
                <w:rFonts w:asciiTheme="minorEastAsia" w:hAnsiTheme="minorEastAsia" w:eastAsiaTheme="minorEastAsia" w:cstheme="minorEastAsia"/>
                <w:sz w:val="21"/>
                <w:szCs w:val="21"/>
                <w:lang w:val="zh-CN"/>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615"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计量料仓</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非标件 内表面PVDF图层</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SS304</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个</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936"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PAC</w:t>
            </w:r>
            <w:r>
              <w:rPr>
                <w:rFonts w:hint="eastAsia" w:asciiTheme="minorEastAsia" w:hAnsiTheme="minorEastAsia" w:eastAsiaTheme="minorEastAsia" w:cstheme="minorEastAsia"/>
                <w:sz w:val="21"/>
                <w:szCs w:val="21"/>
                <w:lang w:val="zh-CN"/>
              </w:rPr>
              <w:t>粉体连续精确计量装置</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非标件（镜面多螺旋、</w:t>
            </w:r>
            <w:r>
              <w:rPr>
                <w:rFonts w:hint="eastAsia" w:asciiTheme="minorEastAsia" w:hAnsiTheme="minorEastAsia" w:eastAsiaTheme="minorEastAsia" w:cstheme="minorEastAsia"/>
                <w:sz w:val="21"/>
                <w:szCs w:val="21"/>
              </w:rPr>
              <w:t>专用反推式</w:t>
            </w:r>
            <w:r>
              <w:rPr>
                <w:rFonts w:hint="eastAsia" w:asciiTheme="minorEastAsia" w:hAnsiTheme="minorEastAsia" w:eastAsiaTheme="minorEastAsia" w:cstheme="minorEastAsia"/>
                <w:sz w:val="21"/>
                <w:szCs w:val="21"/>
                <w:lang w:val="zh-CN"/>
              </w:rPr>
              <w:t>密封</w:t>
            </w:r>
            <w:r>
              <w:rPr>
                <w:rFonts w:hint="eastAsia" w:asciiTheme="minorEastAsia" w:hAnsiTheme="minorEastAsia" w:eastAsiaTheme="minorEastAsia" w:cstheme="minorEastAsia"/>
                <w:sz w:val="21"/>
                <w:szCs w:val="21"/>
              </w:rPr>
              <w:t>圈</w:t>
            </w:r>
            <w:r>
              <w:rPr>
                <w:rFonts w:hint="eastAsia" w:asciiTheme="minorEastAsia" w:hAnsiTheme="minorEastAsia" w:eastAsiaTheme="minorEastAsia" w:cstheme="minorEastAsia"/>
                <w:sz w:val="21"/>
                <w:szCs w:val="21"/>
                <w:lang w:val="zh-CN"/>
              </w:rPr>
              <w:t>）</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SS304</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210" w:firstLineChars="100"/>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491"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粉液混合器</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非标件</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SS304</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台</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0" w:firstLineChars="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547"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伺服电机</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N=0.75KW</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台</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0" w:firstLineChars="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642"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称重传感器</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MT1260-200kg</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台</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0" w:firstLineChars="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936"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三、</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高速粉体连续溶解投加单元</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420"/>
              <w:jc w:val="center"/>
              <w:textAlignment w:val="auto"/>
              <w:rPr>
                <w:rFonts w:asciiTheme="minorEastAsia" w:hAnsiTheme="minorEastAsia" w:eastAsiaTheme="minorEastAsia" w:cstheme="minorEastAsia"/>
                <w:sz w:val="21"/>
                <w:szCs w:val="21"/>
                <w:lang w:val="zh-CN"/>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0" w:firstLineChars="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936"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多级高速粉体连续</w:t>
            </w:r>
            <w:r>
              <w:rPr>
                <w:rFonts w:hint="eastAsia" w:asciiTheme="minorEastAsia" w:hAnsiTheme="minorEastAsia" w:eastAsiaTheme="minorEastAsia" w:cstheme="minorEastAsia"/>
                <w:sz w:val="21"/>
                <w:szCs w:val="21"/>
              </w:rPr>
              <w:t>溶解连续投加泵</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Q=6.6</w:t>
            </w:r>
            <w:r>
              <w:rPr>
                <w:rFonts w:hint="eastAsia" w:asciiTheme="minorEastAsia" w:hAnsiTheme="minorEastAsia" w:eastAsiaTheme="minorEastAsia" w:cstheme="minorEastAsia"/>
                <w:sz w:val="21"/>
                <w:szCs w:val="21"/>
                <w:lang w:val="en-US" w:eastAsia="zh-CN"/>
              </w:rPr>
              <w:t>m³</w:t>
            </w:r>
            <w:r>
              <w:rPr>
                <w:rFonts w:hint="eastAsia" w:asciiTheme="minorEastAsia" w:hAnsiTheme="minorEastAsia" w:eastAsiaTheme="minorEastAsia" w:cstheme="minorEastAsia"/>
                <w:sz w:val="21"/>
                <w:szCs w:val="21"/>
              </w:rPr>
              <w:t>/h、H=15M</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SS316</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210" w:firstLineChars="100"/>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561"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投加泵</w:t>
            </w:r>
            <w:r>
              <w:rPr>
                <w:rFonts w:hint="eastAsia" w:asciiTheme="minorEastAsia" w:hAnsiTheme="minorEastAsia" w:eastAsiaTheme="minorEastAsia" w:cstheme="minorEastAsia"/>
                <w:sz w:val="21"/>
                <w:szCs w:val="21"/>
                <w:lang w:val="zh-CN"/>
              </w:rPr>
              <w:t>电机</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N=1.1kw Hz=50</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0" w:firstLineChars="0"/>
              <w:jc w:val="center"/>
              <w:textAlignment w:val="auto"/>
              <w:rPr>
                <w:rFonts w:asciiTheme="minorEastAsia" w:hAnsiTheme="minorEastAsia" w:eastAsiaTheme="minorEastAsia" w:cstheme="minorEastAsia"/>
                <w:sz w:val="21"/>
                <w:szCs w:val="21"/>
              </w:rPr>
            </w:pPr>
          </w:p>
        </w:tc>
      </w:tr>
      <w:tr>
        <w:tblPrEx>
          <w:tblCellMar>
            <w:top w:w="15" w:type="dxa"/>
            <w:left w:w="15" w:type="dxa"/>
            <w:bottom w:w="15" w:type="dxa"/>
            <w:right w:w="15" w:type="dxa"/>
          </w:tblCellMar>
        </w:tblPrEx>
        <w:trPr>
          <w:trHeight w:val="792"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溶解程度混合分离控制装置</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非标件</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SS316</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210" w:firstLineChars="100"/>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615"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渣粒反冲装置</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非标件</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SS316</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643"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四、</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储存料仓</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820"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料仓</w:t>
            </w:r>
          </w:p>
        </w:tc>
        <w:tc>
          <w:tcPr>
            <w:tcW w:w="23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cstheme="minorEastAsia"/>
                <w:szCs w:val="21"/>
              </w:rPr>
            </w:pPr>
            <w:r>
              <w:rPr>
                <w:rFonts w:hint="eastAsia" w:asciiTheme="minorEastAsia" w:hAnsiTheme="minorEastAsia" w:eastAsiaTheme="minorEastAsia" w:cstheme="minorEastAsia"/>
                <w:kern w:val="0"/>
                <w:sz w:val="21"/>
                <w:szCs w:val="21"/>
                <w:lang w:val="en-US" w:eastAsia="zh-CN" w:bidi="ar-SA"/>
              </w:rPr>
              <w:t>V=0.8m³ 内表面PVDF涂层</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SS304</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个</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738"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防板结搅拌装置</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非标件</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SS304</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478"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防板结震动装置</w:t>
            </w:r>
          </w:p>
        </w:tc>
        <w:tc>
          <w:tcPr>
            <w:tcW w:w="23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cstheme="minorEastAsia"/>
                <w:szCs w:val="21"/>
                <w:lang w:val="zh-CN"/>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0" w:firstLineChars="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588"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料位称重传感器</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PS7-500Kg</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210" w:firstLineChars="100"/>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629"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5</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搅拌电机</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N=1.5KW Hz=50</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台</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textAlignment w:val="auto"/>
              <w:rPr>
                <w:rFonts w:asciiTheme="minorEastAsia" w:hAnsiTheme="minorEastAsia" w:eastAsiaTheme="minorEastAsia" w:cstheme="minorEastAsia"/>
                <w:sz w:val="21"/>
                <w:szCs w:val="21"/>
              </w:rPr>
            </w:pPr>
          </w:p>
        </w:tc>
      </w:tr>
      <w:tr>
        <w:tblPrEx>
          <w:tblCellMar>
            <w:top w:w="15" w:type="dxa"/>
            <w:left w:w="15" w:type="dxa"/>
            <w:bottom w:w="15" w:type="dxa"/>
            <w:right w:w="15" w:type="dxa"/>
          </w:tblCellMar>
        </w:tblPrEx>
        <w:trPr>
          <w:trHeight w:val="547"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粉尘回收装置</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UPVC</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textAlignment w:val="auto"/>
              <w:rPr>
                <w:rFonts w:asciiTheme="minorEastAsia" w:hAnsiTheme="minorEastAsia" w:eastAsiaTheme="minorEastAsia" w:cstheme="minorEastAsia"/>
                <w:sz w:val="21"/>
                <w:szCs w:val="21"/>
              </w:rPr>
            </w:pPr>
          </w:p>
        </w:tc>
      </w:tr>
      <w:tr>
        <w:tblPrEx>
          <w:tblCellMar>
            <w:top w:w="15" w:type="dxa"/>
            <w:left w:w="15" w:type="dxa"/>
            <w:bottom w:w="15" w:type="dxa"/>
            <w:right w:w="15" w:type="dxa"/>
          </w:tblCellMar>
        </w:tblPrEx>
        <w:trPr>
          <w:trHeight w:val="602"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7</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气动蝶阀</w:t>
            </w:r>
          </w:p>
        </w:tc>
        <w:tc>
          <w:tcPr>
            <w:tcW w:w="23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cstheme="minorEastAsia"/>
                <w:color w:val="000000"/>
                <w:szCs w:val="21"/>
              </w:rPr>
            </w:pPr>
            <w:r>
              <w:rPr>
                <w:rFonts w:hint="eastAsia" w:asciiTheme="minorEastAsia" w:hAnsiTheme="minorEastAsia" w:eastAsiaTheme="minorEastAsia" w:cstheme="minorEastAsia"/>
                <w:kern w:val="0"/>
                <w:sz w:val="21"/>
                <w:szCs w:val="21"/>
                <w:lang w:val="en-US" w:eastAsia="zh-CN" w:bidi="ar-SA"/>
              </w:rPr>
              <w:t>DN159</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内衬四氟</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台</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textAlignment w:val="auto"/>
              <w:rPr>
                <w:rFonts w:asciiTheme="minorEastAsia" w:hAnsiTheme="minorEastAsia" w:eastAsiaTheme="minorEastAsia" w:cstheme="minorEastAsia"/>
                <w:sz w:val="21"/>
                <w:szCs w:val="21"/>
              </w:rPr>
            </w:pPr>
          </w:p>
        </w:tc>
      </w:tr>
      <w:tr>
        <w:tblPrEx>
          <w:tblCellMar>
            <w:top w:w="15" w:type="dxa"/>
            <w:left w:w="15" w:type="dxa"/>
            <w:bottom w:w="15" w:type="dxa"/>
            <w:right w:w="15" w:type="dxa"/>
          </w:tblCellMar>
        </w:tblPrEx>
        <w:trPr>
          <w:trHeight w:val="520"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管件、手动阀门</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506"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电动调节阀</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DN32</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SS304</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616"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涡轮流量计</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DN</w:t>
            </w:r>
            <w:r>
              <w:rPr>
                <w:rFonts w:asciiTheme="minorEastAsia" w:hAnsiTheme="minorEastAsia" w:eastAsiaTheme="minorEastAsia" w:cstheme="minorEastAsia"/>
                <w:sz w:val="21"/>
                <w:szCs w:val="21"/>
              </w:rPr>
              <w:t>20</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SS304</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567"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减压阀</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DN</w:t>
            </w:r>
            <w:r>
              <w:rPr>
                <w:rFonts w:asciiTheme="minorEastAsia" w:hAnsiTheme="minorEastAsia" w:eastAsiaTheme="minorEastAsia" w:cstheme="minorEastAsia"/>
                <w:sz w:val="21"/>
                <w:szCs w:val="21"/>
              </w:rPr>
              <w:t>20</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铜</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both"/>
              <w:textAlignment w:val="auto"/>
              <w:rPr>
                <w:rFonts w:hint="eastAsia" w:asciiTheme="minorEastAsia" w:hAnsiTheme="minorEastAsia" w:eastAsiaTheme="minorEastAsia" w:cstheme="minorEastAsia"/>
                <w:sz w:val="21"/>
                <w:szCs w:val="21"/>
                <w:lang w:val="zh-CN"/>
              </w:rPr>
            </w:pPr>
            <w:r>
              <w:rPr>
                <w:rFonts w:asciiTheme="minorEastAsia" w:hAnsiTheme="minorEastAsia" w:eastAsiaTheme="minorEastAsia" w:cstheme="minorEastAsia"/>
                <w:sz w:val="21"/>
                <w:szCs w:val="21"/>
                <w:lang w:val="zh-CN"/>
              </w:rPr>
              <w:t>带压力表</w:t>
            </w:r>
          </w:p>
        </w:tc>
      </w:tr>
      <w:tr>
        <w:tblPrEx>
          <w:tblCellMar>
            <w:top w:w="15" w:type="dxa"/>
            <w:left w:w="15" w:type="dxa"/>
            <w:bottom w:w="15" w:type="dxa"/>
            <w:right w:w="15" w:type="dxa"/>
          </w:tblCellMar>
        </w:tblPrEx>
        <w:trPr>
          <w:trHeight w:val="561"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不锈钢常闭电磁阀</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DN32</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SS304</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588"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5</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球阀</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DN25</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UPVC</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465"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6</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球阀</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DN32</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UPVC</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465"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7</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管、及管件</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DN25 DN32 DN50</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UPVC</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批</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479"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出药流量计</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台</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547"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安全报警系统</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547"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断药检测仪</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DN32</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SS304</w:t>
            </w: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506"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控制系统</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系统功率N=1KW</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0" w:firstLineChars="0"/>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806"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触摸屏（15寸液晶控制触摸屏）</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15寸液晶控制触摸屏</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left"/>
              <w:textAlignment w:val="auto"/>
              <w:rPr>
                <w:rFonts w:hint="eastAsia"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499"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PLC</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S7-1</w:t>
            </w:r>
            <w:r>
              <w:rPr>
                <w:rFonts w:hint="eastAsia" w:asciiTheme="minorEastAsia" w:hAnsiTheme="minorEastAsia" w:eastAsiaTheme="minorEastAsia" w:cstheme="minorEastAsia"/>
                <w:sz w:val="21"/>
                <w:szCs w:val="21"/>
              </w:rPr>
              <w:t>200</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458"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称重计量模块</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静载型 可接1路信号</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445"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控制柜</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主要元器件施耐德</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批</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210" w:firstLineChars="100"/>
              <w:textAlignment w:val="auto"/>
              <w:rPr>
                <w:rFonts w:asciiTheme="minorEastAsia" w:hAnsiTheme="minorEastAsia" w:eastAsiaTheme="minorEastAsia" w:cstheme="minorEastAsia"/>
                <w:sz w:val="21"/>
                <w:szCs w:val="21"/>
                <w:lang w:val="zh-CN"/>
              </w:rPr>
            </w:pPr>
          </w:p>
        </w:tc>
      </w:tr>
      <w:tr>
        <w:tblPrEx>
          <w:tblCellMar>
            <w:top w:w="15" w:type="dxa"/>
            <w:left w:w="15" w:type="dxa"/>
            <w:bottom w:w="15" w:type="dxa"/>
            <w:right w:w="15" w:type="dxa"/>
          </w:tblCellMar>
        </w:tblPrEx>
        <w:trPr>
          <w:trHeight w:val="488"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5</w:t>
            </w:r>
          </w:p>
        </w:tc>
        <w:tc>
          <w:tcPr>
            <w:tcW w:w="1724"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机壳</w:t>
            </w:r>
          </w:p>
        </w:tc>
        <w:tc>
          <w:tcPr>
            <w:tcW w:w="238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非标件1850*1600*3200</w:t>
            </w:r>
          </w:p>
        </w:tc>
        <w:tc>
          <w:tcPr>
            <w:tcW w:w="106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lang w:val="zh-CN"/>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576"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20"/>
              <w:keepNext/>
              <w:keepLines/>
              <w:pageBreakBefore w:val="0"/>
              <w:widowControl w:val="0"/>
              <w:kinsoku/>
              <w:wordWrap/>
              <w:overflowPunct/>
              <w:bidi w:val="0"/>
              <w:ind w:firstLine="420" w:firstLineChars="200"/>
              <w:jc w:val="center"/>
              <w:textAlignment w:val="auto"/>
              <w:rPr>
                <w:rFonts w:asciiTheme="minorEastAsia" w:hAnsiTheme="minorEastAsia" w:eastAsiaTheme="minorEastAsia" w:cstheme="minorEastAsia"/>
                <w:sz w:val="21"/>
                <w:szCs w:val="21"/>
                <w:lang w:val="zh-CN"/>
              </w:rPr>
            </w:pPr>
          </w:p>
        </w:tc>
      </w:tr>
    </w:tbl>
    <w:p>
      <w:pPr>
        <w:pStyle w:val="20"/>
        <w:keepNext/>
        <w:keepLines/>
        <w:pageBreakBefore w:val="0"/>
        <w:widowControl w:val="0"/>
        <w:kinsoku/>
        <w:wordWrap/>
        <w:overflowPunct/>
        <w:bidi w:val="0"/>
        <w:spacing w:line="360" w:lineRule="auto"/>
        <w:ind w:firstLine="0" w:firstLineChars="0"/>
        <w:jc w:val="left"/>
        <w:textAlignment w:val="auto"/>
        <w:rPr>
          <w:b/>
          <w:bCs/>
        </w:rPr>
      </w:pPr>
    </w:p>
    <w:p>
      <w:pPr>
        <w:pStyle w:val="20"/>
        <w:keepNext/>
        <w:keepLines/>
        <w:pageBreakBefore w:val="0"/>
        <w:widowControl w:val="0"/>
        <w:kinsoku/>
        <w:wordWrap/>
        <w:overflowPunct/>
        <w:bidi w:val="0"/>
        <w:spacing w:line="360" w:lineRule="auto"/>
        <w:ind w:firstLine="0" w:firstLineChars="0"/>
        <w:jc w:val="left"/>
        <w:textAlignment w:val="auto"/>
        <w:rPr>
          <w:lang w:val="zh-CN"/>
        </w:rPr>
      </w:pPr>
      <w:r>
        <w:rPr>
          <w:rFonts w:hint="eastAsia"/>
          <w:b/>
          <w:bCs/>
        </w:rPr>
        <w:t>1.1.5</w:t>
      </w:r>
      <w:r>
        <w:rPr>
          <w:rFonts w:hint="eastAsia"/>
          <w:b/>
          <w:bCs/>
          <w:lang w:val="zh-CN"/>
        </w:rPr>
        <w:t>工作原理：</w:t>
      </w:r>
    </w:p>
    <w:p>
      <w:pPr>
        <w:pStyle w:val="20"/>
        <w:keepNext/>
        <w:keepLines/>
        <w:pageBreakBefore w:val="0"/>
        <w:widowControl w:val="0"/>
        <w:kinsoku/>
        <w:wordWrap/>
        <w:overflowPunct/>
        <w:bidi w:val="0"/>
        <w:spacing w:line="360" w:lineRule="auto"/>
        <w:jc w:val="left"/>
        <w:textAlignment w:val="auto"/>
        <w:rPr>
          <w:lang w:val="zh-CN"/>
        </w:rPr>
      </w:pPr>
      <w:r>
        <w:rPr>
          <w:rFonts w:hint="eastAsia"/>
          <w:lang w:val="zh-CN"/>
        </w:rPr>
        <w:t>PA</w:t>
      </w:r>
      <w:r>
        <w:rPr>
          <w:lang w:val="zh-CN"/>
        </w:rPr>
        <w:t>C</w:t>
      </w:r>
      <w:r>
        <w:rPr>
          <w:rFonts w:hint="eastAsia"/>
          <w:lang w:val="zh-CN"/>
        </w:rPr>
        <w:t>粉末由地埋式上料装置通过上料螺杆输送到储存料仓，投加设备料仓应采用连续显示仓内余料的重量料位计，仓底集料螺杆和料仓之间采用防止PAC粘附的特种</w:t>
      </w:r>
      <w:r>
        <w:rPr>
          <w:rFonts w:hint="eastAsia"/>
        </w:rPr>
        <w:t>反</w:t>
      </w:r>
      <w:r>
        <w:rPr>
          <w:rFonts w:hint="eastAsia"/>
          <w:lang w:val="zh-CN"/>
        </w:rPr>
        <w:t>推件密封，料仓底部采用充气式防板结器，出料口有活化器，气动蝶阀控制下料，手动设定投药量，再把PAC粉末输送到粉体高速混合装置（无需预先配成液体，避免药剂提前水解）即时高速混合溶解后，将药液输送到投药点。从而在实现灵活调整溶液浓度</w:t>
      </w:r>
    </w:p>
    <w:p>
      <w:pPr>
        <w:pStyle w:val="20"/>
        <w:keepNext/>
        <w:keepLines/>
        <w:pageBreakBefore w:val="0"/>
        <w:widowControl w:val="0"/>
        <w:kinsoku/>
        <w:wordWrap/>
        <w:overflowPunct/>
        <w:bidi w:val="0"/>
        <w:spacing w:line="360" w:lineRule="auto"/>
        <w:jc w:val="left"/>
        <w:textAlignment w:val="auto"/>
        <w:rPr>
          <w:lang w:val="zh-CN"/>
        </w:rPr>
      </w:pPr>
      <w:r>
        <w:rPr>
          <w:rFonts w:hint="eastAsia"/>
          <w:lang w:val="zh-CN"/>
        </w:rPr>
        <w:t>全自动PAC粉末投加装置系统及辅助设备、仪表等所有的配电、控制均由设备公司成套提供，并保证整个系统能正常、安全运行。</w:t>
      </w:r>
    </w:p>
    <w:p>
      <w:pPr>
        <w:keepNext/>
        <w:keepLines/>
        <w:pageBreakBefore w:val="0"/>
        <w:widowControl w:val="0"/>
        <w:kinsoku/>
        <w:wordWrap/>
        <w:overflowPunct/>
        <w:bidi w:val="0"/>
        <w:spacing w:line="360" w:lineRule="auto"/>
        <w:jc w:val="left"/>
        <w:textAlignment w:val="auto"/>
        <w:rPr>
          <w:rFonts w:ascii="仿宋" w:hAnsi="仿宋" w:eastAsia="仿宋" w:cs="仿宋"/>
          <w:b/>
          <w:bCs/>
          <w:sz w:val="24"/>
        </w:rPr>
      </w:pPr>
      <w:bookmarkStart w:id="2" w:name="_Toc532644672"/>
      <w:bookmarkStart w:id="3" w:name="_Toc530978513"/>
      <w:r>
        <w:rPr>
          <w:rFonts w:hint="eastAsia" w:ascii="仿宋" w:hAnsi="仿宋" w:eastAsia="仿宋" w:cs="仿宋"/>
          <w:b/>
          <w:bCs/>
          <w:sz w:val="24"/>
        </w:rPr>
        <w:t>1.1.6电气与控制</w:t>
      </w:r>
    </w:p>
    <w:p>
      <w:pPr>
        <w:pStyle w:val="22"/>
        <w:keepNext/>
        <w:keepLines/>
        <w:pageBreakBefore w:val="0"/>
        <w:widowControl w:val="0"/>
        <w:kinsoku/>
        <w:wordWrap/>
        <w:overflowPunct/>
        <w:bidi w:val="0"/>
        <w:spacing w:line="360" w:lineRule="auto"/>
        <w:ind w:firstLine="480" w:firstLineChars="200"/>
        <w:jc w:val="left"/>
        <w:textAlignment w:val="auto"/>
        <w:rPr>
          <w:rFonts w:ascii="仿宋" w:hAnsi="仿宋" w:eastAsia="仿宋" w:cs="仿宋"/>
          <w:color w:val="000000" w:themeColor="text1"/>
          <w:szCs w:val="24"/>
          <w14:textFill>
            <w14:solidFill>
              <w14:schemeClr w14:val="tx1"/>
            </w14:solidFill>
          </w14:textFill>
        </w:rPr>
      </w:pPr>
      <w:bookmarkStart w:id="4" w:name="_Toc457328646"/>
      <w:bookmarkStart w:id="5" w:name="_Toc458703474"/>
      <w:r>
        <w:rPr>
          <w:rFonts w:hint="eastAsia" w:ascii="仿宋" w:hAnsi="仿宋" w:eastAsia="仿宋" w:cs="仿宋"/>
          <w:color w:val="000000" w:themeColor="text1"/>
          <w:szCs w:val="24"/>
          <w14:textFill>
            <w14:solidFill>
              <w14:schemeClr w14:val="tx1"/>
            </w14:solidFill>
          </w14:textFill>
        </w:rPr>
        <w:t>PAC智能投加系统电控柜，防护等级I</w:t>
      </w:r>
      <w:r>
        <w:rPr>
          <w:rFonts w:ascii="仿宋" w:hAnsi="仿宋" w:eastAsia="仿宋" w:cs="仿宋"/>
          <w:color w:val="000000" w:themeColor="text1"/>
          <w:szCs w:val="24"/>
          <w14:textFill>
            <w14:solidFill>
              <w14:schemeClr w14:val="tx1"/>
            </w14:solidFill>
          </w14:textFill>
        </w:rPr>
        <w:t>P42</w:t>
      </w:r>
      <w:r>
        <w:rPr>
          <w:rFonts w:hint="eastAsia" w:ascii="仿宋" w:hAnsi="仿宋" w:eastAsia="仿宋" w:cs="仿宋"/>
          <w:color w:val="000000" w:themeColor="text1"/>
          <w:szCs w:val="24"/>
          <w14:textFill>
            <w14:solidFill>
              <w14:schemeClr w14:val="tx1"/>
            </w14:solidFill>
          </w14:textFill>
        </w:rPr>
        <w:t>，柜内应设有有断路器、接触器、电机保护器、变频器/伺服驱动器、PLC、手/自动转换开关、开/停按钮、开/停/故障指示灯等。</w:t>
      </w:r>
    </w:p>
    <w:p>
      <w:pPr>
        <w:pStyle w:val="5"/>
        <w:keepNext/>
        <w:keepLines/>
        <w:pageBreakBefore w:val="0"/>
        <w:widowControl w:val="0"/>
        <w:kinsoku/>
        <w:wordWrap/>
        <w:overflowPunct/>
        <w:bidi w:val="0"/>
        <w:spacing w:line="360" w:lineRule="auto"/>
        <w:ind w:firstLine="48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电控柜（箱）应能满足以下技术要求：</w:t>
      </w:r>
    </w:p>
    <w:p>
      <w:pPr>
        <w:pStyle w:val="5"/>
        <w:keepNext/>
        <w:keepLines/>
        <w:pageBreakBefore w:val="0"/>
        <w:widowControl w:val="0"/>
        <w:kinsoku/>
        <w:wordWrap/>
        <w:overflowPunct/>
        <w:bidi w:val="0"/>
        <w:spacing w:line="360" w:lineRule="auto"/>
        <w:ind w:firstLine="48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1、在电控柜（箱）上实现手动/自动控制的切换功能</w:t>
      </w:r>
    </w:p>
    <w:p>
      <w:pPr>
        <w:pStyle w:val="5"/>
        <w:keepNext/>
        <w:keepLines/>
        <w:pageBreakBefore w:val="0"/>
        <w:widowControl w:val="0"/>
        <w:kinsoku/>
        <w:wordWrap/>
        <w:overflowPunct/>
        <w:bidi w:val="0"/>
        <w:spacing w:line="360" w:lineRule="auto"/>
        <w:ind w:firstLine="48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2、电控柜（箱）内除要有实现开/停及保护功能的有关元件外，在箱面上应设有开/停按钮，状态指示灯。</w:t>
      </w:r>
    </w:p>
    <w:p>
      <w:pPr>
        <w:pStyle w:val="5"/>
        <w:keepNext/>
        <w:keepLines/>
        <w:pageBreakBefore w:val="0"/>
        <w:widowControl w:val="0"/>
        <w:kinsoku/>
        <w:wordWrap/>
        <w:overflowPunct/>
        <w:bidi w:val="0"/>
        <w:spacing w:line="360" w:lineRule="auto"/>
        <w:ind w:firstLine="48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3，所有变频器/伺服驱动器具有通过端子外接的4~20mA电流信号模拟量输入输出口。</w:t>
      </w:r>
    </w:p>
    <w:p>
      <w:pPr>
        <w:pStyle w:val="5"/>
        <w:keepNext/>
        <w:keepLines/>
        <w:pageBreakBefore w:val="0"/>
        <w:widowControl w:val="0"/>
        <w:kinsoku/>
        <w:wordWrap/>
        <w:overflowPunct/>
        <w:bidi w:val="0"/>
        <w:spacing w:line="360" w:lineRule="auto"/>
        <w:ind w:firstLine="480"/>
        <w:jc w:val="left"/>
        <w:textAlignment w:val="auto"/>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，电控箱转接泵体冲程伺服控制器4~20mA电流信号模拟量输入输出口至箱体内接线端子。</w:t>
      </w:r>
    </w:p>
    <w:p>
      <w:pPr>
        <w:pStyle w:val="5"/>
        <w:keepNext/>
        <w:keepLines/>
        <w:pageBreakBefore w:val="0"/>
        <w:widowControl w:val="0"/>
        <w:kinsoku/>
        <w:wordWrap/>
        <w:overflowPunct/>
        <w:bidi w:val="0"/>
        <w:spacing w:line="360" w:lineRule="auto"/>
        <w:ind w:firstLine="48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承包商应提供电气控制柜（箱）并满足控制要求。</w:t>
      </w:r>
    </w:p>
    <w:p>
      <w:pPr>
        <w:pStyle w:val="5"/>
        <w:keepNext/>
        <w:keepLines/>
        <w:pageBreakBefore w:val="0"/>
        <w:widowControl w:val="0"/>
        <w:kinsoku/>
        <w:wordWrap/>
        <w:overflowPunct/>
        <w:bidi w:val="0"/>
        <w:spacing w:line="360" w:lineRule="auto"/>
        <w:ind w:firstLine="48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AC智能投加系统成套电控柜（箱）主要功能：为加药间PAC投加系统工艺设备提供配电、控制、保护，并完成该系统设备的就地操作及工况显示；保护要求：短路、过载、设备配套的各种特殊保护；主要电气元件：断路器、接触器、变频器及电抗器、伺服电机、中间继电器、转换开关、按钮、指示灯（LED光源）等。</w:t>
      </w:r>
    </w:p>
    <w:bookmarkEnd w:id="4"/>
    <w:bookmarkEnd w:id="5"/>
    <w:p>
      <w:pPr>
        <w:keepNext/>
        <w:keepLines/>
        <w:pageBreakBefore w:val="0"/>
        <w:widowControl w:val="0"/>
        <w:kinsoku/>
        <w:wordWrap/>
        <w:overflowPunct/>
        <w:bidi w:val="0"/>
        <w:spacing w:line="360" w:lineRule="auto"/>
        <w:ind w:firstLine="480"/>
        <w:jc w:val="left"/>
        <w:textAlignment w:val="auto"/>
        <w:rPr>
          <w:rFonts w:ascii="仿宋" w:hAnsi="仿宋" w:eastAsia="仿宋" w:cs="仿宋"/>
          <w:b/>
          <w:bCs/>
          <w:color w:val="FF0000"/>
          <w:sz w:val="24"/>
          <w:u w:val="single"/>
        </w:rPr>
      </w:pPr>
      <w:r>
        <w:rPr>
          <w:rFonts w:hint="eastAsia" w:ascii="仿宋" w:hAnsi="仿宋" w:eastAsia="仿宋" w:cs="仿宋"/>
          <w:color w:val="000000" w:themeColor="text1"/>
          <w:sz w:val="24"/>
          <w14:textFill>
            <w14:solidFill>
              <w14:schemeClr w14:val="tx1"/>
            </w14:solidFill>
          </w14:textFill>
        </w:rPr>
        <w:t>本自控系统主要用于PAC智能加药系统的生产控制、运行操作、监视管理。控制系统不仅要有可靠的硬件设备，还应有功能强大，运行可靠，界面友好的系</w:t>
      </w:r>
      <w:r>
        <w:rPr>
          <w:rFonts w:hint="eastAsia" w:ascii="仿宋" w:hAnsi="仿宋" w:eastAsia="仿宋" w:cs="仿宋"/>
          <w:sz w:val="24"/>
        </w:rPr>
        <w:t>统软件、应用软件、编程软件和控制软件。PAC智能加药系统，所有运行参数集中在一个控制界面，可以在该界面内监控所有运行参数，具有730天运行参数的存储功能，分别每5分钟一次记录流量、实际加药量、千吨水耗药量、累计加药量以电子表格形式保存</w:t>
      </w:r>
      <w:r>
        <w:rPr>
          <w:rFonts w:hint="eastAsia" w:ascii="仿宋" w:hAnsi="仿宋" w:eastAsia="仿宋" w:cs="仿宋"/>
          <w:b/>
          <w:bCs/>
          <w:sz w:val="24"/>
        </w:rPr>
        <w:t>。</w:t>
      </w:r>
    </w:p>
    <w:p>
      <w:pPr>
        <w:keepNext/>
        <w:keepLines/>
        <w:pageBreakBefore w:val="0"/>
        <w:widowControl w:val="0"/>
        <w:kinsoku/>
        <w:wordWrap/>
        <w:overflowPunct/>
        <w:bidi w:val="0"/>
        <w:spacing w:line="360" w:lineRule="auto"/>
        <w:ind w:firstLine="48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系统的可靠性：</w:t>
      </w:r>
    </w:p>
    <w:p>
      <w:pPr>
        <w:keepNext/>
        <w:keepLines/>
        <w:pageBreakBefore w:val="0"/>
        <w:widowControl w:val="0"/>
        <w:kinsoku/>
        <w:wordWrap/>
        <w:overflowPunct/>
        <w:bidi w:val="0"/>
        <w:spacing w:line="360" w:lineRule="auto"/>
        <w:ind w:firstLine="48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自动控制及远程监控的功能实现由供货商进行编程、调试及调通。供货方有义务提供买方集成中控系统所需的技术资料，协助买方完成全厂中控系统集成工作。</w:t>
      </w:r>
    </w:p>
    <w:p>
      <w:pPr>
        <w:keepNext/>
        <w:keepLines/>
        <w:pageBreakBefore w:val="0"/>
        <w:widowControl w:val="0"/>
        <w:kinsoku/>
        <w:wordWrap/>
        <w:overflowPunct/>
        <w:bidi w:val="0"/>
        <w:spacing w:line="360" w:lineRule="auto"/>
        <w:ind w:firstLine="48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厂家配套提供的PLC系统需包含通信接口、通信协议（以太网TCP/IP）等，系统集成商与厂家充分协调、配合，将系统内所有设备及仪表工况信号在中控室集成到全厂自控管理系统中。</w:t>
      </w:r>
    </w:p>
    <w:p>
      <w:pPr>
        <w:pStyle w:val="22"/>
        <w:keepNext/>
        <w:keepLines/>
        <w:pageBreakBefore w:val="0"/>
        <w:widowControl w:val="0"/>
        <w:kinsoku/>
        <w:wordWrap/>
        <w:overflowPunct/>
        <w:bidi w:val="0"/>
        <w:spacing w:line="360" w:lineRule="auto"/>
        <w:jc w:val="left"/>
        <w:textAlignment w:val="auto"/>
        <w:rPr>
          <w:rFonts w:ascii="仿宋" w:hAnsi="仿宋" w:eastAsia="仿宋" w:cs="仿宋"/>
          <w:b/>
          <w:bCs/>
          <w:szCs w:val="24"/>
          <w:highlight w:val="none"/>
        </w:rPr>
      </w:pPr>
      <w:r>
        <w:rPr>
          <w:rFonts w:hint="eastAsia" w:ascii="仿宋" w:hAnsi="仿宋" w:eastAsia="仿宋" w:cs="仿宋"/>
          <w:sz w:val="28"/>
          <w:szCs w:val="28"/>
          <w:highlight w:val="none"/>
        </w:rPr>
        <w:t>★</w:t>
      </w:r>
      <w:r>
        <w:rPr>
          <w:rFonts w:hint="eastAsia" w:ascii="仿宋" w:hAnsi="仿宋" w:eastAsia="仿宋" w:cs="仿宋"/>
          <w:b/>
          <w:bCs/>
          <w:szCs w:val="24"/>
          <w:highlight w:val="none"/>
        </w:rPr>
        <w:t>1.1.7 安全报警系统</w:t>
      </w:r>
    </w:p>
    <w:p>
      <w:pPr>
        <w:pStyle w:val="20"/>
        <w:keepNext/>
        <w:keepLines/>
        <w:pageBreakBefore w:val="0"/>
        <w:widowControl w:val="0"/>
        <w:kinsoku/>
        <w:wordWrap/>
        <w:overflowPunct/>
        <w:bidi w:val="0"/>
        <w:spacing w:line="360" w:lineRule="auto"/>
        <w:jc w:val="left"/>
        <w:textAlignment w:val="auto"/>
        <w:rPr>
          <w:rFonts w:hint="eastAsia" w:cs="仿宋"/>
          <w:highlight w:val="none"/>
          <w:lang w:val="zh-CN"/>
        </w:rPr>
      </w:pPr>
      <w:r>
        <w:rPr>
          <w:rFonts w:hint="eastAsia" w:cs="仿宋"/>
          <w:highlight w:val="none"/>
          <w:lang w:val="zh-CN"/>
        </w:rPr>
        <w:t>系统对设备，水质信息参数等进行实时监控。完善的报警根据设定参数即时报警，以保证生产安全，平稳运行。报警信息包括但不限于：</w:t>
      </w:r>
    </w:p>
    <w:p>
      <w:pPr>
        <w:pStyle w:val="20"/>
        <w:keepNext/>
        <w:keepLines/>
        <w:pageBreakBefore w:val="0"/>
        <w:widowControl w:val="0"/>
        <w:kinsoku/>
        <w:wordWrap/>
        <w:overflowPunct/>
        <w:bidi w:val="0"/>
        <w:spacing w:line="360" w:lineRule="auto"/>
        <w:jc w:val="left"/>
        <w:textAlignment w:val="auto"/>
        <w:rPr>
          <w:highlight w:val="none"/>
          <w:lang w:val="zh-CN"/>
        </w:rPr>
      </w:pPr>
      <w:r>
        <w:rPr>
          <w:rFonts w:hint="eastAsia"/>
          <w:highlight w:val="none"/>
          <w:lang w:val="zh-CN"/>
        </w:rPr>
        <w:t>1、缺水报警</w:t>
      </w:r>
    </w:p>
    <w:p>
      <w:pPr>
        <w:pStyle w:val="20"/>
        <w:keepNext/>
        <w:keepLines/>
        <w:pageBreakBefore w:val="0"/>
        <w:widowControl w:val="0"/>
        <w:kinsoku/>
        <w:wordWrap/>
        <w:overflowPunct/>
        <w:bidi w:val="0"/>
        <w:spacing w:line="360" w:lineRule="auto"/>
        <w:jc w:val="left"/>
        <w:textAlignment w:val="auto"/>
        <w:rPr>
          <w:highlight w:val="none"/>
          <w:lang w:val="zh-CN"/>
        </w:rPr>
      </w:pPr>
      <w:r>
        <w:rPr>
          <w:highlight w:val="none"/>
          <w:lang w:val="zh-CN"/>
        </w:rPr>
        <w:t>2</w:t>
      </w:r>
      <w:r>
        <w:rPr>
          <w:rFonts w:hint="eastAsia"/>
          <w:highlight w:val="none"/>
          <w:lang w:val="zh-CN"/>
        </w:rPr>
        <w:t>、料仓高低位报警</w:t>
      </w:r>
    </w:p>
    <w:p>
      <w:pPr>
        <w:pStyle w:val="20"/>
        <w:keepNext/>
        <w:keepLines/>
        <w:pageBreakBefore w:val="0"/>
        <w:widowControl w:val="0"/>
        <w:kinsoku/>
        <w:wordWrap/>
        <w:overflowPunct/>
        <w:bidi w:val="0"/>
        <w:spacing w:line="360" w:lineRule="auto"/>
        <w:jc w:val="left"/>
        <w:textAlignment w:val="auto"/>
        <w:rPr>
          <w:highlight w:val="none"/>
          <w:lang w:val="zh-CN"/>
        </w:rPr>
      </w:pPr>
      <w:r>
        <w:rPr>
          <w:highlight w:val="none"/>
          <w:lang w:val="zh-CN"/>
        </w:rPr>
        <w:t>3</w:t>
      </w:r>
      <w:r>
        <w:rPr>
          <w:rFonts w:hint="eastAsia"/>
          <w:highlight w:val="none"/>
          <w:lang w:val="zh-CN"/>
        </w:rPr>
        <w:t>、连续计量装置粉末中断报警</w:t>
      </w:r>
    </w:p>
    <w:p>
      <w:pPr>
        <w:pStyle w:val="20"/>
        <w:keepNext/>
        <w:keepLines/>
        <w:pageBreakBefore w:val="0"/>
        <w:widowControl w:val="0"/>
        <w:kinsoku/>
        <w:wordWrap/>
        <w:overflowPunct/>
        <w:bidi w:val="0"/>
        <w:spacing w:line="360" w:lineRule="auto"/>
        <w:jc w:val="left"/>
        <w:textAlignment w:val="auto"/>
        <w:rPr>
          <w:highlight w:val="none"/>
          <w:lang w:val="zh-CN"/>
        </w:rPr>
      </w:pPr>
      <w:r>
        <w:rPr>
          <w:highlight w:val="none"/>
          <w:lang w:val="zh-CN"/>
        </w:rPr>
        <w:t>4</w:t>
      </w:r>
      <w:r>
        <w:rPr>
          <w:rFonts w:hint="eastAsia"/>
          <w:highlight w:val="none"/>
          <w:lang w:val="zh-CN"/>
        </w:rPr>
        <w:t>、精确计量装置补料失败报警</w:t>
      </w:r>
    </w:p>
    <w:p>
      <w:pPr>
        <w:pStyle w:val="20"/>
        <w:keepNext/>
        <w:keepLines/>
        <w:pageBreakBefore w:val="0"/>
        <w:widowControl w:val="0"/>
        <w:kinsoku/>
        <w:wordWrap/>
        <w:overflowPunct/>
        <w:bidi w:val="0"/>
        <w:spacing w:line="360" w:lineRule="auto"/>
        <w:jc w:val="left"/>
        <w:textAlignment w:val="auto"/>
        <w:rPr>
          <w:rFonts w:hint="eastAsia"/>
          <w:highlight w:val="none"/>
          <w:lang w:val="zh-CN"/>
        </w:rPr>
      </w:pPr>
      <w:r>
        <w:rPr>
          <w:highlight w:val="none"/>
          <w:lang w:val="zh-CN"/>
        </w:rPr>
        <w:t>5</w:t>
      </w:r>
      <w:r>
        <w:rPr>
          <w:rFonts w:hint="eastAsia"/>
          <w:highlight w:val="none"/>
          <w:lang w:val="zh-CN"/>
        </w:rPr>
        <w:t>、电机故障报警</w:t>
      </w:r>
    </w:p>
    <w:p>
      <w:pPr>
        <w:pStyle w:val="22"/>
        <w:keepNext/>
        <w:keepLines/>
        <w:pageBreakBefore w:val="0"/>
        <w:widowControl w:val="0"/>
        <w:kinsoku/>
        <w:wordWrap/>
        <w:overflowPunct/>
        <w:bidi w:val="0"/>
        <w:spacing w:line="360" w:lineRule="auto"/>
        <w:jc w:val="left"/>
        <w:textAlignment w:val="auto"/>
        <w:rPr>
          <w:rFonts w:hint="eastAsia" w:ascii="仿宋" w:hAnsi="仿宋" w:eastAsia="仿宋" w:cs="仿宋"/>
          <w:b/>
          <w:bCs/>
          <w:szCs w:val="24"/>
          <w:highlight w:val="none"/>
        </w:rPr>
      </w:pPr>
      <w:bookmarkStart w:id="6" w:name="_Toc32754678"/>
      <w:r>
        <w:rPr>
          <w:rFonts w:hint="eastAsia" w:ascii="仿宋" w:hAnsi="仿宋" w:eastAsia="仿宋" w:cs="仿宋"/>
          <w:b/>
          <w:bCs/>
          <w:szCs w:val="24"/>
          <w:highlight w:val="none"/>
        </w:rPr>
        <w:t>1.1.8验收与测试</w:t>
      </w:r>
      <w:bookmarkEnd w:id="6"/>
    </w:p>
    <w:p>
      <w:pPr>
        <w:pStyle w:val="4"/>
        <w:keepNext/>
        <w:keepLines/>
        <w:pageBreakBefore w:val="0"/>
        <w:widowControl w:val="0"/>
        <w:numPr>
          <w:numId w:val="0"/>
        </w:numPr>
        <w:kinsoku/>
        <w:wordWrap/>
        <w:overflowPunct/>
        <w:bidi w:val="0"/>
        <w:spacing w:beforeLines="0" w:afterLines="0" w:line="360" w:lineRule="auto"/>
        <w:ind w:firstLine="480" w:firstLineChars="200"/>
        <w:jc w:val="left"/>
        <w:textAlignment w:val="auto"/>
        <w:rPr>
          <w:rFonts w:ascii="仿宋" w:hAnsi="仿宋" w:eastAsia="仿宋" w:cs="仿宋"/>
          <w:b w:val="0"/>
          <w:bCs/>
          <w:sz w:val="24"/>
          <w:szCs w:val="24"/>
        </w:rPr>
      </w:pPr>
      <w:bookmarkStart w:id="8" w:name="_GoBack"/>
      <w:bookmarkEnd w:id="8"/>
      <w:r>
        <w:rPr>
          <w:rFonts w:hint="eastAsia" w:ascii="仿宋" w:hAnsi="仿宋" w:eastAsia="仿宋" w:cs="仿宋"/>
          <w:b w:val="0"/>
          <w:bCs/>
          <w:sz w:val="24"/>
          <w:szCs w:val="24"/>
        </w:rPr>
        <w:t>承包商提供的所有设备必须通过制造厂内的测试、检验和安装现场的验收，并向业主提供测试报告（或在业主的参与下进行测试）。所有设备的验收和测试应符合</w:t>
      </w:r>
      <w:r>
        <w:rPr>
          <w:rFonts w:hint="eastAsia" w:ascii="仿宋" w:hAnsi="仿宋" w:cs="仿宋"/>
          <w:b w:val="0"/>
          <w:bCs/>
          <w:sz w:val="24"/>
          <w:szCs w:val="24"/>
          <w:lang w:eastAsia="zh-CN"/>
        </w:rPr>
        <w:t>采购</w:t>
      </w:r>
      <w:r>
        <w:rPr>
          <w:rFonts w:hint="eastAsia" w:ascii="仿宋" w:hAnsi="仿宋" w:eastAsia="仿宋" w:cs="仿宋"/>
          <w:b w:val="0"/>
          <w:bCs/>
          <w:sz w:val="24"/>
          <w:szCs w:val="24"/>
        </w:rPr>
        <w:t>文件有关条款的规定。</w:t>
      </w:r>
    </w:p>
    <w:p>
      <w:pPr>
        <w:pStyle w:val="23"/>
        <w:keepNext/>
        <w:keepLines/>
        <w:pageBreakBefore w:val="0"/>
        <w:widowControl w:val="0"/>
        <w:kinsoku/>
        <w:wordWrap/>
        <w:overflowPunct/>
        <w:bidi w:val="0"/>
        <w:spacing w:after="0" w:line="360" w:lineRule="auto"/>
        <w:ind w:firstLine="480"/>
        <w:jc w:val="left"/>
        <w:textAlignment w:val="auto"/>
        <w:rPr>
          <w:rFonts w:ascii="仿宋" w:hAnsi="仿宋" w:eastAsia="仿宋" w:cs="仿宋"/>
          <w:sz w:val="24"/>
        </w:rPr>
      </w:pPr>
      <w:r>
        <w:rPr>
          <w:rFonts w:hint="eastAsia" w:ascii="仿宋" w:hAnsi="仿宋" w:eastAsia="仿宋" w:cs="仿宋"/>
          <w:sz w:val="24"/>
        </w:rPr>
        <w:t>所有设备到达现场后，需根据相关标准、规范进行空载试车和满载试验，各项技术参数必须满足合同条款中的要求，并经质检、安全部门验收通过后方能交付使用。</w:t>
      </w:r>
      <w:bookmarkStart w:id="7" w:name="_Toc32754679"/>
    </w:p>
    <w:p>
      <w:pPr>
        <w:pStyle w:val="22"/>
        <w:keepNext/>
        <w:keepLines/>
        <w:pageBreakBefore w:val="0"/>
        <w:widowControl w:val="0"/>
        <w:kinsoku/>
        <w:wordWrap/>
        <w:overflowPunct/>
        <w:bidi w:val="0"/>
        <w:spacing w:line="360" w:lineRule="auto"/>
        <w:jc w:val="left"/>
        <w:textAlignment w:val="auto"/>
        <w:rPr>
          <w:rFonts w:hint="eastAsia" w:ascii="仿宋" w:hAnsi="仿宋" w:eastAsia="仿宋" w:cs="仿宋"/>
          <w:b/>
          <w:bCs/>
          <w:szCs w:val="24"/>
          <w:highlight w:val="none"/>
        </w:rPr>
      </w:pPr>
      <w:r>
        <w:rPr>
          <w:rFonts w:hint="eastAsia" w:ascii="仿宋" w:hAnsi="仿宋" w:eastAsia="仿宋" w:cs="仿宋"/>
          <w:b/>
          <w:bCs/>
          <w:szCs w:val="24"/>
          <w:highlight w:val="none"/>
        </w:rPr>
        <w:t>1.1.9售后服务</w:t>
      </w:r>
      <w:bookmarkEnd w:id="7"/>
    </w:p>
    <w:p>
      <w:pPr>
        <w:pStyle w:val="23"/>
        <w:keepNext/>
        <w:keepLines/>
        <w:pageBreakBefore w:val="0"/>
        <w:widowControl w:val="0"/>
        <w:kinsoku/>
        <w:wordWrap/>
        <w:overflowPunct/>
        <w:bidi w:val="0"/>
        <w:spacing w:after="0" w:line="360" w:lineRule="auto"/>
        <w:ind w:firstLine="480" w:firstLineChars="200"/>
        <w:jc w:val="left"/>
        <w:textAlignment w:val="auto"/>
        <w:rPr>
          <w:rFonts w:ascii="仿宋" w:hAnsi="仿宋" w:eastAsia="仿宋" w:cs="仿宋"/>
          <w:sz w:val="24"/>
        </w:rPr>
      </w:pPr>
      <w:r>
        <w:rPr>
          <w:rFonts w:hint="eastAsia" w:ascii="仿宋" w:hAnsi="仿宋" w:eastAsia="仿宋" w:cs="仿宋"/>
          <w:sz w:val="24"/>
        </w:rPr>
        <w:t>售后服务具体内容如下：</w:t>
      </w:r>
    </w:p>
    <w:p>
      <w:pPr>
        <w:pStyle w:val="23"/>
        <w:keepNext/>
        <w:keepLines/>
        <w:pageBreakBefore w:val="0"/>
        <w:widowControl w:val="0"/>
        <w:kinsoku/>
        <w:wordWrap/>
        <w:overflowPunct/>
        <w:bidi w:val="0"/>
        <w:spacing w:after="0" w:line="360" w:lineRule="auto"/>
        <w:ind w:firstLine="480"/>
        <w:jc w:val="left"/>
        <w:textAlignment w:val="auto"/>
        <w:rPr>
          <w:rFonts w:ascii="仿宋" w:hAnsi="仿宋" w:eastAsia="仿宋" w:cs="仿宋"/>
          <w:sz w:val="24"/>
        </w:rPr>
      </w:pPr>
      <w:r>
        <w:rPr>
          <w:rFonts w:hint="eastAsia" w:ascii="仿宋" w:hAnsi="仿宋" w:eastAsia="仿宋" w:cs="仿宋"/>
          <w:sz w:val="24"/>
        </w:rPr>
        <w:t>1）质保期内，承包商应免费维修与更换缺陷部件。</w:t>
      </w:r>
    </w:p>
    <w:p>
      <w:pPr>
        <w:pStyle w:val="23"/>
        <w:keepNext/>
        <w:keepLines/>
        <w:pageBreakBefore w:val="0"/>
        <w:widowControl w:val="0"/>
        <w:kinsoku/>
        <w:wordWrap/>
        <w:overflowPunct/>
        <w:bidi w:val="0"/>
        <w:spacing w:after="0" w:line="360" w:lineRule="auto"/>
        <w:ind w:firstLine="480"/>
        <w:jc w:val="left"/>
        <w:textAlignment w:val="auto"/>
        <w:rPr>
          <w:rFonts w:ascii="仿宋" w:hAnsi="仿宋" w:eastAsia="仿宋" w:cs="仿宋"/>
          <w:sz w:val="24"/>
        </w:rPr>
      </w:pPr>
      <w:r>
        <w:rPr>
          <w:rFonts w:hint="eastAsia" w:ascii="仿宋" w:hAnsi="仿宋" w:eastAsia="仿宋" w:cs="仿宋"/>
          <w:sz w:val="24"/>
        </w:rPr>
        <w:t>2）承包商应所供设备保证性能良好、全新、质量合格，满足本工程项目使用要求。</w:t>
      </w:r>
    </w:p>
    <w:p>
      <w:pPr>
        <w:pStyle w:val="23"/>
        <w:keepNext/>
        <w:keepLines/>
        <w:pageBreakBefore w:val="0"/>
        <w:widowControl w:val="0"/>
        <w:kinsoku/>
        <w:wordWrap/>
        <w:overflowPunct/>
        <w:bidi w:val="0"/>
        <w:spacing w:after="0" w:line="360" w:lineRule="auto"/>
        <w:ind w:firstLine="480"/>
        <w:jc w:val="left"/>
        <w:textAlignment w:val="auto"/>
        <w:rPr>
          <w:rFonts w:ascii="仿宋" w:hAnsi="仿宋" w:eastAsia="仿宋" w:cs="仿宋"/>
          <w:sz w:val="24"/>
        </w:rPr>
      </w:pPr>
      <w:r>
        <w:rPr>
          <w:rFonts w:hint="eastAsia" w:ascii="仿宋" w:hAnsi="仿宋" w:eastAsia="仿宋" w:cs="仿宋"/>
          <w:sz w:val="24"/>
        </w:rPr>
        <w:t>3）承包商接到报修后，应承诺在2小时内作出响应，在24小时内派遣有经验的维修人员到现场提供免费维修服务；免费更换维修因材料或制造不合格而有缺陷的部件，免费进行相关的技术服务，直至故障完全排除，恢复正常为止。若非设备原因造成的损坏，可与业主沟通协商，酌情收取成本费。</w:t>
      </w:r>
    </w:p>
    <w:p>
      <w:pPr>
        <w:pStyle w:val="23"/>
        <w:keepNext/>
        <w:keepLines/>
        <w:pageBreakBefore w:val="0"/>
        <w:widowControl w:val="0"/>
        <w:kinsoku/>
        <w:wordWrap/>
        <w:overflowPunct/>
        <w:bidi w:val="0"/>
        <w:spacing w:after="0" w:line="360" w:lineRule="auto"/>
        <w:ind w:firstLine="480"/>
        <w:jc w:val="left"/>
        <w:textAlignment w:val="auto"/>
        <w:rPr>
          <w:rFonts w:ascii="仿宋" w:hAnsi="仿宋" w:eastAsia="仿宋" w:cs="仿宋"/>
          <w:sz w:val="24"/>
        </w:rPr>
      </w:pPr>
      <w:r>
        <w:rPr>
          <w:rFonts w:hint="eastAsia" w:ascii="仿宋" w:hAnsi="仿宋" w:eastAsia="仿宋" w:cs="仿宋"/>
          <w:sz w:val="24"/>
        </w:rPr>
        <w:t>4）为保证设备的正常运行，除按规定提供的有关零配件和备品备件之外，经使用方提出需要，承包商还应及时提供有关零配件等服务。</w:t>
      </w:r>
    </w:p>
    <w:bookmarkEnd w:id="2"/>
    <w:bookmarkEnd w:id="3"/>
    <w:p>
      <w:pPr>
        <w:keepNext/>
        <w:keepLines/>
        <w:pageBreakBefore w:val="0"/>
        <w:widowControl w:val="0"/>
        <w:kinsoku/>
        <w:wordWrap/>
        <w:overflowPunct/>
        <w:bidi w:val="0"/>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C35FB"/>
    <w:multiLevelType w:val="multilevel"/>
    <w:tmpl w:val="82AC35FB"/>
    <w:lvl w:ilvl="0" w:tentative="0">
      <w:start w:val="1"/>
      <w:numFmt w:val="chineseCounting"/>
      <w:pStyle w:val="17"/>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8F1DC23"/>
    <w:multiLevelType w:val="multilevel"/>
    <w:tmpl w:val="A8F1DC23"/>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DEA8F6BD"/>
    <w:multiLevelType w:val="multilevel"/>
    <w:tmpl w:val="DEA8F6BD"/>
    <w:lvl w:ilvl="0" w:tentative="0">
      <w:start w:val="1"/>
      <w:numFmt w:val="chineseCounting"/>
      <w:suff w:val="nothing"/>
      <w:lvlText w:val="第%1章 "/>
      <w:lvlJc w:val="center"/>
      <w:pPr>
        <w:tabs>
          <w:tab w:val="left" w:pos="0"/>
        </w:tabs>
        <w:ind w:left="0" w:firstLine="402"/>
      </w:pPr>
      <w:rPr>
        <w:rFonts w:hint="eastAsia" w:ascii="宋体" w:hAnsi="宋体" w:eastAsia="宋体" w:cs="宋体"/>
        <w:sz w:val="36"/>
      </w:rPr>
    </w:lvl>
    <w:lvl w:ilvl="1" w:tentative="0">
      <w:start w:val="1"/>
      <w:numFmt w:val="chineseCounting"/>
      <w:suff w:val="nothing"/>
      <w:lvlText w:val="%2、"/>
      <w:lvlJc w:val="left"/>
      <w:pPr>
        <w:ind w:left="0" w:firstLine="402"/>
      </w:pPr>
      <w:rPr>
        <w:rFonts w:hint="eastAsia" w:ascii="宋体" w:hAnsi="宋体" w:eastAsia="宋体" w:cs="宋体"/>
        <w:sz w:val="28"/>
        <w:szCs w:val="28"/>
      </w:rPr>
    </w:lvl>
    <w:lvl w:ilvl="2" w:tentative="0">
      <w:start w:val="1"/>
      <w:numFmt w:val="decimal"/>
      <w:suff w:val="nothing"/>
      <w:lvlText w:val="%3．"/>
      <w:lvlJc w:val="left"/>
      <w:pPr>
        <w:ind w:left="0" w:firstLine="402"/>
      </w:pPr>
      <w:rPr>
        <w:rFonts w:hint="eastAsia" w:ascii="宋体" w:hAnsi="宋体" w:eastAsia="仿宋_GB2312" w:cs="仿宋_GB2312"/>
        <w:sz w:val="28"/>
        <w:szCs w:val="28"/>
      </w:rPr>
    </w:lvl>
    <w:lvl w:ilvl="3" w:tentative="0">
      <w:start w:val="1"/>
      <w:numFmt w:val="decimal"/>
      <w:suff w:val="nothing"/>
      <w:lvlText w:val="（%4）"/>
      <w:lvlJc w:val="left"/>
      <w:pPr>
        <w:ind w:left="0" w:firstLine="402"/>
      </w:pPr>
      <w:rPr>
        <w:rFonts w:hint="eastAsia" w:ascii="宋体" w:hAnsi="宋体" w:eastAsia="仿宋_GB2312" w:cs="仿宋_GB2312"/>
        <w:sz w:val="28"/>
        <w:szCs w:val="28"/>
      </w:rPr>
    </w:lvl>
    <w:lvl w:ilvl="4" w:tentative="0">
      <w:start w:val="1"/>
      <w:numFmt w:val="decimalEnclosedCircleChinese"/>
      <w:pStyle w:val="4"/>
      <w:suff w:val="nothing"/>
      <w:lvlText w:val="%5 "/>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02CF66A0"/>
    <w:multiLevelType w:val="multilevel"/>
    <w:tmpl w:val="02CF66A0"/>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4">
    <w:nsid w:val="4776E9E5"/>
    <w:multiLevelType w:val="multilevel"/>
    <w:tmpl w:val="4776E9E5"/>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YWE1OTBjODc0YmY3ZGU3ZTVlOGYzNDlhMGIzZDEifQ=="/>
  </w:docVars>
  <w:rsids>
    <w:rsidRoot w:val="3D160E0F"/>
    <w:rsid w:val="02257B6A"/>
    <w:rsid w:val="022658CE"/>
    <w:rsid w:val="02660ABE"/>
    <w:rsid w:val="031C139D"/>
    <w:rsid w:val="03487E43"/>
    <w:rsid w:val="09082E14"/>
    <w:rsid w:val="20FA39A6"/>
    <w:rsid w:val="243E3D48"/>
    <w:rsid w:val="2A2266B3"/>
    <w:rsid w:val="316E4441"/>
    <w:rsid w:val="39346CD8"/>
    <w:rsid w:val="3D160E0F"/>
    <w:rsid w:val="3EF36D39"/>
    <w:rsid w:val="4FB01C7F"/>
    <w:rsid w:val="62BF7E2A"/>
    <w:rsid w:val="63E40CAB"/>
    <w:rsid w:val="76E35F8C"/>
    <w:rsid w:val="78707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jc w:val="both"/>
    </w:pPr>
    <w:rPr>
      <w:rFonts w:ascii="Times New Roman" w:hAnsi="Times New Roman" w:eastAsia="仿宋" w:cs="Times New Roman"/>
      <w:kern w:val="2"/>
      <w:sz w:val="28"/>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60" w:lineRule="exact"/>
      <w:ind w:left="0" w:firstLine="0" w:firstLineChars="0"/>
      <w:jc w:val="center"/>
      <w:outlineLvl w:val="0"/>
    </w:pPr>
    <w:rPr>
      <w:rFonts w:ascii="Times New Roman" w:hAnsi="Times New Roman" w:eastAsia="方正小标宋简体"/>
      <w:kern w:val="44"/>
      <w:sz w:val="36"/>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560" w:lineRule="exact"/>
      <w:ind w:left="0" w:firstLine="0" w:firstLineChars="0"/>
      <w:jc w:val="left"/>
      <w:outlineLvl w:val="1"/>
    </w:pPr>
    <w:rPr>
      <w:rFonts w:ascii="Arial" w:hAnsi="Arial" w:eastAsia="新宋体"/>
      <w:b/>
      <w:sz w:val="28"/>
    </w:rPr>
  </w:style>
  <w:style w:type="paragraph" w:styleId="4">
    <w:name w:val="heading 3"/>
    <w:basedOn w:val="1"/>
    <w:next w:val="5"/>
    <w:link w:val="19"/>
    <w:semiHidden/>
    <w:unhideWhenUsed/>
    <w:qFormat/>
    <w:uiPriority w:val="0"/>
    <w:pPr>
      <w:keepNext w:val="0"/>
      <w:keepLines/>
      <w:pageBreakBefore/>
      <w:widowControl/>
      <w:numPr>
        <w:ilvl w:val="4"/>
        <w:numId w:val="2"/>
      </w:numPr>
      <w:topLinePunct/>
      <w:spacing w:beforeLines="0" w:beforeAutospacing="0" w:afterLines="0" w:afterAutospacing="0" w:line="560" w:lineRule="exact"/>
      <w:ind w:left="0" w:leftChars="0" w:firstLine="560" w:firstLineChars="200"/>
      <w:jc w:val="left"/>
      <w:outlineLvl w:val="2"/>
    </w:pPr>
    <w:rPr>
      <w:rFonts w:ascii="Times New Roman" w:hAnsi="Times New Roman"/>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firstLine="402"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2">
    <w:name w:val="Body Text Indent"/>
    <w:basedOn w:val="1"/>
    <w:uiPriority w:val="0"/>
    <w:pPr>
      <w:spacing w:after="120" w:afterLines="0" w:afterAutospacing="0"/>
      <w:ind w:left="420" w:leftChars="200"/>
    </w:pPr>
  </w:style>
  <w:style w:type="paragraph" w:styleId="1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4">
    <w:name w:val="Body Text First Indent 2"/>
    <w:basedOn w:val="12"/>
    <w:uiPriority w:val="0"/>
    <w:pPr>
      <w:ind w:firstLine="420" w:firstLineChars="200"/>
    </w:pPr>
  </w:style>
  <w:style w:type="paragraph" w:customStyle="1" w:styleId="17">
    <w:name w:val="样式12021"/>
    <w:basedOn w:val="2"/>
    <w:next w:val="1"/>
    <w:qFormat/>
    <w:uiPriority w:val="0"/>
    <w:pPr>
      <w:numPr>
        <w:ilvl w:val="0"/>
        <w:numId w:val="4"/>
      </w:numPr>
      <w:spacing w:line="360" w:lineRule="auto"/>
      <w:jc w:val="center"/>
    </w:pPr>
    <w:rPr>
      <w:rFonts w:hint="eastAsia" w:ascii="楷体" w:hAnsi="楷体" w:eastAsia="宋体" w:cs="楷体"/>
      <w:w w:val="95"/>
      <w:sz w:val="44"/>
      <w:szCs w:val="72"/>
    </w:rPr>
  </w:style>
  <w:style w:type="paragraph" w:customStyle="1" w:styleId="18">
    <w:name w:val="样式12022"/>
    <w:basedOn w:val="1"/>
    <w:qFormat/>
    <w:uiPriority w:val="0"/>
    <w:pPr>
      <w:spacing w:line="400" w:lineRule="exact"/>
      <w:ind w:firstLine="0" w:firstLineChars="0"/>
      <w:jc w:val="center"/>
    </w:pPr>
    <w:rPr>
      <w:rFonts w:hint="eastAsia" w:ascii="Times New Roman" w:hAnsi="Times New Roman" w:eastAsia="黑体"/>
      <w:sz w:val="24"/>
    </w:rPr>
  </w:style>
  <w:style w:type="character" w:customStyle="1" w:styleId="19">
    <w:name w:val="标题 3 Char"/>
    <w:link w:val="4"/>
    <w:qFormat/>
    <w:uiPriority w:val="0"/>
    <w:rPr>
      <w:rFonts w:ascii="Times New Roman" w:hAnsi="Times New Roman" w:eastAsia="仿宋_GB2312"/>
    </w:rPr>
  </w:style>
  <w:style w:type="paragraph" w:customStyle="1" w:styleId="20">
    <w:name w:val="黄正文"/>
    <w:basedOn w:val="1"/>
    <w:qFormat/>
    <w:uiPriority w:val="0"/>
    <w:pPr>
      <w:spacing w:line="360" w:lineRule="auto"/>
      <w:ind w:firstLine="480" w:firstLineChars="200"/>
    </w:pPr>
    <w:rPr>
      <w:rFonts w:ascii="仿宋" w:hAnsi="仿宋" w:eastAsia="仿宋" w:cs="Times New Roman"/>
      <w:kern w:val="0"/>
      <w:sz w:val="24"/>
      <w:szCs w:val="22"/>
    </w:rPr>
  </w:style>
  <w:style w:type="paragraph" w:customStyle="1" w:styleId="21">
    <w:name w:val="列出段落2"/>
    <w:basedOn w:val="1"/>
    <w:unhideWhenUsed/>
    <w:qFormat/>
    <w:uiPriority w:val="99"/>
    <w:pPr>
      <w:ind w:firstLine="420" w:firstLineChars="200"/>
    </w:p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
    <w:name w:val="正文22"/>
    <w:basedOn w:val="14"/>
    <w:qFormat/>
    <w:uiPriority w:val="0"/>
    <w:pPr>
      <w:adjustRightInd w:val="0"/>
      <w:snapToGrid w:val="0"/>
      <w:spacing w:after="0" w:line="360" w:lineRule="auto"/>
      <w:ind w:left="0" w:leftChars="0" w:firstLine="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2900</Words>
  <Characters>3365</Characters>
  <Lines>0</Lines>
  <Paragraphs>0</Paragraphs>
  <TotalTime>3</TotalTime>
  <ScaleCrop>false</ScaleCrop>
  <LinksUpToDate>false</LinksUpToDate>
  <CharactersWithSpaces>3415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2022-11-28T03:57:00Z</dcterms:created>
  <dc:creator>小样儿</dc:creator>
  <cp:lastModifiedBy>小样儿</cp:lastModifiedBy>
  <dcterms:modified xsi:type="dcterms:W3CDTF">2022-11-28T09:45:59Z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528F66774284433EB739029658A3B494</vt:lpwstr>
  </property>
</Properties>
</file>