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right"/>
        <w:rPr>
          <w:rFonts w:hint="eastAsia" w:ascii="宋体" w:hAnsi="宋体" w:cs="宋体"/>
          <w:b/>
          <w:color w:val="auto"/>
          <w:sz w:val="44"/>
          <w:szCs w:val="44"/>
        </w:rPr>
      </w:pPr>
    </w:p>
    <w:p>
      <w:pPr>
        <w:spacing w:line="640" w:lineRule="exact"/>
        <w:jc w:val="right"/>
        <w:rPr>
          <w:rFonts w:hint="eastAsia" w:ascii="宋体" w:hAnsi="宋体" w:cs="宋体"/>
          <w:b/>
          <w:color w:val="auto"/>
          <w:sz w:val="44"/>
          <w:szCs w:val="44"/>
        </w:rPr>
      </w:pPr>
      <w:r>
        <w:rPr>
          <w:rFonts w:hint="eastAsia" w:ascii="宋体" w:hAnsi="宋体" w:cs="宋体"/>
          <w:b/>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3543300</wp:posOffset>
                </wp:positionH>
                <wp:positionV relativeFrom="paragraph">
                  <wp:posOffset>-95250</wp:posOffset>
                </wp:positionV>
                <wp:extent cx="1714500" cy="8915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1714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wps:txbx>
                      <wps:bodyPr upright="1"/>
                    </wps:wsp>
                  </a:graphicData>
                </a:graphic>
              </wp:anchor>
            </w:drawing>
          </mc:Choice>
          <mc:Fallback>
            <w:pict>
              <v:shape id="_x0000_s1026" o:spid="_x0000_s1026" o:spt="202" type="#_x0000_t202" style="position:absolute;left:0pt;margin-left:279pt;margin-top:-7.5pt;height:70.2pt;width:135pt;z-index:251659264;mso-width-relative:page;mso-height-relative:page;" fillcolor="#FFFFFF" filled="t" stroked="t" coordsize="21600,21600" o:gfxdata="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5YeEdoAAAALAQAADwAAAAAAAAABACAA&#10;AAAiAAAAZHJzL2Rvd25yZXYueG1sUEsBAhQAFAAAAAgAh07iQJaKsZoLAgAANgQAAA4AAAAAAAAA&#10;AQAgAAAAKQEAAGRycy9lMm9Eb2MueG1sUEsFBgAAAAAGAAYAWQEAAKYFAAAAAA==&#10;">
                <v:fill on="t" focussize="0,0"/>
                <v:stroke color="#000000" joinstyle="miter"/>
                <v:imagedata o:title=""/>
                <o:lock v:ext="edit" aspectratio="f"/>
                <v:textbo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v:textbox>
                <w10:anchorlock/>
              </v:shape>
            </w:pict>
          </mc:Fallback>
        </mc:AlternateContent>
      </w:r>
    </w:p>
    <w:p>
      <w:pPr>
        <w:spacing w:line="640" w:lineRule="exact"/>
        <w:jc w:val="right"/>
        <w:rPr>
          <w:rFonts w:hint="eastAsia" w:ascii="宋体" w:hAnsi="宋体" w:cs="宋体"/>
          <w:b/>
          <w:color w:val="auto"/>
          <w:sz w:val="44"/>
          <w:szCs w:val="44"/>
        </w:rPr>
      </w:pPr>
    </w:p>
    <w:p>
      <w:pPr>
        <w:rPr>
          <w:rFonts w:hint="eastAsia" w:ascii="宋体" w:hAnsi="宋体" w:cs="宋体"/>
          <w:b/>
          <w:color w:val="auto"/>
          <w:sz w:val="48"/>
          <w:szCs w:val="48"/>
        </w:rPr>
      </w:pPr>
    </w:p>
    <w:p>
      <w:pPr>
        <w:spacing w:line="360" w:lineRule="auto"/>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建始县黄土坎易地扶贫搬迁集镇安置小区配套标准化厂房（绝缘材料厂房）</w:t>
      </w:r>
      <w:r>
        <w:rPr>
          <w:rFonts w:hint="eastAsia" w:ascii="宋体" w:hAnsi="宋体" w:cs="宋体"/>
          <w:b/>
          <w:bCs/>
          <w:color w:val="auto"/>
          <w:sz w:val="44"/>
          <w:szCs w:val="44"/>
          <w:lang w:val="en-US" w:eastAsia="zh-CN"/>
        </w:rPr>
        <w:t>建设项目（电梯采购及安装）</w:t>
      </w:r>
    </w:p>
    <w:p>
      <w:pPr>
        <w:jc w:val="center"/>
        <w:rPr>
          <w:rFonts w:hint="eastAsia" w:ascii="宋体" w:hAnsi="宋体" w:cs="宋体"/>
          <w:color w:val="auto"/>
          <w:sz w:val="36"/>
          <w:szCs w:val="40"/>
          <w:lang w:eastAsia="zh-CN"/>
        </w:rPr>
      </w:pPr>
    </w:p>
    <w:p>
      <w:pPr>
        <w:jc w:val="center"/>
        <w:rPr>
          <w:rFonts w:hint="eastAsia" w:ascii="宋体" w:hAnsi="宋体" w:cs="宋体"/>
          <w:b/>
          <w:bCs/>
          <w:color w:val="auto"/>
          <w:sz w:val="96"/>
          <w:szCs w:val="96"/>
        </w:rPr>
      </w:pPr>
    </w:p>
    <w:p>
      <w:pPr>
        <w:jc w:val="center"/>
        <w:rPr>
          <w:rFonts w:hint="eastAsia" w:ascii="宋体" w:hAnsi="宋体" w:cs="宋体"/>
          <w:b/>
          <w:bCs/>
          <w:color w:val="auto"/>
          <w:sz w:val="96"/>
          <w:szCs w:val="96"/>
        </w:rPr>
      </w:pPr>
      <w:r>
        <w:rPr>
          <w:rFonts w:hint="eastAsia" w:ascii="宋体" w:hAnsi="宋体" w:cs="宋体"/>
          <w:b/>
          <w:bCs/>
          <w:color w:val="auto"/>
          <w:sz w:val="96"/>
          <w:szCs w:val="96"/>
        </w:rPr>
        <w:t>竞争性磋商文件</w:t>
      </w:r>
    </w:p>
    <w:p>
      <w:pPr>
        <w:rPr>
          <w:rFonts w:hint="eastAsia" w:ascii="宋体" w:hAnsi="宋体" w:cs="宋体"/>
          <w:color w:val="auto"/>
          <w:sz w:val="44"/>
        </w:rPr>
      </w:pPr>
    </w:p>
    <w:p>
      <w:pPr>
        <w:ind w:left="0" w:leftChars="0" w:firstLine="0" w:firstLineChars="0"/>
        <w:jc w:val="center"/>
        <w:rPr>
          <w:rFonts w:hint="default" w:ascii="宋体" w:hAnsi="宋体" w:cs="宋体"/>
          <w:color w:val="auto"/>
          <w:sz w:val="36"/>
          <w:szCs w:val="36"/>
          <w:lang w:val="en-US"/>
        </w:rPr>
      </w:pPr>
      <w:r>
        <w:rPr>
          <w:rFonts w:hint="eastAsia" w:ascii="宋体" w:hAnsi="宋体" w:cs="宋体"/>
          <w:b/>
          <w:color w:val="auto"/>
          <w:sz w:val="36"/>
          <w:szCs w:val="36"/>
          <w:lang w:val="en-US" w:eastAsia="zh-CN"/>
        </w:rPr>
        <w:t>编号：HBPTCS-2022007</w:t>
      </w:r>
    </w:p>
    <w:p>
      <w:pPr>
        <w:ind w:firstLine="643" w:firstLineChars="200"/>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p>
    <w:p>
      <w:pPr>
        <w:ind w:left="0" w:leftChars="0" w:firstLine="0" w:firstLineChars="0"/>
        <w:jc w:val="center"/>
        <w:rPr>
          <w:rFonts w:hint="default" w:ascii="宋体" w:hAnsi="宋体" w:cs="宋体"/>
          <w:b/>
          <w:color w:val="auto"/>
          <w:sz w:val="32"/>
          <w:szCs w:val="32"/>
          <w:lang w:val="en-US" w:eastAsia="zh-CN"/>
        </w:rPr>
      </w:pPr>
      <w:r>
        <w:rPr>
          <w:rFonts w:hint="eastAsia" w:ascii="宋体" w:hAnsi="宋体" w:cs="宋体"/>
          <w:b/>
          <w:color w:val="auto"/>
          <w:sz w:val="32"/>
          <w:szCs w:val="32"/>
          <w:lang w:eastAsia="zh-CN"/>
        </w:rPr>
        <w:t>采 购 人:</w:t>
      </w:r>
      <w:r>
        <w:rPr>
          <w:rFonts w:hint="eastAsia" w:ascii="宋体" w:hAnsi="宋体" w:cs="宋体"/>
          <w:b/>
          <w:color w:val="auto"/>
          <w:sz w:val="32"/>
          <w:szCs w:val="32"/>
          <w:lang w:val="en-US" w:eastAsia="zh-CN"/>
        </w:rPr>
        <w:t xml:space="preserve"> 建始县黄四姐旅游发展有限公司</w:t>
      </w:r>
    </w:p>
    <w:p>
      <w:pPr>
        <w:ind w:left="0" w:leftChars="0" w:firstLine="0" w:firstLineChars="0"/>
        <w:jc w:val="center"/>
        <w:rPr>
          <w:rFonts w:hint="default" w:ascii="宋体" w:hAnsi="宋体" w:eastAsia="宋体" w:cs="宋体"/>
          <w:b/>
          <w:color w:val="auto"/>
          <w:sz w:val="36"/>
          <w:szCs w:val="36"/>
          <w:lang w:val="en-US" w:eastAsia="zh-CN"/>
        </w:rPr>
      </w:pPr>
      <w:r>
        <w:rPr>
          <w:rFonts w:hint="eastAsia" w:ascii="宋体" w:hAnsi="宋体" w:cs="宋体"/>
          <w:b/>
          <w:color w:val="auto"/>
          <w:sz w:val="32"/>
          <w:szCs w:val="32"/>
          <w:lang w:val="en-US" w:eastAsia="zh-CN"/>
        </w:rPr>
        <w:t xml:space="preserve">           恩施自治州翔宇建设工程有限公司</w:t>
      </w:r>
    </w:p>
    <w:p>
      <w:pPr>
        <w:ind w:firstLine="964" w:firstLineChars="300"/>
        <w:jc w:val="both"/>
        <w:rPr>
          <w:rFonts w:hint="eastAsia" w:ascii="宋体" w:hAnsi="宋体" w:cs="宋体"/>
          <w:b/>
          <w:bCs/>
          <w:color w:val="333333"/>
          <w:kern w:val="0"/>
          <w:sz w:val="32"/>
          <w:szCs w:val="32"/>
          <w:shd w:val="clear" w:color="auto" w:fill="FFFFFF"/>
          <w:lang w:eastAsia="zh-CN"/>
        </w:rPr>
      </w:pPr>
      <w:r>
        <w:rPr>
          <w:rFonts w:hint="eastAsia" w:ascii="宋体" w:hAnsi="宋体" w:cs="宋体"/>
          <w:b/>
          <w:color w:val="auto"/>
          <w:sz w:val="32"/>
          <w:szCs w:val="32"/>
          <w:lang w:val="en-US" w:eastAsia="zh-CN"/>
        </w:rPr>
        <w:t>采购代理机构：湖北普泰工程咨询有</w:t>
      </w:r>
      <w:r>
        <w:rPr>
          <w:rFonts w:hint="eastAsia" w:ascii="宋体" w:hAnsi="宋体" w:cs="宋体"/>
          <w:b/>
          <w:bCs/>
          <w:color w:val="333333"/>
          <w:kern w:val="0"/>
          <w:sz w:val="32"/>
          <w:szCs w:val="32"/>
          <w:shd w:val="clear" w:color="auto" w:fill="FFFFFF"/>
          <w:lang w:eastAsia="zh-CN"/>
        </w:rPr>
        <w:t>限公司</w:t>
      </w:r>
    </w:p>
    <w:p>
      <w:pPr>
        <w:jc w:val="center"/>
        <w:rPr>
          <w:rFonts w:hint="eastAsia" w:ascii="宋体" w:hAnsi="宋体" w:cs="宋体"/>
          <w:b/>
          <w:color w:val="auto"/>
          <w:sz w:val="40"/>
          <w:szCs w:val="40"/>
        </w:rPr>
      </w:pPr>
      <w:r>
        <w:rPr>
          <w:rFonts w:hint="eastAsia" w:ascii="宋体" w:hAnsi="宋体" w:cs="宋体"/>
          <w:b/>
          <w:color w:val="auto"/>
          <w:sz w:val="36"/>
          <w:szCs w:val="36"/>
        </w:rPr>
        <w:t>20</w:t>
      </w:r>
      <w:r>
        <w:rPr>
          <w:rFonts w:hint="eastAsia" w:ascii="宋体" w:hAnsi="宋体" w:cs="宋体"/>
          <w:b/>
          <w:color w:val="auto"/>
          <w:sz w:val="36"/>
          <w:szCs w:val="36"/>
          <w:lang w:val="en-US" w:eastAsia="zh-CN"/>
        </w:rPr>
        <w:t>22</w:t>
      </w:r>
      <w:r>
        <w:rPr>
          <w:rFonts w:hint="eastAsia" w:ascii="宋体" w:hAnsi="宋体" w:cs="宋体"/>
          <w:b/>
          <w:color w:val="auto"/>
          <w:sz w:val="36"/>
          <w:szCs w:val="36"/>
        </w:rPr>
        <w:t>年</w:t>
      </w:r>
      <w:r>
        <w:rPr>
          <w:rFonts w:hint="eastAsia" w:ascii="宋体" w:hAnsi="宋体" w:cs="宋体"/>
          <w:b/>
          <w:color w:val="auto"/>
          <w:sz w:val="36"/>
          <w:szCs w:val="36"/>
          <w:lang w:val="en-US" w:eastAsia="zh-CN"/>
        </w:rPr>
        <w:t>3</w:t>
      </w:r>
      <w:r>
        <w:rPr>
          <w:rFonts w:hint="eastAsia" w:ascii="宋体" w:hAnsi="宋体" w:cs="宋体"/>
          <w:b/>
          <w:color w:val="auto"/>
          <w:sz w:val="36"/>
          <w:szCs w:val="36"/>
        </w:rPr>
        <w:t>月</w:t>
      </w:r>
    </w:p>
    <w:p>
      <w:pPr>
        <w:ind w:right="384" w:rightChars="183"/>
        <w:jc w:val="center"/>
        <w:rPr>
          <w:rFonts w:hint="eastAsia" w:ascii="宋体" w:hAnsi="宋体" w:cs="宋体"/>
          <w:b/>
          <w:color w:val="auto"/>
          <w:sz w:val="36"/>
          <w:szCs w:val="21"/>
        </w:rPr>
        <w:sectPr>
          <w:headerReference r:id="rId3" w:type="default"/>
          <w:pgSz w:w="11906" w:h="16838"/>
          <w:pgMar w:top="1440" w:right="1800" w:bottom="1091" w:left="1800" w:header="851" w:footer="992" w:gutter="0"/>
          <w:pgNumType w:fmt="decimal"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1711"/>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2"/>
            <w:rPr>
              <w:rFonts w:hint="eastAsia"/>
            </w:rPr>
          </w:pP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"1-3" \h \u </w:instrText>
          </w:r>
          <w:r>
            <w:rPr>
              <w:rFonts w:hint="eastAsia" w:ascii="宋体" w:hAnsi="宋体" w:eastAsia="宋体" w:cs="宋体"/>
              <w:b/>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_Toc28615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w:t>
          </w:r>
          <w:r>
            <w:rPr>
              <w:rFonts w:hint="eastAsia" w:ascii="宋体" w:hAnsi="宋体" w:eastAsia="宋体" w:cs="宋体"/>
              <w:b/>
              <w:bCs/>
              <w:sz w:val="28"/>
              <w:szCs w:val="28"/>
              <w:lang w:val="zh-CN"/>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_Toc29717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_Toc8249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_Toc25500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政府采购合同（样本）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响应文件编制格式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0"/>
            <w:tabs>
              <w:tab w:val="right" w:leader="dot" w:pos="8306"/>
            </w:tabs>
            <w:rPr>
              <w:rFonts w:hint="eastAsia" w:ascii="宋体" w:hAnsi="宋体" w:eastAsia="宋体" w:cs="宋体"/>
              <w:sz w:val="28"/>
              <w:szCs w:val="28"/>
            </w:rPr>
          </w:pPr>
        </w:p>
        <w:p>
          <w:pPr>
            <w:spacing w:line="360" w:lineRule="auto"/>
            <w:ind w:right="384" w:rightChars="183"/>
            <w:jc w:val="both"/>
            <w:rPr>
              <w:rFonts w:hint="eastAsia" w:ascii="宋体" w:hAnsi="宋体" w:cs="宋体"/>
              <w:b/>
              <w:color w:val="auto"/>
              <w:sz w:val="44"/>
            </w:rPr>
          </w:pPr>
          <w:r>
            <w:rPr>
              <w:rFonts w:hint="eastAsia" w:ascii="宋体" w:hAnsi="宋体" w:eastAsia="宋体" w:cs="宋体"/>
              <w:color w:val="auto"/>
              <w:sz w:val="28"/>
              <w:szCs w:val="28"/>
            </w:rPr>
            <w:fldChar w:fldCharType="end"/>
          </w:r>
        </w:p>
      </w:sdtContent>
    </w:sdt>
    <w:p>
      <w:pPr>
        <w:ind w:right="384" w:rightChars="183"/>
        <w:jc w:val="both"/>
        <w:rPr>
          <w:rStyle w:val="35"/>
          <w:rFonts w:hint="eastAsia" w:ascii="宋体" w:hAnsi="宋体" w:eastAsia="宋体" w:cs="宋体"/>
          <w:color w:val="auto"/>
        </w:rPr>
        <w:sectPr>
          <w:footerReference r:id="rId5" w:type="first"/>
          <w:footerReference r:id="rId4" w:type="default"/>
          <w:pgSz w:w="11906" w:h="16838"/>
          <w:pgMar w:top="1440" w:right="1800" w:bottom="1091" w:left="1800" w:header="851" w:footer="992" w:gutter="0"/>
          <w:pgNumType w:fmt="decimal" w:start="1"/>
          <w:cols w:space="720" w:num="1"/>
          <w:docGrid w:type="lines" w:linePitch="312" w:charSpace="0"/>
        </w:sectPr>
      </w:pPr>
    </w:p>
    <w:p>
      <w:pPr>
        <w:pStyle w:val="4"/>
        <w:bidi w:val="0"/>
        <w:jc w:val="center"/>
        <w:rPr>
          <w:rFonts w:hint="eastAsia"/>
          <w:b/>
          <w:bCs w:val="0"/>
          <w:sz w:val="44"/>
          <w:szCs w:val="44"/>
        </w:rPr>
      </w:pPr>
      <w:bookmarkStart w:id="0" w:name="_Toc28615"/>
      <w:bookmarkStart w:id="1" w:name="_Toc25790"/>
      <w:r>
        <w:rPr>
          <w:rFonts w:hint="eastAsia"/>
          <w:b/>
          <w:bCs w:val="0"/>
          <w:sz w:val="44"/>
          <w:szCs w:val="44"/>
          <w:lang w:eastAsia="zh-CN"/>
        </w:rPr>
        <w:t>第一章</w:t>
      </w:r>
      <w:r>
        <w:rPr>
          <w:rFonts w:hint="eastAsia"/>
          <w:b/>
          <w:bCs w:val="0"/>
          <w:sz w:val="44"/>
          <w:szCs w:val="44"/>
          <w:lang w:val="en-US" w:eastAsia="zh-CN"/>
        </w:rPr>
        <w:t xml:space="preserve"> </w:t>
      </w:r>
      <w:r>
        <w:rPr>
          <w:rFonts w:hint="eastAsia"/>
          <w:b/>
          <w:bCs w:val="0"/>
          <w:sz w:val="44"/>
          <w:szCs w:val="44"/>
        </w:rPr>
        <w:t>竞争性磋商</w:t>
      </w:r>
      <w:r>
        <w:rPr>
          <w:rFonts w:hint="eastAsia"/>
          <w:b/>
          <w:bCs w:val="0"/>
          <w:sz w:val="44"/>
          <w:szCs w:val="44"/>
          <w:lang w:val="zh-CN"/>
        </w:rPr>
        <w:t>公告</w:t>
      </w:r>
      <w:bookmarkEnd w:id="0"/>
      <w:bookmarkEnd w:id="1"/>
      <w:bookmarkStart w:id="2" w:name="bookmark7"/>
      <w:bookmarkStart w:id="3" w:name="bookmark5"/>
      <w:bookmarkStart w:id="4" w:name="bookmark4"/>
      <w:bookmarkStart w:id="5" w:name="_Toc35393805"/>
      <w:bookmarkStart w:id="6" w:name="_Toc28359095"/>
      <w:bookmarkStart w:id="7" w:name="_Toc35393636"/>
      <w:bookmarkStart w:id="8" w:name="_Toc28359018"/>
    </w:p>
    <w:p>
      <w:pPr>
        <w:widowControl/>
        <w:numPr>
          <w:ilvl w:val="0"/>
          <w:numId w:val="0"/>
        </w:numPr>
        <w:spacing w:line="240" w:lineRule="auto"/>
        <w:ind w:left="2205" w:leftChars="0"/>
        <w:jc w:val="both"/>
        <w:rPr>
          <w:sz w:val="28"/>
          <w:szCs w:val="28"/>
        </w:rPr>
      </w:pPr>
      <w:r>
        <w:rPr>
          <w:sz w:val="28"/>
          <w:szCs w:val="28"/>
        </w:rPr>
        <w:tab/>
      </w:r>
      <w:bookmarkEnd w:id="2"/>
      <w:bookmarkEnd w:id="3"/>
      <w:bookmarkEnd w:id="4"/>
    </w:p>
    <w:p>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color w:val="333333"/>
          <w:kern w:val="0"/>
          <w:sz w:val="24"/>
          <w:szCs w:val="24"/>
          <w:shd w:val="clear" w:color="auto" w:fill="FFFFFF"/>
        </w:rPr>
      </w:pPr>
      <w:bookmarkStart w:id="9" w:name="bookmark10"/>
      <w:bookmarkStart w:id="10" w:name="bookmark11"/>
      <w:bookmarkStart w:id="11" w:name="bookmark9"/>
      <w:bookmarkStart w:id="12" w:name="bookmark8"/>
      <w:r>
        <w:rPr>
          <w:rFonts w:hint="eastAsia" w:ascii="宋体" w:hAnsi="宋体" w:eastAsia="宋体" w:cs="宋体"/>
          <w:color w:val="auto"/>
          <w:sz w:val="24"/>
          <w:szCs w:val="24"/>
          <w:lang w:eastAsia="zh-CN"/>
        </w:rPr>
        <w:t>项目概况</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建始县黄土坎易地扶贫搬迁集镇安置小区配套标准化厂房（绝缘材料厂房）</w:t>
      </w:r>
      <w:r>
        <w:rPr>
          <w:rFonts w:hint="eastAsia" w:ascii="宋体" w:hAnsi="宋体" w:eastAsia="宋体" w:cs="宋体"/>
          <w:color w:val="auto"/>
          <w:sz w:val="24"/>
          <w:szCs w:val="24"/>
          <w:lang w:val="en-US" w:eastAsia="zh-CN"/>
        </w:rPr>
        <w:t>建设项目（电梯采购及安装）</w:t>
      </w:r>
      <w:r>
        <w:rPr>
          <w:rFonts w:hint="eastAsia" w:ascii="宋体" w:hAnsi="宋体" w:eastAsia="宋体" w:cs="宋体"/>
          <w:color w:val="333333"/>
          <w:kern w:val="0"/>
          <w:sz w:val="24"/>
          <w:szCs w:val="24"/>
          <w:shd w:val="clear" w:color="auto" w:fill="FFFFFF"/>
        </w:rPr>
        <w:t>的潜在供应商应在</w:t>
      </w:r>
      <w:r>
        <w:rPr>
          <w:rFonts w:hint="eastAsia" w:ascii="宋体" w:hAnsi="宋体" w:eastAsia="宋体" w:cs="宋体"/>
          <w:color w:val="333333"/>
          <w:kern w:val="0"/>
          <w:sz w:val="24"/>
          <w:szCs w:val="24"/>
          <w:shd w:val="clear" w:color="auto" w:fill="FFFFFF"/>
          <w:lang w:eastAsia="zh-CN"/>
        </w:rPr>
        <w:t>湖北普泰工程咨询有限公司</w:t>
      </w:r>
      <w:r>
        <w:rPr>
          <w:rFonts w:hint="eastAsia" w:ascii="宋体" w:hAnsi="宋体" w:eastAsia="宋体" w:cs="宋体"/>
          <w:sz w:val="24"/>
          <w:szCs w:val="24"/>
        </w:rPr>
        <w:t>（建始县建始大道璞玉岛9号门面一楼</w:t>
      </w:r>
      <w:r>
        <w:rPr>
          <w:rFonts w:hint="eastAsia" w:ascii="宋体" w:hAnsi="宋体" w:eastAsia="宋体" w:cs="宋体"/>
          <w:color w:val="333333"/>
          <w:kern w:val="0"/>
          <w:sz w:val="24"/>
          <w:szCs w:val="24"/>
          <w:shd w:val="clear" w:color="auto" w:fill="FFFFFF"/>
          <w:lang w:eastAsia="zh-CN"/>
        </w:rPr>
        <w:t>）</w:t>
      </w:r>
      <w:r>
        <w:rPr>
          <w:rFonts w:hint="eastAsia" w:ascii="宋体" w:hAnsi="宋体" w:eastAsia="宋体" w:cs="宋体"/>
          <w:color w:val="333333"/>
          <w:kern w:val="0"/>
          <w:sz w:val="24"/>
          <w:szCs w:val="24"/>
          <w:shd w:val="clear" w:color="auto" w:fill="FFFFFF"/>
        </w:rPr>
        <w:t>获取采购文件，并于</w:t>
      </w:r>
      <w:r>
        <w:rPr>
          <w:rFonts w:hint="eastAsia" w:ascii="宋体" w:hAnsi="宋体" w:eastAsia="宋体" w:cs="宋体"/>
          <w:color w:val="0000FF"/>
          <w:kern w:val="0"/>
          <w:sz w:val="24"/>
          <w:szCs w:val="24"/>
          <w:u w:val="single"/>
          <w:shd w:val="clear" w:color="auto" w:fill="FFFFFF"/>
        </w:rPr>
        <w:t>202</w:t>
      </w:r>
      <w:r>
        <w:rPr>
          <w:rFonts w:hint="eastAsia" w:ascii="宋体" w:hAnsi="宋体" w:eastAsia="宋体" w:cs="宋体"/>
          <w:color w:val="0000FF"/>
          <w:kern w:val="0"/>
          <w:sz w:val="24"/>
          <w:szCs w:val="24"/>
          <w:u w:val="single"/>
          <w:shd w:val="clear" w:color="auto" w:fill="FFFFFF"/>
          <w:lang w:val="en-US" w:eastAsia="zh-CN"/>
        </w:rPr>
        <w:t>2</w:t>
      </w:r>
      <w:r>
        <w:rPr>
          <w:rFonts w:hint="eastAsia" w:ascii="宋体" w:hAnsi="宋体" w:eastAsia="宋体" w:cs="宋体"/>
          <w:color w:val="0000FF"/>
          <w:kern w:val="0"/>
          <w:sz w:val="24"/>
          <w:szCs w:val="24"/>
          <w:u w:val="single"/>
          <w:shd w:val="clear" w:color="auto" w:fill="FFFFFF"/>
        </w:rPr>
        <w:t>年</w:t>
      </w:r>
      <w:r>
        <w:rPr>
          <w:rFonts w:hint="eastAsia" w:ascii="宋体" w:hAnsi="宋体" w:eastAsia="宋体" w:cs="宋体"/>
          <w:color w:val="0000FF"/>
          <w:kern w:val="0"/>
          <w:sz w:val="24"/>
          <w:szCs w:val="24"/>
          <w:u w:val="single"/>
          <w:shd w:val="clear" w:color="auto" w:fill="FFFFFF"/>
          <w:lang w:val="en-US" w:eastAsia="zh-CN"/>
        </w:rPr>
        <w:t>3</w:t>
      </w:r>
      <w:r>
        <w:rPr>
          <w:rFonts w:hint="eastAsia" w:ascii="宋体" w:hAnsi="宋体" w:eastAsia="宋体" w:cs="宋体"/>
          <w:color w:val="0000FF"/>
          <w:kern w:val="0"/>
          <w:sz w:val="24"/>
          <w:szCs w:val="24"/>
          <w:u w:val="single"/>
          <w:shd w:val="clear" w:color="auto" w:fill="FFFFFF"/>
        </w:rPr>
        <w:t>月</w:t>
      </w:r>
      <w:r>
        <w:rPr>
          <w:rFonts w:hint="eastAsia" w:ascii="宋体" w:hAnsi="宋体" w:eastAsia="宋体" w:cs="宋体"/>
          <w:color w:val="0000FF"/>
          <w:kern w:val="0"/>
          <w:sz w:val="24"/>
          <w:szCs w:val="24"/>
          <w:u w:val="single"/>
          <w:shd w:val="clear" w:color="auto" w:fill="FFFFFF"/>
          <w:lang w:val="en-US" w:eastAsia="zh-CN"/>
        </w:rPr>
        <w:t>15</w:t>
      </w:r>
      <w:r>
        <w:rPr>
          <w:rFonts w:hint="eastAsia" w:ascii="宋体" w:hAnsi="宋体" w:eastAsia="宋体" w:cs="宋体"/>
          <w:color w:val="0000FF"/>
          <w:kern w:val="0"/>
          <w:sz w:val="24"/>
          <w:szCs w:val="24"/>
          <w:u w:val="single"/>
          <w:shd w:val="clear" w:color="auto" w:fill="FFFFFF"/>
        </w:rPr>
        <w:t>日09点00分</w:t>
      </w:r>
      <w:r>
        <w:rPr>
          <w:rFonts w:hint="eastAsia" w:ascii="宋体" w:hAnsi="宋体" w:eastAsia="宋体" w:cs="宋体"/>
          <w:color w:val="333333"/>
          <w:kern w:val="0"/>
          <w:sz w:val="24"/>
          <w:szCs w:val="24"/>
          <w:shd w:val="clear" w:color="auto" w:fill="FFFFFF"/>
        </w:rPr>
        <w:t>（北京时间）前提交响应文件。</w:t>
      </w:r>
    </w:p>
    <w:p>
      <w:pPr>
        <w:bidi w:val="0"/>
        <w:spacing w:line="360" w:lineRule="auto"/>
        <w:rPr>
          <w:rFonts w:hint="eastAsia" w:ascii="宋体" w:hAnsi="宋体" w:eastAsia="宋体" w:cs="宋体"/>
          <w:sz w:val="24"/>
          <w:szCs w:val="32"/>
        </w:rPr>
      </w:pPr>
      <w:r>
        <w:rPr>
          <w:rFonts w:hint="eastAsia" w:ascii="宋体" w:hAnsi="宋体" w:eastAsia="宋体" w:cs="宋体"/>
          <w:b/>
          <w:bCs/>
          <w:sz w:val="24"/>
          <w:szCs w:val="32"/>
        </w:rPr>
        <w:t>一、项目基本情况</w:t>
      </w:r>
      <w:r>
        <w:rPr>
          <w:rFonts w:hint="eastAsia" w:ascii="宋体" w:hAnsi="宋体" w:eastAsia="宋体" w:cs="宋体"/>
          <w:sz w:val="24"/>
          <w:szCs w:val="32"/>
        </w:rPr>
        <w:t> </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1、项目编号：</w:t>
      </w:r>
      <w:r>
        <w:rPr>
          <w:rFonts w:hint="eastAsia" w:ascii="宋体" w:hAnsi="宋体" w:eastAsia="宋体" w:cs="宋体"/>
          <w:sz w:val="24"/>
          <w:szCs w:val="32"/>
          <w:lang w:val="en-US" w:eastAsia="zh-CN"/>
        </w:rPr>
        <w:t>HBPTCS-2022007</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、采购计划备案号：无</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3、项目名称：</w:t>
      </w:r>
      <w:r>
        <w:rPr>
          <w:rFonts w:hint="eastAsia" w:ascii="宋体" w:hAnsi="宋体" w:eastAsia="宋体" w:cs="宋体"/>
          <w:sz w:val="24"/>
          <w:szCs w:val="32"/>
          <w:lang w:eastAsia="zh-CN"/>
        </w:rPr>
        <w:t>建始县黄土坎易地扶贫搬迁集镇安置小区配套标准化厂房（绝缘材料厂房）</w:t>
      </w:r>
      <w:r>
        <w:rPr>
          <w:rFonts w:hint="eastAsia" w:ascii="宋体" w:hAnsi="宋体" w:eastAsia="宋体" w:cs="宋体"/>
          <w:sz w:val="24"/>
          <w:szCs w:val="32"/>
          <w:lang w:val="en-US" w:eastAsia="zh-CN"/>
        </w:rPr>
        <w:t>建设项目（电梯采购及安装）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4、采购方式：竞争性磋商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5、预算金额：60(万元)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6、最高限价：60(万元)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7、采购需求：本次采购内容为</w:t>
      </w:r>
      <w:r>
        <w:rPr>
          <w:rFonts w:hint="eastAsia" w:ascii="宋体" w:hAnsi="宋体" w:eastAsia="宋体" w:cs="宋体"/>
          <w:sz w:val="24"/>
          <w:szCs w:val="32"/>
          <w:lang w:eastAsia="zh-CN"/>
        </w:rPr>
        <w:t>有机房载货电</w:t>
      </w:r>
      <w:r>
        <w:rPr>
          <w:rFonts w:hint="eastAsia" w:ascii="宋体" w:hAnsi="宋体" w:eastAsia="宋体" w:cs="宋体"/>
          <w:sz w:val="24"/>
          <w:szCs w:val="32"/>
        </w:rPr>
        <w:t>梯、</w:t>
      </w:r>
      <w:r>
        <w:rPr>
          <w:rFonts w:hint="eastAsia" w:ascii="宋体" w:hAnsi="宋体" w:eastAsia="宋体" w:cs="宋体"/>
          <w:sz w:val="24"/>
          <w:szCs w:val="32"/>
          <w:lang w:eastAsia="zh-CN"/>
        </w:rPr>
        <w:t>有机房乘客电梯</w:t>
      </w:r>
      <w:r>
        <w:rPr>
          <w:rFonts w:hint="eastAsia" w:ascii="宋体" w:hAnsi="宋体" w:eastAsia="宋体" w:cs="宋体"/>
          <w:sz w:val="24"/>
          <w:szCs w:val="32"/>
        </w:rPr>
        <w:t>采购共</w:t>
      </w:r>
      <w:r>
        <w:rPr>
          <w:rFonts w:hint="eastAsia" w:ascii="宋体" w:hAnsi="宋体" w:eastAsia="宋体" w:cs="宋体"/>
          <w:sz w:val="24"/>
          <w:szCs w:val="32"/>
          <w:lang w:val="en-US" w:eastAsia="zh-CN"/>
        </w:rPr>
        <w:t>3</w:t>
      </w:r>
      <w:r>
        <w:rPr>
          <w:rFonts w:hint="eastAsia" w:ascii="宋体" w:hAnsi="宋体" w:eastAsia="宋体" w:cs="宋体"/>
          <w:sz w:val="24"/>
          <w:szCs w:val="32"/>
        </w:rPr>
        <w:t>台及安装，具体规格要求和技术参数详见磋商文件,并满足设计要求。</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8、合同履行期限：</w:t>
      </w:r>
      <w:r>
        <w:rPr>
          <w:rFonts w:hint="eastAsia" w:ascii="宋体" w:hAnsi="宋体" w:eastAsia="宋体" w:cs="宋体"/>
          <w:sz w:val="24"/>
          <w:szCs w:val="32"/>
          <w:lang w:val="en-US" w:eastAsia="zh-CN"/>
        </w:rPr>
        <w:t>60</w:t>
      </w:r>
      <w:r>
        <w:rPr>
          <w:rFonts w:hint="eastAsia" w:ascii="宋体" w:hAnsi="宋体" w:eastAsia="宋体" w:cs="宋体"/>
          <w:sz w:val="24"/>
          <w:szCs w:val="32"/>
        </w:rPr>
        <w:t>日历天内完成供货及安装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9、本项目（是/否）接受联合体投标：否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10、是否可购进口产品：否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否</w:t>
      </w:r>
    </w:p>
    <w:bookmarkEnd w:id="9"/>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二</w:t>
      </w:r>
      <w:r>
        <w:rPr>
          <w:rFonts w:hint="eastAsia" w:ascii="宋体" w:hAnsi="宋体" w:eastAsia="宋体" w:cs="宋体"/>
          <w:b/>
          <w:bCs/>
          <w:sz w:val="24"/>
          <w:szCs w:val="32"/>
        </w:rPr>
        <w:t>、</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资格要求</w:t>
      </w:r>
      <w:bookmarkEnd w:id="10"/>
      <w:bookmarkEnd w:id="11"/>
      <w:bookmarkEnd w:id="12"/>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供应商应具备《政府采购法》第二十二条规定的条件</w:t>
      </w:r>
      <w:r>
        <w:rPr>
          <w:rFonts w:hint="eastAsia" w:ascii="宋体" w:hAnsi="宋体" w:eastAsia="宋体" w:cs="宋体"/>
          <w:sz w:val="24"/>
          <w:szCs w:val="32"/>
          <w:lang w:eastAsia="zh-CN"/>
        </w:rPr>
        <w:t>，即：</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（1）具有独立承担民事责任的能力；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（2）具有良好的商业信誉和健全的财务会计制度；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（3）具有履行合同所必需的设备和专业技术能力；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（4）有依法缴纳税收和社会保障资金的良好记录；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（5）参加政府采购活动前三年内，在经营活动中没有重大违法记录；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（6）法律、行政法规规定的其他条件。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落实政府采购政策需满足的资格要求：本项目需落实政府采购促进中小企业发展政策（残疾人企业、监狱企业视同小型、微型企业）等相关政府采购政策</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6、本项目的特定资格要求：</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6.1、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6.2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p>
    <w:p>
      <w:pPr>
        <w:bidi w:val="0"/>
        <w:spacing w:line="360" w:lineRule="auto"/>
        <w:rPr>
          <w:rFonts w:hint="eastAsia" w:ascii="宋体" w:hAnsi="宋体" w:eastAsia="宋体" w:cs="宋体"/>
          <w:b/>
          <w:bCs/>
          <w:sz w:val="24"/>
          <w:szCs w:val="32"/>
        </w:rPr>
      </w:pPr>
      <w:bookmarkStart w:id="13" w:name="bookmark12"/>
      <w:bookmarkStart w:id="14" w:name="bookmark13"/>
      <w:bookmarkStart w:id="15" w:name="bookmark15"/>
      <w:r>
        <w:rPr>
          <w:rFonts w:hint="eastAsia" w:ascii="宋体" w:hAnsi="宋体" w:eastAsia="宋体" w:cs="宋体"/>
          <w:b/>
          <w:bCs/>
          <w:sz w:val="24"/>
          <w:szCs w:val="32"/>
          <w:lang w:eastAsia="zh-CN"/>
        </w:rPr>
        <w:t>三</w:t>
      </w:r>
      <w:r>
        <w:rPr>
          <w:rFonts w:hint="eastAsia" w:ascii="宋体" w:hAnsi="宋体" w:eastAsia="宋体" w:cs="宋体"/>
          <w:b/>
          <w:bCs/>
          <w:sz w:val="24"/>
          <w:szCs w:val="32"/>
        </w:rPr>
        <w:t>、</w:t>
      </w:r>
      <w:r>
        <w:rPr>
          <w:rFonts w:hint="eastAsia" w:ascii="宋体" w:hAnsi="宋体" w:eastAsia="宋体" w:cs="宋体"/>
          <w:b/>
          <w:bCs/>
          <w:sz w:val="24"/>
          <w:szCs w:val="32"/>
          <w:lang w:eastAsia="zh-CN"/>
        </w:rPr>
        <w:t>磋商文件</w:t>
      </w:r>
      <w:r>
        <w:rPr>
          <w:rFonts w:hint="eastAsia" w:ascii="宋体" w:hAnsi="宋体" w:eastAsia="宋体" w:cs="宋体"/>
          <w:b/>
          <w:bCs/>
          <w:sz w:val="24"/>
          <w:szCs w:val="32"/>
        </w:rPr>
        <w:t>的获取</w:t>
      </w:r>
      <w:bookmarkEnd w:id="13"/>
      <w:bookmarkEnd w:id="14"/>
      <w:bookmarkEnd w:id="15"/>
    </w:p>
    <w:p>
      <w:pPr>
        <w:bidi w:val="0"/>
        <w:spacing w:line="360" w:lineRule="auto"/>
        <w:rPr>
          <w:rFonts w:hint="eastAsia" w:ascii="宋体" w:hAnsi="宋体" w:eastAsia="宋体" w:cs="宋体"/>
          <w:sz w:val="24"/>
          <w:szCs w:val="32"/>
        </w:rPr>
      </w:pPr>
      <w:bookmarkStart w:id="16" w:name="bookmark18"/>
      <w:bookmarkStart w:id="17" w:name="bookmark19"/>
      <w:bookmarkStart w:id="18" w:name="bookmark16"/>
      <w:bookmarkStart w:id="19" w:name="bookmark17"/>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eastAsia="宋体" w:cs="宋体"/>
          <w:sz w:val="24"/>
          <w:szCs w:val="32"/>
          <w:lang w:val="en-US" w:eastAsia="zh-CN"/>
        </w:rPr>
        <w:t>4</w:t>
      </w:r>
      <w:r>
        <w:rPr>
          <w:rFonts w:hint="eastAsia" w:ascii="宋体" w:hAnsi="宋体" w:eastAsia="宋体" w:cs="宋体"/>
          <w:sz w:val="24"/>
          <w:szCs w:val="32"/>
        </w:rPr>
        <w:t>日至202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eastAsia="宋体" w:cs="宋体"/>
          <w:sz w:val="24"/>
          <w:szCs w:val="32"/>
          <w:lang w:val="en-US" w:eastAsia="zh-CN"/>
        </w:rPr>
        <w:t>10</w:t>
      </w:r>
      <w:r>
        <w:rPr>
          <w:rFonts w:hint="eastAsia" w:ascii="宋体" w:hAnsi="宋体" w:eastAsia="宋体" w:cs="宋体"/>
          <w:sz w:val="24"/>
          <w:szCs w:val="32"/>
        </w:rPr>
        <w:t xml:space="preserve">日，每天上午08:30至12:00，下午14:30至17:30（北京时间，法定节假日除外）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2、地点：湖北普泰工程咨询有限公司（建始县建始大道璞玉岛9号门面一楼）</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3、方式：</w:t>
      </w:r>
    </w:p>
    <w:p>
      <w:pPr>
        <w:bidi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携带合法有效的工商营业执照副本复印件（加盖单位红印章）、授权代表身份证原件、法定代表人授权委托书原件及填写完整的报名登记表（附件中自行下载），至上述地点自带U盘拷贝磋商文件或发送到磋商申请人邮箱。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0</w:t>
      </w:r>
      <w:r>
        <w:rPr>
          <w:rFonts w:hint="eastAsia" w:ascii="宋体" w:hAnsi="宋体" w:eastAsia="宋体" w:cs="宋体"/>
          <w:sz w:val="24"/>
          <w:szCs w:val="32"/>
        </w:rPr>
        <w:t>(元)</w:t>
      </w:r>
    </w:p>
    <w:bookmarkEnd w:id="16"/>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w:t>
      </w:r>
      <w:r>
        <w:rPr>
          <w:rFonts w:hint="eastAsia" w:ascii="宋体" w:hAnsi="宋体" w:eastAsia="宋体" w:cs="宋体"/>
          <w:b/>
          <w:bCs/>
          <w:sz w:val="24"/>
          <w:szCs w:val="32"/>
        </w:rPr>
        <w:t>文件的递交</w:t>
      </w:r>
      <w:bookmarkEnd w:id="17"/>
      <w:bookmarkEnd w:id="18"/>
      <w:bookmarkEnd w:id="19"/>
    </w:p>
    <w:p>
      <w:pPr>
        <w:bidi w:val="0"/>
        <w:spacing w:line="360" w:lineRule="auto"/>
        <w:rPr>
          <w:rFonts w:hint="eastAsia" w:ascii="宋体" w:hAnsi="宋体" w:eastAsia="宋体" w:cs="宋体"/>
          <w:sz w:val="24"/>
          <w:szCs w:val="32"/>
        </w:rPr>
      </w:pPr>
      <w:bookmarkStart w:id="20" w:name="bookmark22"/>
      <w:bookmarkStart w:id="21" w:name="bookmark21"/>
      <w:bookmarkStart w:id="22" w:name="bookmark23"/>
      <w:bookmarkStart w:id="23" w:name="bookmark20"/>
      <w:r>
        <w:rPr>
          <w:rFonts w:hint="eastAsia" w:ascii="宋体" w:hAnsi="宋体" w:eastAsia="宋体" w:cs="宋体"/>
          <w:sz w:val="24"/>
          <w:szCs w:val="32"/>
        </w:rPr>
        <w:t>1、开始时间：202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eastAsia="宋体" w:cs="宋体"/>
          <w:sz w:val="24"/>
          <w:szCs w:val="32"/>
          <w:lang w:val="en-US" w:eastAsia="zh-CN"/>
        </w:rPr>
        <w:t>15</w:t>
      </w:r>
      <w:r>
        <w:rPr>
          <w:rFonts w:hint="eastAsia" w:ascii="宋体" w:hAnsi="宋体" w:eastAsia="宋体" w:cs="宋体"/>
          <w:sz w:val="24"/>
          <w:szCs w:val="32"/>
        </w:rPr>
        <w:t xml:space="preserve">日08点30分（北京时间）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2、截止时间：202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eastAsia="宋体" w:cs="宋体"/>
          <w:sz w:val="24"/>
          <w:szCs w:val="32"/>
          <w:lang w:val="en-US" w:eastAsia="zh-CN"/>
        </w:rPr>
        <w:t>15</w:t>
      </w:r>
      <w:r>
        <w:rPr>
          <w:rFonts w:hint="eastAsia" w:ascii="宋体" w:hAnsi="宋体" w:eastAsia="宋体" w:cs="宋体"/>
          <w:sz w:val="24"/>
          <w:szCs w:val="32"/>
        </w:rPr>
        <w:t xml:space="preserve">日09点00分（北京时间）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3、地点：湖北普泰工程咨询有限公司（建始县建始大道璞玉岛9号门面一楼）</w:t>
      </w:r>
    </w:p>
    <w:bookmarkEnd w:id="20"/>
    <w:p>
      <w:pPr>
        <w:bidi w:val="0"/>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五</w:t>
      </w:r>
      <w:r>
        <w:rPr>
          <w:rFonts w:hint="eastAsia" w:ascii="宋体" w:hAnsi="宋体" w:eastAsia="宋体" w:cs="宋体"/>
          <w:b/>
          <w:bCs/>
          <w:sz w:val="24"/>
          <w:szCs w:val="32"/>
        </w:rPr>
        <w:t>、</w:t>
      </w:r>
      <w:bookmarkEnd w:id="21"/>
      <w:bookmarkEnd w:id="22"/>
      <w:bookmarkEnd w:id="23"/>
      <w:r>
        <w:rPr>
          <w:rFonts w:hint="eastAsia" w:ascii="宋体" w:hAnsi="宋体" w:eastAsia="宋体" w:cs="宋体"/>
          <w:b/>
          <w:bCs/>
          <w:sz w:val="24"/>
          <w:szCs w:val="32"/>
          <w:lang w:eastAsia="zh-CN"/>
        </w:rPr>
        <w:t>开启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eastAsia="宋体" w:cs="宋体"/>
          <w:sz w:val="24"/>
          <w:szCs w:val="32"/>
          <w:lang w:val="en-US" w:eastAsia="zh-CN"/>
        </w:rPr>
        <w:t>3</w:t>
      </w:r>
      <w:r>
        <w:rPr>
          <w:rFonts w:hint="eastAsia" w:ascii="宋体" w:hAnsi="宋体" w:eastAsia="宋体" w:cs="宋体"/>
          <w:sz w:val="24"/>
          <w:szCs w:val="32"/>
        </w:rPr>
        <w:t>月</w:t>
      </w:r>
      <w:r>
        <w:rPr>
          <w:rFonts w:hint="eastAsia" w:ascii="宋体" w:hAnsi="宋体" w:eastAsia="宋体" w:cs="宋体"/>
          <w:sz w:val="24"/>
          <w:szCs w:val="32"/>
          <w:lang w:val="en-US" w:eastAsia="zh-CN"/>
        </w:rPr>
        <w:t>15</w:t>
      </w:r>
      <w:r>
        <w:rPr>
          <w:rFonts w:hint="eastAsia" w:ascii="宋体" w:hAnsi="宋体" w:eastAsia="宋体" w:cs="宋体"/>
          <w:sz w:val="24"/>
          <w:szCs w:val="32"/>
        </w:rPr>
        <w:t xml:space="preserve">日09点00分（北京时间）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 xml:space="preserve">2、地点：湖北普泰工程咨询有限公司（建始县建始大道璞玉岛9号门面一楼） </w:t>
      </w:r>
    </w:p>
    <w:p>
      <w:pPr>
        <w:bidi w:val="0"/>
        <w:spacing w:line="360" w:lineRule="auto"/>
        <w:rPr>
          <w:rFonts w:hint="eastAsia" w:ascii="宋体" w:hAnsi="宋体" w:eastAsia="宋体" w:cs="宋体"/>
          <w:b/>
          <w:bCs/>
          <w:sz w:val="24"/>
          <w:szCs w:val="32"/>
        </w:rPr>
      </w:pPr>
      <w:bookmarkStart w:id="24" w:name="bookmark28"/>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自本公告发布之日起3个工作日。</w:t>
      </w:r>
    </w:p>
    <w:bookmarkEnd w:id="24"/>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1、公告信息发布媒体：全国招标采购公共服务平台https://www.hnzbcgxxw.com/</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八、凡对本次采购提出询问，请按以下方式联系</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1、采购人信息</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名称</w:t>
      </w:r>
      <w:r>
        <w:rPr>
          <w:rFonts w:hint="eastAsia" w:ascii="宋体" w:hAnsi="宋体" w:eastAsia="宋体" w:cs="宋体"/>
          <w:sz w:val="24"/>
          <w:szCs w:val="32"/>
        </w:rPr>
        <w:t>：</w:t>
      </w:r>
      <w:r>
        <w:rPr>
          <w:rFonts w:hint="eastAsia" w:ascii="宋体" w:hAnsi="宋体" w:eastAsia="宋体" w:cs="宋体"/>
          <w:sz w:val="24"/>
          <w:szCs w:val="32"/>
          <w:lang w:val="en-US" w:eastAsia="zh-CN"/>
        </w:rPr>
        <w:t>建始县黄四姐旅游发展有限公司/恩施自治州翔宇建设工程有限公司</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地 址：建始县</w:t>
      </w:r>
      <w:r>
        <w:rPr>
          <w:rFonts w:hint="eastAsia" w:ascii="宋体" w:hAnsi="宋体" w:eastAsia="宋体" w:cs="宋体"/>
          <w:sz w:val="24"/>
          <w:szCs w:val="32"/>
          <w:lang w:eastAsia="zh-CN"/>
        </w:rPr>
        <w:t>长梁镇黄土坎村</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严先生</w:t>
      </w:r>
      <w:r>
        <w:rPr>
          <w:rFonts w:hint="eastAsia" w:ascii="宋体" w:hAnsi="宋体" w:eastAsia="宋体" w:cs="宋体"/>
          <w:sz w:val="24"/>
          <w:szCs w:val="32"/>
          <w:lang w:val="en-US" w:eastAsia="zh-CN"/>
        </w:rPr>
        <w:t>/黄先生</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13581205658/15027198999</w:t>
      </w:r>
      <w:bookmarkStart w:id="115" w:name="_GoBack"/>
      <w:bookmarkEnd w:id="115"/>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名   称：湖北普泰工程咨询有限公司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地   址：建始县建始大道璞玉道9号门面一楼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联系方式：0718-3227599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eastAsia="zh-CN"/>
        </w:rPr>
        <w:t>侯睿卿</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0718-3227599</w:t>
      </w:r>
    </w:p>
    <w:p>
      <w:pPr>
        <w:pStyle w:val="39"/>
        <w:spacing w:after="1620" w:line="360" w:lineRule="auto"/>
        <w:ind w:firstLine="340"/>
        <w:rPr>
          <w:rFonts w:hint="eastAsia"/>
          <w:color w:val="auto"/>
          <w:sz w:val="28"/>
          <w:szCs w:val="28"/>
          <w:lang w:val="en-US" w:eastAsia="zh-CN"/>
        </w:rPr>
      </w:pPr>
    </w:p>
    <w:p>
      <w:pPr>
        <w:pStyle w:val="39"/>
        <w:spacing w:after="1620" w:line="360" w:lineRule="auto"/>
        <w:ind w:firstLine="340"/>
        <w:rPr>
          <w:rFonts w:hint="eastAsia"/>
          <w:color w:val="auto"/>
          <w:sz w:val="28"/>
          <w:szCs w:val="28"/>
          <w:lang w:val="en-US" w:eastAsia="zh-CN"/>
        </w:rPr>
      </w:pPr>
    </w:p>
    <w:bookmarkEnd w:id="5"/>
    <w:bookmarkEnd w:id="6"/>
    <w:bookmarkEnd w:id="7"/>
    <w:bookmarkEnd w:id="8"/>
    <w:p>
      <w:pPr>
        <w:pStyle w:val="4"/>
        <w:bidi w:val="0"/>
        <w:jc w:val="center"/>
        <w:rPr>
          <w:rFonts w:hint="eastAsia"/>
          <w:b/>
          <w:bCs w:val="0"/>
          <w:sz w:val="44"/>
          <w:szCs w:val="44"/>
        </w:rPr>
      </w:pPr>
      <w:bookmarkStart w:id="25" w:name="_Toc5137"/>
      <w:bookmarkStart w:id="26" w:name="_Toc29717"/>
      <w:r>
        <w:rPr>
          <w:rFonts w:hint="eastAsia"/>
          <w:b/>
          <w:bCs w:val="0"/>
          <w:sz w:val="44"/>
          <w:szCs w:val="44"/>
        </w:rPr>
        <w:t>第二章  采购需求</w:t>
      </w:r>
      <w:bookmarkEnd w:id="25"/>
      <w:bookmarkEnd w:id="26"/>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一、项目名称、编号</w:t>
      </w:r>
    </w:p>
    <w:p>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项目名称：</w:t>
      </w:r>
      <w:r>
        <w:rPr>
          <w:rFonts w:hint="eastAsia" w:ascii="宋体" w:hAnsi="宋体" w:eastAsia="宋体" w:cs="宋体"/>
          <w:color w:val="auto"/>
          <w:sz w:val="28"/>
          <w:szCs w:val="28"/>
          <w:lang w:eastAsia="zh-CN"/>
        </w:rPr>
        <w:t>建始县黄土坎易地扶贫搬迁集镇安置小区配套标准化厂房（绝缘材料厂房）</w:t>
      </w:r>
      <w:r>
        <w:rPr>
          <w:rFonts w:hint="eastAsia" w:ascii="宋体" w:hAnsi="宋体" w:eastAsia="宋体" w:cs="宋体"/>
          <w:color w:val="auto"/>
          <w:sz w:val="28"/>
          <w:szCs w:val="28"/>
          <w:lang w:val="en-US" w:eastAsia="zh-CN"/>
        </w:rPr>
        <w:t>建设项目（电梯采购及安装）</w:t>
      </w:r>
    </w:p>
    <w:p>
      <w:pPr>
        <w:spacing w:line="360" w:lineRule="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ascii="宋体" w:hAnsi="宋体" w:eastAsia="宋体" w:cs="宋体"/>
          <w:color w:val="auto"/>
          <w:kern w:val="0"/>
          <w:sz w:val="28"/>
          <w:szCs w:val="28"/>
          <w:lang w:val="en-US" w:eastAsia="zh-CN"/>
        </w:rPr>
        <w:t>HBPTCS-2022007</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采购货物</w:t>
      </w:r>
      <w:r>
        <w:rPr>
          <w:rFonts w:hint="eastAsia" w:ascii="宋体" w:hAnsi="宋体" w:eastAsia="宋体" w:cs="宋体"/>
          <w:b/>
          <w:bCs/>
          <w:sz w:val="28"/>
          <w:szCs w:val="36"/>
          <w:lang w:val="en-US" w:eastAsia="zh-CN"/>
        </w:rPr>
        <w:t>数量及</w:t>
      </w:r>
      <w:r>
        <w:rPr>
          <w:rFonts w:hint="eastAsia" w:ascii="宋体" w:hAnsi="宋体" w:eastAsia="宋体" w:cs="宋体"/>
          <w:b/>
          <w:bCs/>
          <w:sz w:val="28"/>
          <w:szCs w:val="36"/>
        </w:rPr>
        <w:t>规格参数：</w:t>
      </w:r>
    </w:p>
    <w:p>
      <w:pPr>
        <w:bidi w:val="0"/>
        <w:spacing w:line="360" w:lineRule="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1、规格、参数要求</w:t>
      </w:r>
    </w:p>
    <w:p>
      <w:pPr>
        <w:rPr>
          <w:rFonts w:hint="eastAsia" w:ascii="宋体" w:hAnsi="宋体" w:eastAsia="宋体" w:cs="宋体"/>
        </w:rPr>
      </w:pPr>
    </w:p>
    <w:tbl>
      <w:tblPr>
        <w:tblStyle w:val="19"/>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4"/>
        <w:gridCol w:w="2881"/>
        <w:gridCol w:w="3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12"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1、产品型号</w:t>
            </w:r>
          </w:p>
        </w:tc>
        <w:tc>
          <w:tcPr>
            <w:tcW w:w="2881" w:type="dxa"/>
            <w:tcBorders>
              <w:top w:val="single" w:color="auto" w:sz="12" w:space="0"/>
              <w:left w:val="single" w:color="auto" w:sz="6" w:space="0"/>
              <w:bottom w:val="single" w:color="auto" w:sz="6" w:space="0"/>
              <w:right w:val="single" w:color="auto" w:sz="4" w:space="0"/>
            </w:tcBorders>
            <w:vAlign w:val="center"/>
          </w:tcPr>
          <w:p>
            <w:pPr>
              <w:widowControl/>
              <w:jc w:val="center"/>
              <w:rPr>
                <w:rFonts w:hint="eastAsia" w:ascii="宋体" w:hAnsi="宋体" w:eastAsia="宋体" w:cs="宋体"/>
                <w:color w:val="000000"/>
                <w:kern w:val="0"/>
              </w:rPr>
            </w:pPr>
            <w:r>
              <w:rPr>
                <w:rFonts w:hint="eastAsia" w:ascii="宋体" w:hAnsi="宋体" w:eastAsia="宋体" w:cs="宋体"/>
                <w:color w:val="000000"/>
                <w:kern w:val="0"/>
              </w:rPr>
              <w:t>有机房客梯</w:t>
            </w:r>
          </w:p>
        </w:tc>
        <w:tc>
          <w:tcPr>
            <w:tcW w:w="3465" w:type="dxa"/>
            <w:tcBorders>
              <w:top w:val="single" w:color="auto" w:sz="12" w:space="0"/>
              <w:left w:val="nil"/>
              <w:bottom w:val="single" w:color="auto" w:sz="6" w:space="0"/>
              <w:right w:val="single" w:color="auto" w:sz="12" w:space="0"/>
            </w:tcBorders>
            <w:vAlign w:val="center"/>
          </w:tcPr>
          <w:p>
            <w:pPr>
              <w:widowControl/>
              <w:jc w:val="center"/>
              <w:rPr>
                <w:rFonts w:hint="eastAsia" w:ascii="宋体" w:hAnsi="宋体" w:eastAsia="宋体" w:cs="宋体"/>
                <w:color w:val="000000"/>
                <w:kern w:val="0"/>
              </w:rPr>
            </w:pPr>
            <w:r>
              <w:rPr>
                <w:rFonts w:hint="eastAsia" w:ascii="宋体" w:hAnsi="宋体" w:eastAsia="宋体" w:cs="宋体"/>
                <w:color w:val="000000"/>
                <w:kern w:val="0"/>
              </w:rPr>
              <w:t>有机房</w:t>
            </w:r>
            <w:r>
              <w:rPr>
                <w:rFonts w:hint="eastAsia" w:ascii="宋体" w:hAnsi="宋体" w:eastAsia="宋体" w:cs="宋体"/>
                <w:color w:val="000000"/>
                <w:kern w:val="0"/>
                <w:lang w:eastAsia="zh-CN"/>
              </w:rPr>
              <w:t>载货电</w:t>
            </w:r>
            <w:r>
              <w:rPr>
                <w:rFonts w:hint="eastAsia" w:ascii="宋体" w:hAnsi="宋体" w:eastAsia="宋体" w:cs="宋体"/>
                <w:color w:val="000000"/>
                <w:kern w:val="0"/>
              </w:rPr>
              <w:t>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2、数    量</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1台</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2台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3、载 重 量</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1000kg</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3000kg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4、运行速度</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1.0m/s</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0.5m/s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5、层/站/门</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5/5/5</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6、层    高(mm)</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1F：4500；2F-4F：3600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1F：7500：2F-3F：5000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7、顶层高度(mm)</w:t>
            </w:r>
            <w:r>
              <w:rPr>
                <w:rFonts w:hint="eastAsia" w:ascii="宋体" w:hAnsi="宋体" w:eastAsia="宋体" w:cs="宋体"/>
              </w:rPr>
              <w:t xml:space="preserve"> </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4400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8、底坑深度(mm)</w:t>
            </w:r>
            <w:r>
              <w:rPr>
                <w:rFonts w:hint="eastAsia" w:ascii="宋体" w:hAnsi="宋体" w:eastAsia="宋体" w:cs="宋体"/>
              </w:rPr>
              <w:t xml:space="preserve"> </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1400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9、净开门宽度(mm)</w:t>
            </w:r>
            <w:r>
              <w:rPr>
                <w:rFonts w:hint="eastAsia" w:ascii="宋体" w:hAnsi="宋体" w:eastAsia="宋体" w:cs="宋体"/>
              </w:rPr>
              <w:t xml:space="preserve"> </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900*2100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1800*2100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10、开门方式</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中分</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中分双折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11、轿    厢</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单通</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贯通交叉开门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 xml:space="preserve">10、轿厢净尺寸(mm) </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宽1600*深1500*高2500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宽1800*深3200*高2200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 xml:space="preserve">11、井道净尺寸(mm) </w:t>
            </w:r>
          </w:p>
        </w:tc>
        <w:tc>
          <w:tcPr>
            <w:tcW w:w="2881" w:type="dxa"/>
            <w:tcBorders>
              <w:top w:val="single" w:color="auto" w:sz="6"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宽2400*深2200</w:t>
            </w:r>
          </w:p>
        </w:tc>
        <w:tc>
          <w:tcPr>
            <w:tcW w:w="3465"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宽3500*深3700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color w:val="000000"/>
                <w:kern w:val="0"/>
              </w:rPr>
              <w:t>12、机房位置</w:t>
            </w:r>
          </w:p>
        </w:tc>
        <w:tc>
          <w:tcPr>
            <w:tcW w:w="6346" w:type="dxa"/>
            <w:gridSpan w:val="2"/>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cs="宋体"/>
              </w:rPr>
            </w:pPr>
            <w:r>
              <w:rPr>
                <w:rFonts w:hint="eastAsia" w:ascii="宋体" w:hAnsi="宋体" w:eastAsia="宋体" w:cs="宋体"/>
                <w:color w:val="000000"/>
                <w:kern w:val="0"/>
              </w:rPr>
              <w:t>井道顶部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13、</w:t>
            </w:r>
            <w:r>
              <w:rPr>
                <w:rFonts w:hint="eastAsia" w:ascii="宋体" w:hAnsi="宋体" w:eastAsia="宋体" w:cs="宋体"/>
              </w:rPr>
              <w:t>基   站</w:t>
            </w:r>
          </w:p>
        </w:tc>
        <w:tc>
          <w:tcPr>
            <w:tcW w:w="6346" w:type="dxa"/>
            <w:gridSpan w:val="2"/>
            <w:tcBorders>
              <w:top w:val="single" w:color="auto" w:sz="6" w:space="0"/>
              <w:left w:val="single" w:color="auto" w:sz="6" w:space="0"/>
              <w:bottom w:val="single" w:color="auto" w:sz="6" w:space="0"/>
              <w:right w:val="single" w:color="auto" w:sz="12" w:space="0"/>
            </w:tcBorders>
            <w:vAlign w:val="center"/>
          </w:tcPr>
          <w:p>
            <w:pPr>
              <w:jc w:val="left"/>
              <w:rPr>
                <w:rFonts w:hint="eastAsia" w:ascii="宋体" w:hAnsi="宋体" w:eastAsia="宋体" w:cs="宋体"/>
                <w:color w:val="000000"/>
                <w:kern w:val="0"/>
              </w:rPr>
            </w:pPr>
            <w:r>
              <w:rPr>
                <w:rFonts w:hint="eastAsia" w:ascii="宋体" w:hAnsi="宋体" w:eastAsia="宋体" w:cs="宋体"/>
                <w:color w:val="000000"/>
                <w:kern w:val="0"/>
              </w:rPr>
              <w:t>1F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color w:val="000000"/>
                <w:kern w:val="0"/>
              </w:rPr>
              <w:t>14、</w:t>
            </w:r>
            <w:r>
              <w:rPr>
                <w:rFonts w:hint="eastAsia" w:ascii="宋体" w:hAnsi="宋体" w:eastAsia="宋体" w:cs="宋体"/>
              </w:rPr>
              <w:t>拖动系统</w:t>
            </w:r>
          </w:p>
        </w:tc>
        <w:tc>
          <w:tcPr>
            <w:tcW w:w="6346" w:type="dxa"/>
            <w:gridSpan w:val="2"/>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cs="宋体"/>
              </w:rPr>
            </w:pPr>
            <w:r>
              <w:rPr>
                <w:rFonts w:hint="eastAsia" w:ascii="宋体" w:hAnsi="宋体" w:eastAsia="宋体" w:cs="宋体"/>
              </w:rPr>
              <w:t>交流变频变压调速系统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hint="eastAsia" w:ascii="宋体" w:hAnsi="宋体" w:eastAsia="宋体" w:cs="宋体"/>
              </w:rPr>
            </w:pPr>
            <w:r>
              <w:rPr>
                <w:rFonts w:hint="eastAsia" w:ascii="宋体" w:hAnsi="宋体" w:eastAsia="宋体" w:cs="宋体"/>
                <w:color w:val="000000"/>
                <w:kern w:val="0"/>
              </w:rPr>
              <w:t>15、</w:t>
            </w:r>
            <w:r>
              <w:rPr>
                <w:rFonts w:hint="eastAsia" w:ascii="宋体" w:hAnsi="宋体" w:eastAsia="宋体" w:cs="宋体"/>
              </w:rPr>
              <w:t>门机系统</w:t>
            </w:r>
          </w:p>
        </w:tc>
        <w:tc>
          <w:tcPr>
            <w:tcW w:w="6346" w:type="dxa"/>
            <w:gridSpan w:val="2"/>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cs="宋体"/>
              </w:rPr>
            </w:pPr>
            <w:r>
              <w:rPr>
                <w:rFonts w:hint="eastAsia" w:ascii="宋体" w:hAnsi="宋体" w:eastAsia="宋体" w:cs="宋体"/>
              </w:rPr>
              <w:t>变频门机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12" w:space="0"/>
              <w:right w:val="single" w:color="auto" w:sz="6" w:space="0"/>
            </w:tcBorders>
            <w:tcMar>
              <w:top w:w="0" w:type="dxa"/>
              <w:left w:w="0"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16、控制方式</w:t>
            </w:r>
          </w:p>
        </w:tc>
        <w:tc>
          <w:tcPr>
            <w:tcW w:w="6346" w:type="dxa"/>
            <w:gridSpan w:val="2"/>
            <w:tcBorders>
              <w:top w:val="single" w:color="auto" w:sz="6" w:space="0"/>
              <w:left w:val="single" w:color="auto" w:sz="6" w:space="0"/>
              <w:bottom w:val="single" w:color="auto" w:sz="12" w:space="0"/>
              <w:right w:val="single" w:color="auto" w:sz="12" w:space="0"/>
            </w:tcBorders>
            <w:vAlign w:val="center"/>
          </w:tcPr>
          <w:p>
            <w:pPr>
              <w:jc w:val="left"/>
              <w:rPr>
                <w:rFonts w:hint="eastAsia" w:ascii="宋体" w:hAnsi="宋体" w:eastAsia="宋体" w:cs="宋体"/>
                <w:color w:val="000000"/>
                <w:kern w:val="0"/>
              </w:rPr>
            </w:pPr>
            <w:r>
              <w:rPr>
                <w:rFonts w:hint="eastAsia" w:ascii="宋体" w:hAnsi="宋体" w:eastAsia="宋体" w:cs="宋体"/>
                <w:color w:val="000000"/>
                <w:kern w:val="0"/>
              </w:rPr>
              <w:t>全集选控制</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numPr>
          <w:ilvl w:val="0"/>
          <w:numId w:val="0"/>
        </w:numPr>
        <w:spacing w:line="400" w:lineRule="exact"/>
        <w:rPr>
          <w:rFonts w:hint="eastAsia" w:ascii="宋体" w:hAnsi="宋体" w:eastAsia="宋体" w:cs="宋体"/>
          <w:lang w:val="en-US" w:eastAsia="zh-CN"/>
        </w:rPr>
      </w:pPr>
    </w:p>
    <w:p>
      <w:pPr>
        <w:numPr>
          <w:ilvl w:val="0"/>
          <w:numId w:val="1"/>
        </w:numPr>
        <w:bidi w:val="0"/>
        <w:rPr>
          <w:rFonts w:hint="eastAsia" w:ascii="宋体" w:hAnsi="宋体" w:eastAsia="宋体" w:cs="宋体"/>
          <w:b/>
          <w:bCs/>
          <w:sz w:val="28"/>
          <w:szCs w:val="36"/>
          <w:lang w:val="en-US" w:eastAsia="zh-CN"/>
        </w:rPr>
      </w:pPr>
      <w:r>
        <w:rPr>
          <w:rFonts w:hint="eastAsia" w:ascii="宋体" w:hAnsi="宋体" w:eastAsia="宋体" w:cs="宋体"/>
          <w:b/>
          <w:bCs/>
          <w:sz w:val="28"/>
          <w:szCs w:val="36"/>
          <w:lang w:eastAsia="zh-CN"/>
        </w:rPr>
        <w:t>载货电梯</w:t>
      </w:r>
      <w:r>
        <w:rPr>
          <w:rFonts w:hint="eastAsia" w:ascii="宋体" w:hAnsi="宋体" w:eastAsia="宋体" w:cs="宋体"/>
          <w:b/>
          <w:bCs/>
          <w:sz w:val="28"/>
          <w:szCs w:val="36"/>
        </w:rPr>
        <w:t>装潢配置表</w:t>
      </w:r>
    </w:p>
    <w:p>
      <w:pPr>
        <w:pStyle w:val="2"/>
        <w:rPr>
          <w:rFonts w:hint="eastAsia" w:ascii="宋体" w:hAnsi="宋体" w:eastAsia="宋体" w:cs="宋体"/>
          <w:b/>
          <w:bCs/>
          <w:color w:val="0000FF"/>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000" w:type="dxa"/>
            <w:tcBorders>
              <w:top w:val="single" w:color="auto" w:sz="12"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1、轿厢壁：钢板喷塑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2、轿门：钢板喷塑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3、地板：花纹钢板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4、轿顶：钢板喷塑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5、层门材质：钢板喷塑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6、外呼：不锈钢面板，</w:t>
            </w:r>
            <w:r>
              <w:rPr>
                <w:rFonts w:hint="eastAsia" w:ascii="宋体" w:hAnsi="宋体" w:eastAsia="宋体" w:cs="宋体"/>
              </w:rPr>
              <w:t>点阵显示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7、操纵箱：不锈钢面板，</w:t>
            </w:r>
            <w:r>
              <w:rPr>
                <w:rFonts w:hint="eastAsia" w:ascii="宋体" w:hAnsi="宋体" w:eastAsia="宋体" w:cs="宋体"/>
              </w:rPr>
              <w:t>点阵显示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000" w:type="dxa"/>
            <w:tcBorders>
              <w:top w:val="single" w:color="auto" w:sz="6" w:space="0"/>
              <w:left w:val="single" w:color="auto" w:sz="12" w:space="0"/>
              <w:bottom w:val="single" w:color="auto" w:sz="12"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8、通风：隐藏式横流风扇</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numPr>
          <w:ilvl w:val="0"/>
          <w:numId w:val="1"/>
        </w:numPr>
        <w:spacing w:line="400" w:lineRule="exact"/>
        <w:rPr>
          <w:rFonts w:hint="eastAsia" w:ascii="宋体" w:hAnsi="宋体" w:eastAsia="宋体" w:cs="宋体"/>
          <w:b/>
          <w:bCs w:val="0"/>
          <w:sz w:val="28"/>
          <w:szCs w:val="28"/>
          <w:lang w:val="en-US" w:eastAsia="zh-CN"/>
        </w:rPr>
      </w:pPr>
      <w:r>
        <w:rPr>
          <w:rFonts w:hint="eastAsia" w:ascii="宋体" w:hAnsi="宋体" w:eastAsia="宋体" w:cs="宋体"/>
          <w:b/>
          <w:bCs w:val="0"/>
          <w:kern w:val="21"/>
          <w:sz w:val="28"/>
          <w:szCs w:val="28"/>
          <w:lang w:eastAsia="zh-CN"/>
        </w:rPr>
        <w:t>客梯</w:t>
      </w:r>
      <w:r>
        <w:rPr>
          <w:rFonts w:hint="eastAsia" w:ascii="宋体" w:hAnsi="宋体" w:eastAsia="宋体" w:cs="宋体"/>
          <w:b/>
          <w:bCs w:val="0"/>
          <w:kern w:val="21"/>
          <w:sz w:val="28"/>
          <w:szCs w:val="28"/>
        </w:rPr>
        <w:t>装潢配置表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000" w:type="dxa"/>
            <w:tcBorders>
              <w:top w:val="single" w:color="auto" w:sz="12"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1、轿厢壁：</w:t>
            </w:r>
            <w:r>
              <w:rPr>
                <w:rFonts w:hint="eastAsia" w:ascii="宋体" w:hAnsi="宋体" w:eastAsia="宋体" w:cs="宋体"/>
                <w:color w:val="000000"/>
                <w:kern w:val="0"/>
                <w:lang w:eastAsia="zh-CN"/>
              </w:rPr>
              <w:t>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2、轿门：</w:t>
            </w:r>
            <w:r>
              <w:rPr>
                <w:rFonts w:hint="eastAsia" w:ascii="宋体" w:hAnsi="宋体" w:eastAsia="宋体" w:cs="宋体"/>
                <w:color w:val="000000"/>
                <w:kern w:val="0"/>
                <w:lang w:eastAsia="zh-CN"/>
              </w:rPr>
              <w:t>发纹不锈钢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val="en-US" w:eastAsia="zh-CN"/>
              </w:rPr>
            </w:pPr>
            <w:r>
              <w:rPr>
                <w:rFonts w:hint="eastAsia" w:ascii="宋体" w:hAnsi="宋体" w:eastAsia="宋体" w:cs="宋体"/>
                <w:color w:val="000000"/>
                <w:kern w:val="0"/>
              </w:rPr>
              <w:t>3、地板：</w:t>
            </w:r>
            <w:r>
              <w:rPr>
                <w:rFonts w:hint="eastAsia" w:ascii="宋体" w:hAnsi="宋体" w:eastAsia="宋体" w:cs="宋体"/>
                <w:color w:val="000000"/>
                <w:kern w:val="0"/>
                <w:lang w:val="en-US" w:eastAsia="zh-CN"/>
              </w:rPr>
              <w:t>PVC仿大理石地板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4、轿顶：</w:t>
            </w:r>
            <w:r>
              <w:rPr>
                <w:rFonts w:hint="eastAsia" w:ascii="宋体" w:hAnsi="宋体" w:eastAsia="宋体" w:cs="宋体"/>
                <w:color w:val="000000"/>
                <w:kern w:val="0"/>
                <w:lang w:eastAsia="zh-CN"/>
              </w:rPr>
              <w:t>一体式吊顶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5、层门材质：钢板喷塑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6、外呼：不锈钢面板，</w:t>
            </w:r>
            <w:r>
              <w:rPr>
                <w:rFonts w:hint="eastAsia" w:ascii="宋体" w:hAnsi="宋体" w:eastAsia="宋体" w:cs="宋体"/>
                <w:color w:val="000000"/>
                <w:kern w:val="0"/>
                <w:lang w:eastAsia="zh-CN"/>
              </w:rPr>
              <w:t>液晶显示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lang w:eastAsia="zh-CN"/>
              </w:rPr>
            </w:pPr>
            <w:r>
              <w:rPr>
                <w:rFonts w:hint="eastAsia" w:ascii="宋体" w:hAnsi="宋体" w:eastAsia="宋体" w:cs="宋体"/>
                <w:color w:val="000000"/>
                <w:kern w:val="0"/>
              </w:rPr>
              <w:t>7、操纵箱：不锈钢面板，</w:t>
            </w:r>
            <w:r>
              <w:rPr>
                <w:rFonts w:hint="eastAsia" w:ascii="宋体" w:hAnsi="宋体" w:eastAsia="宋体" w:cs="宋体"/>
                <w:color w:val="000000"/>
                <w:kern w:val="0"/>
                <w:lang w:eastAsia="zh-CN"/>
              </w:rPr>
              <w:t>液晶显示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000" w:type="dxa"/>
            <w:tcBorders>
              <w:top w:val="single" w:color="auto" w:sz="6" w:space="0"/>
              <w:left w:val="single" w:color="auto" w:sz="12" w:space="0"/>
              <w:bottom w:val="single" w:color="auto" w:sz="12"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8、通风：隐藏式横流风扇</w:t>
            </w:r>
          </w:p>
        </w:tc>
      </w:tr>
    </w:tbl>
    <w:p>
      <w:pPr>
        <w:pStyle w:val="2"/>
        <w:rPr>
          <w:rFonts w:hint="eastAsia" w:ascii="宋体" w:hAnsi="宋体" w:eastAsia="宋体" w:cs="宋体"/>
          <w:b/>
          <w:bCs/>
          <w:color w:val="0000FF"/>
          <w:szCs w:val="21"/>
        </w:rPr>
      </w:pPr>
    </w:p>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、磋商报价</w:t>
      </w: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项目报价须体现节约财政资金的原则，</w:t>
      </w:r>
      <w:r>
        <w:rPr>
          <w:rFonts w:hint="eastAsia" w:ascii="宋体" w:hAnsi="宋体" w:eastAsia="宋体" w:cs="宋体"/>
          <w:color w:val="000000"/>
          <w:sz w:val="28"/>
          <w:szCs w:val="28"/>
          <w:lang w:val="en-US" w:eastAsia="zh-CN"/>
        </w:rPr>
        <w:t>包含</w:t>
      </w:r>
      <w:r>
        <w:rPr>
          <w:rFonts w:hint="eastAsia" w:ascii="宋体" w:hAnsi="宋体" w:eastAsia="宋体" w:cs="宋体"/>
          <w:color w:val="000000"/>
          <w:sz w:val="28"/>
          <w:szCs w:val="28"/>
        </w:rPr>
        <w:t>电梯设备的采购、运输、安装调试及操作人员培训、试运行、报检验收，质量保修期内的维保、保修及零配件易损件的供应、更换、及时响应维护，质量保修期内发生的任何缺陷的修复等等全部费用。对在合同实施过程中可能发生的其它费用（如：产品涨价、人工等因素），采购方概不负责。对于本采购文件未列明，而供应商认为必需的费用也需列入投标总报价。总价超过采购预算价的报价为无效报价。磋商申请人须根据采购清单提供分项明细报价，免费的项目注明“免费”。供应商报价表如下</w:t>
      </w:r>
      <w:r>
        <w:rPr>
          <w:rFonts w:hint="eastAsia" w:ascii="宋体" w:hAnsi="宋体" w:eastAsia="宋体" w:cs="宋体"/>
          <w:color w:val="auto"/>
          <w:sz w:val="28"/>
          <w:szCs w:val="28"/>
        </w:rPr>
        <w:t>：</w:t>
      </w:r>
    </w:p>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建始县黄土坎易地扶贫搬迁集镇安置小区配套标准化厂房（绝缘材料厂房）</w:t>
      </w:r>
      <w:r>
        <w:rPr>
          <w:rFonts w:hint="eastAsia" w:ascii="宋体" w:hAnsi="宋体" w:eastAsia="宋体" w:cs="宋体"/>
          <w:b/>
          <w:bCs/>
          <w:color w:val="auto"/>
          <w:sz w:val="28"/>
          <w:szCs w:val="28"/>
          <w:lang w:val="en-US" w:eastAsia="zh-CN"/>
        </w:rPr>
        <w:t xml:space="preserve"> 建设项目（电梯采购及安装）</w:t>
      </w:r>
      <w:r>
        <w:rPr>
          <w:rFonts w:hint="eastAsia" w:ascii="宋体" w:hAnsi="宋体" w:eastAsia="宋体" w:cs="宋体"/>
          <w:b/>
          <w:bCs/>
          <w:color w:val="auto"/>
          <w:sz w:val="28"/>
          <w:szCs w:val="28"/>
        </w:rPr>
        <w:t>报价表</w:t>
      </w:r>
    </w:p>
    <w:p>
      <w:pPr>
        <w:pStyle w:val="12"/>
        <w:spacing w:line="480" w:lineRule="exact"/>
        <w:ind w:left="279" w:firstLine="6720" w:firstLineChars="2400"/>
        <w:rPr>
          <w:rFonts w:hint="eastAsia" w:ascii="宋体" w:hAnsi="宋体" w:eastAsia="宋体" w:cs="宋体"/>
          <w:color w:val="auto"/>
          <w:szCs w:val="28"/>
        </w:rPr>
      </w:pPr>
      <w:r>
        <w:rPr>
          <w:rFonts w:hint="eastAsia" w:ascii="宋体" w:hAnsi="宋体" w:eastAsia="宋体" w:cs="宋体"/>
          <w:color w:val="auto"/>
          <w:szCs w:val="28"/>
        </w:rPr>
        <w:t>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eastAsia="宋体" w:cs="宋体"/>
                <w:sz w:val="28"/>
                <w:szCs w:val="28"/>
                <w:highlight w:val="none"/>
                <w:lang w:eastAsia="zh-CN"/>
              </w:rPr>
            </w:pPr>
            <w:r>
              <w:rPr>
                <w:rFonts w:hint="eastAsia" w:ascii="宋体" w:hAnsi="宋体" w:eastAsia="宋体" w:cs="宋体"/>
                <w:b w:val="0"/>
                <w:bCs w:val="0"/>
                <w:color w:val="auto"/>
                <w:sz w:val="28"/>
                <w:szCs w:val="28"/>
                <w:lang w:eastAsia="zh-CN"/>
              </w:rPr>
              <w:t>建始县黄土坎易地扶贫搬迁集镇安置小区配套标准化厂房（绝缘材料厂房）</w:t>
            </w:r>
            <w:r>
              <w:rPr>
                <w:rFonts w:hint="eastAsia" w:ascii="宋体" w:hAnsi="宋体" w:eastAsia="宋体" w:cs="宋体"/>
                <w:b w:val="0"/>
                <w:bCs w:val="0"/>
                <w:color w:val="auto"/>
                <w:sz w:val="28"/>
                <w:szCs w:val="28"/>
                <w:lang w:val="en-US" w:eastAsia="zh-CN"/>
              </w:rPr>
              <w:t xml:space="preserve"> 建设项目（电梯采购及安装）</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本次磋商报价非一次性报价，磋商申请人在资格性和符合性审查通过的前提下，磋商后现场最后报价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报价表为磋商评标用。</w:t>
      </w:r>
    </w:p>
    <w:p>
      <w:pPr>
        <w:numPr>
          <w:ilvl w:val="0"/>
          <w:numId w:val="0"/>
        </w:numPr>
        <w:spacing w:line="48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sz w:val="28"/>
          <w:szCs w:val="28"/>
        </w:rPr>
        <w:t>磋商申请人必须</w:t>
      </w:r>
      <w:r>
        <w:rPr>
          <w:rFonts w:hint="eastAsia" w:ascii="宋体" w:hAnsi="宋体" w:eastAsia="宋体" w:cs="宋体"/>
          <w:b/>
          <w:bCs/>
          <w:sz w:val="28"/>
          <w:szCs w:val="28"/>
          <w:highlight w:val="none"/>
        </w:rPr>
        <w:t>按清单提供一</w:t>
      </w:r>
      <w:r>
        <w:rPr>
          <w:rFonts w:hint="eastAsia" w:ascii="宋体" w:hAnsi="宋体" w:eastAsia="宋体" w:cs="宋体"/>
          <w:b/>
          <w:bCs/>
          <w:sz w:val="28"/>
          <w:szCs w:val="28"/>
        </w:rPr>
        <w:t>份明细报价，不明细报价的为无效磋商申请</w:t>
      </w:r>
      <w:r>
        <w:rPr>
          <w:rFonts w:hint="eastAsia" w:ascii="宋体" w:hAnsi="宋体" w:eastAsia="宋体" w:cs="宋体"/>
          <w:b/>
          <w:bCs/>
          <w:color w:val="auto"/>
          <w:sz w:val="28"/>
          <w:szCs w:val="28"/>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b/>
          <w:bCs/>
          <w:sz w:val="28"/>
          <w:szCs w:val="36"/>
        </w:rPr>
        <w:t>五、合同签订</w:t>
      </w:r>
      <w:r>
        <w:rPr>
          <w:rFonts w:hint="eastAsia" w:ascii="宋体" w:hAnsi="宋体" w:eastAsia="宋体" w:cs="宋体"/>
          <w:sz w:val="28"/>
          <w:szCs w:val="36"/>
        </w:rPr>
        <w:t>：成交供应商自成交通知书发出之日起</w:t>
      </w:r>
      <w:r>
        <w:rPr>
          <w:rFonts w:hint="eastAsia" w:ascii="宋体" w:hAnsi="宋体" w:eastAsia="宋体" w:cs="宋体"/>
          <w:sz w:val="28"/>
          <w:szCs w:val="36"/>
          <w:lang w:val="en-US" w:eastAsia="zh-CN"/>
        </w:rPr>
        <w:t>1</w:t>
      </w:r>
      <w:r>
        <w:rPr>
          <w:rFonts w:hint="eastAsia" w:ascii="宋体" w:hAnsi="宋体" w:eastAsia="宋体" w:cs="宋体"/>
          <w:sz w:val="28"/>
          <w:szCs w:val="36"/>
        </w:rPr>
        <w:t>0日内</w:t>
      </w:r>
      <w:r>
        <w:rPr>
          <w:rFonts w:hint="eastAsia" w:ascii="宋体" w:hAnsi="宋体" w:eastAsia="宋体" w:cs="宋体"/>
          <w:sz w:val="28"/>
          <w:szCs w:val="36"/>
          <w:lang w:eastAsia="zh-CN"/>
        </w:rPr>
        <w:t>分别</w:t>
      </w:r>
      <w:r>
        <w:rPr>
          <w:rFonts w:hint="eastAsia" w:ascii="宋体" w:hAnsi="宋体" w:eastAsia="宋体" w:cs="宋体"/>
          <w:sz w:val="28"/>
          <w:szCs w:val="36"/>
        </w:rPr>
        <w:t>与</w:t>
      </w:r>
      <w:r>
        <w:rPr>
          <w:rFonts w:hint="eastAsia" w:ascii="宋体" w:hAnsi="宋体" w:eastAsia="宋体" w:cs="宋体"/>
          <w:sz w:val="28"/>
          <w:szCs w:val="36"/>
          <w:lang w:val="en-US" w:eastAsia="zh-CN"/>
        </w:rPr>
        <w:t>建始县黄四姐旅游发展有限公司/恩施自治州翔宇建设工程有限公司</w:t>
      </w:r>
      <w:r>
        <w:rPr>
          <w:rFonts w:hint="eastAsia" w:ascii="宋体" w:hAnsi="宋体" w:eastAsia="宋体" w:cs="宋体"/>
          <w:sz w:val="28"/>
          <w:szCs w:val="36"/>
        </w:rPr>
        <w:t>签订合同</w:t>
      </w:r>
      <w:r>
        <w:rPr>
          <w:rFonts w:hint="eastAsia" w:ascii="宋体" w:hAnsi="宋体" w:eastAsia="宋体" w:cs="宋体"/>
          <w:sz w:val="28"/>
          <w:szCs w:val="36"/>
          <w:lang w:eastAsia="zh-CN"/>
        </w:rPr>
        <w:t>；</w:t>
      </w:r>
      <w:r>
        <w:rPr>
          <w:rFonts w:hint="eastAsia" w:ascii="宋体" w:hAnsi="宋体" w:eastAsia="宋体" w:cs="宋体"/>
          <w:sz w:val="28"/>
          <w:szCs w:val="36"/>
        </w:rPr>
        <w:t>具体相关事宜在合同中明确</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六、</w:t>
      </w:r>
      <w:r>
        <w:rPr>
          <w:rFonts w:hint="eastAsia" w:ascii="宋体" w:hAnsi="宋体" w:eastAsia="宋体" w:cs="宋体"/>
          <w:b/>
          <w:bCs/>
          <w:sz w:val="28"/>
          <w:szCs w:val="36"/>
          <w:lang w:val="en-US" w:eastAsia="zh-CN"/>
        </w:rPr>
        <w:t>履行</w:t>
      </w:r>
      <w:r>
        <w:rPr>
          <w:rFonts w:hint="eastAsia" w:ascii="宋体" w:hAnsi="宋体" w:eastAsia="宋体" w:cs="宋体"/>
          <w:b/>
          <w:bCs/>
          <w:sz w:val="28"/>
          <w:szCs w:val="36"/>
        </w:rPr>
        <w:t>期</w:t>
      </w:r>
      <w:r>
        <w:rPr>
          <w:rFonts w:hint="eastAsia" w:ascii="宋体" w:hAnsi="宋体" w:eastAsia="宋体" w:cs="宋体"/>
          <w:b/>
          <w:bCs/>
          <w:sz w:val="28"/>
          <w:szCs w:val="36"/>
          <w:lang w:eastAsia="zh-CN"/>
        </w:rPr>
        <w:t>及交货地点</w:t>
      </w:r>
    </w:p>
    <w:p>
      <w:pPr>
        <w:bidi w:val="0"/>
        <w:spacing w:line="360" w:lineRule="auto"/>
        <w:ind w:firstLine="280" w:firstLineChars="100"/>
        <w:rPr>
          <w:rFonts w:hint="eastAsia" w:ascii="宋体" w:hAnsi="宋体" w:eastAsia="宋体" w:cs="宋体"/>
          <w:sz w:val="28"/>
          <w:szCs w:val="36"/>
        </w:rPr>
      </w:pPr>
      <w:r>
        <w:rPr>
          <w:rFonts w:hint="eastAsia" w:ascii="宋体" w:hAnsi="宋体" w:eastAsia="宋体" w:cs="宋体"/>
          <w:sz w:val="28"/>
          <w:szCs w:val="36"/>
          <w:lang w:val="en-US" w:eastAsia="zh-CN"/>
        </w:rPr>
        <w:t>履行期限</w:t>
      </w:r>
      <w:r>
        <w:rPr>
          <w:rFonts w:hint="eastAsia" w:ascii="宋体" w:hAnsi="宋体" w:eastAsia="宋体" w:cs="宋体"/>
          <w:sz w:val="28"/>
          <w:szCs w:val="36"/>
        </w:rPr>
        <w:t>：自合同签订之日起</w:t>
      </w:r>
      <w:r>
        <w:rPr>
          <w:rFonts w:hint="eastAsia" w:ascii="宋体" w:hAnsi="宋体" w:eastAsia="宋体" w:cs="宋体"/>
          <w:sz w:val="28"/>
          <w:szCs w:val="36"/>
          <w:lang w:val="en-US" w:eastAsia="zh-CN"/>
        </w:rPr>
        <w:t>60</w:t>
      </w:r>
      <w:r>
        <w:rPr>
          <w:rFonts w:hint="eastAsia" w:ascii="宋体" w:hAnsi="宋体" w:eastAsia="宋体" w:cs="宋体"/>
          <w:sz w:val="28"/>
          <w:szCs w:val="36"/>
        </w:rPr>
        <w:t>天内完供货</w:t>
      </w:r>
      <w:r>
        <w:rPr>
          <w:rFonts w:hint="eastAsia" w:ascii="宋体" w:hAnsi="宋体" w:eastAsia="宋体" w:cs="宋体"/>
          <w:sz w:val="28"/>
          <w:szCs w:val="36"/>
          <w:lang w:val="en-US" w:eastAsia="zh-CN"/>
        </w:rPr>
        <w:t>及调试安装</w:t>
      </w:r>
      <w:r>
        <w:rPr>
          <w:rFonts w:hint="eastAsia" w:ascii="宋体" w:hAnsi="宋体" w:eastAsia="宋体" w:cs="宋体"/>
          <w:sz w:val="28"/>
          <w:szCs w:val="36"/>
        </w:rPr>
        <w:t>。</w:t>
      </w:r>
    </w:p>
    <w:p>
      <w:pPr>
        <w:bidi w:val="0"/>
        <w:spacing w:line="360" w:lineRule="auto"/>
        <w:ind w:firstLine="280" w:firstLineChars="100"/>
        <w:rPr>
          <w:rFonts w:hint="eastAsia" w:ascii="宋体" w:hAnsi="宋体" w:eastAsia="宋体" w:cs="宋体"/>
          <w:sz w:val="28"/>
          <w:szCs w:val="36"/>
          <w:lang w:eastAsia="zh-CN"/>
        </w:rPr>
      </w:pPr>
      <w:r>
        <w:rPr>
          <w:rFonts w:hint="eastAsia" w:ascii="宋体" w:hAnsi="宋体" w:eastAsia="宋体" w:cs="宋体"/>
          <w:sz w:val="28"/>
          <w:szCs w:val="36"/>
        </w:rPr>
        <w:t>交货地点：成品送货到</w:t>
      </w:r>
      <w:r>
        <w:rPr>
          <w:rFonts w:hint="eastAsia" w:ascii="宋体" w:hAnsi="宋体" w:eastAsia="宋体" w:cs="宋体"/>
          <w:sz w:val="28"/>
          <w:szCs w:val="36"/>
          <w:lang w:eastAsia="zh-CN"/>
        </w:rPr>
        <w:t>采购人</w:t>
      </w:r>
      <w:r>
        <w:rPr>
          <w:rFonts w:hint="eastAsia" w:ascii="宋体" w:hAnsi="宋体" w:eastAsia="宋体" w:cs="宋体"/>
          <w:sz w:val="28"/>
          <w:szCs w:val="36"/>
        </w:rPr>
        <w:t>指定的地点</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b/>
          <w:bCs/>
          <w:sz w:val="28"/>
          <w:szCs w:val="36"/>
        </w:rPr>
        <w:t>七、</w:t>
      </w:r>
      <w:r>
        <w:rPr>
          <w:rFonts w:hint="eastAsia" w:ascii="宋体" w:hAnsi="宋体" w:eastAsia="宋体" w:cs="宋体"/>
          <w:b/>
          <w:bCs/>
          <w:sz w:val="28"/>
          <w:szCs w:val="36"/>
          <w:lang w:val="en-US" w:eastAsia="zh-CN"/>
        </w:rPr>
        <w:t>产品要求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1、技术标准化和规范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（1）所有设备和材料所涉及的设计标准规范（如产品标准/规范、工程标准/规范、验收标准/规范等）必须完全符合所有中华人民共和国的标准及规范。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供应商</w:t>
      </w:r>
      <w:r>
        <w:rPr>
          <w:rFonts w:hint="eastAsia" w:ascii="宋体" w:hAnsi="宋体" w:eastAsia="宋体" w:cs="宋体"/>
          <w:sz w:val="28"/>
          <w:szCs w:val="36"/>
        </w:rPr>
        <w:t>采用其它标准和规范时，应在</w:t>
      </w:r>
      <w:r>
        <w:rPr>
          <w:rFonts w:hint="eastAsia" w:ascii="宋体" w:hAnsi="宋体" w:eastAsia="宋体" w:cs="宋体"/>
          <w:sz w:val="28"/>
          <w:szCs w:val="36"/>
          <w:lang w:val="en-US" w:eastAsia="zh-CN"/>
        </w:rPr>
        <w:t>响应文件</w:t>
      </w:r>
      <w:r>
        <w:rPr>
          <w:rFonts w:hint="eastAsia" w:ascii="宋体" w:hAnsi="宋体" w:eastAsia="宋体" w:cs="宋体"/>
          <w:sz w:val="28"/>
          <w:szCs w:val="36"/>
        </w:rPr>
        <w:t>中注明是采用何种标准，并应保证设备达到或优于国家规定的现行相关标准。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（3）对国家规定有强制性规范或条例或认证要求的设备或材料，</w:t>
      </w:r>
      <w:r>
        <w:rPr>
          <w:rFonts w:hint="eastAsia" w:ascii="宋体" w:hAnsi="宋体" w:eastAsia="宋体" w:cs="宋体"/>
          <w:sz w:val="28"/>
          <w:szCs w:val="36"/>
          <w:lang w:eastAsia="zh-CN"/>
        </w:rPr>
        <w:t>供应商</w:t>
      </w:r>
      <w:r>
        <w:rPr>
          <w:rFonts w:hint="eastAsia" w:ascii="宋体" w:hAnsi="宋体" w:eastAsia="宋体" w:cs="宋体"/>
          <w:sz w:val="28"/>
          <w:szCs w:val="36"/>
        </w:rPr>
        <w:t>提供的设备或材料应符合该类要求。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（4）《电梯制造及安装安全规范》GB7588-2003。</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2、设备（材料）要求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供应商</w:t>
      </w:r>
      <w:r>
        <w:rPr>
          <w:rFonts w:hint="eastAsia" w:ascii="宋体" w:hAnsi="宋体" w:eastAsia="宋体" w:cs="宋体"/>
          <w:sz w:val="28"/>
          <w:szCs w:val="36"/>
        </w:rPr>
        <w:t>所投设备必须是全新的、性能最优的，型号、性能及指标符合国家及磋商文件提出的有关技术、质量、安全标准。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（2）所有设备在开箱检验时必须完好，无破损，配置与装箱单相符。数量、质量及性能不低于</w:t>
      </w:r>
      <w:r>
        <w:rPr>
          <w:rFonts w:hint="eastAsia" w:ascii="宋体" w:hAnsi="宋体" w:eastAsia="宋体" w:cs="宋体"/>
          <w:sz w:val="28"/>
          <w:szCs w:val="36"/>
          <w:lang w:val="en-US" w:eastAsia="zh-CN"/>
        </w:rPr>
        <w:t>磋商</w:t>
      </w:r>
      <w:r>
        <w:rPr>
          <w:rFonts w:hint="eastAsia" w:ascii="宋体" w:hAnsi="宋体" w:eastAsia="宋体" w:cs="宋体"/>
          <w:sz w:val="28"/>
          <w:szCs w:val="36"/>
        </w:rPr>
        <w:t>文件的要求。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（3）设备外观清洁，标记编号以及盘面显示等字体清晰，明确。铭牌、使用指示、警告指示应以中文或英文及易懂的通用符号来表示；应准确无误地表明设备之型号、规格、制造厂及生产或出厂日期。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（4）对于影响设备正常工作的必要组成部分，无论在技术规范中指出与否，</w:t>
      </w:r>
      <w:r>
        <w:rPr>
          <w:rFonts w:hint="eastAsia" w:ascii="宋体" w:hAnsi="宋体" w:eastAsia="宋体" w:cs="宋体"/>
          <w:sz w:val="28"/>
          <w:szCs w:val="36"/>
          <w:lang w:eastAsia="zh-CN"/>
        </w:rPr>
        <w:t>供应商</w:t>
      </w:r>
      <w:r>
        <w:rPr>
          <w:rFonts w:hint="eastAsia" w:ascii="宋体" w:hAnsi="宋体" w:eastAsia="宋体" w:cs="宋体"/>
          <w:sz w:val="28"/>
          <w:szCs w:val="36"/>
        </w:rPr>
        <w:t>都应提供并在投标文件中明确列出。</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（5）所有货物提供出厂合格证等质量证明文件，必须有合法的进货渠道证明。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、运输、保管、保险</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成交供应商负责设备材料货到现场或采购人指定的地点过程中的全部运输，包括装卸车、货物现场的搬运。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、安装、调试及验收</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成交供应商应派经采购人认可的有经验和能力、具有相应资质的技术人员，负责系统设备安装工作，在设备安装期间应充分了解设备安装进度要求，保证施工质量，解决施工中出现的技术问题。</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（1）成交供应商负责设备的安装、调试、验收。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（2）成交供应商现场服务人员要服从监理单位及采购人的进度安排。</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（3）调试所需专用工具设施物料由成交供应商自备、自费运到现场，完工后自费搬走。</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（4）调试：按国家相关施工验收规范进行，分阶段进行调试。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（5）设备的拆箱、调试等项工作由成交供应商负责，但必须在采购人指定人员的参与下进行。在实际实施前必须先经采购人同意方可进行。调试的原始记录须经各方签字后作为验收的文件之一。</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电梯设备安装完成后，进行调试、验收(包括负责通过有关部门组织的验收)。必须经国家认可的特种设备检测单位检测合格，由特检院验收并出具相应的验收报告及合格证书。验收由采购人与成交供应商及相关人员依国家有关标准、合同、设计图纸及有关附件要求进行。</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至少应包括下列基本内容：</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（1）所有设备规格和详细操作说明。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（2）系统和主要部件常见故障说明，说明书应包括备件清单、操作和维修方法。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（3）例行维修保养项目和期限的建议。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（4）紧急安全措施的建议。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（5）紧急维修中心电话号码、地址，维修人员的电话号码。</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（6）成交供应商应于验收后向采购人提供验收报告、技术文档的归纳、整理、提交，并提供完整的软、硬件技术资料。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（二）付款方式：</w:t>
      </w:r>
      <w:r>
        <w:rPr>
          <w:rFonts w:hint="eastAsia" w:ascii="宋体" w:hAnsi="宋体" w:eastAsia="宋体" w:cs="宋体"/>
          <w:sz w:val="28"/>
          <w:szCs w:val="36"/>
          <w:lang w:val="en-US" w:eastAsia="zh-CN"/>
        </w:rPr>
        <w:t>以合同约定为准</w:t>
      </w:r>
      <w:r>
        <w:rPr>
          <w:rFonts w:hint="eastAsia" w:ascii="宋体" w:hAnsi="宋体" w:eastAsia="宋体" w:cs="宋体"/>
          <w:sz w:val="28"/>
          <w:szCs w:val="36"/>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八、售后服务及质保期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（一）售后服务：</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1、须提供长期技术服务、维修及产品配件供应。</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2、对采购人进行产品使用和技术培训，保证采购人能正常安装和使用。</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3、供应商须提供经调试、试运行、验收合格后1年的免费质保期。在此期间，供应商应免费处理因质量发生的故障，并进行正常保养。成交供应商服务维修人员均经过良好的技术培训，并有丰富的现场维修经验。</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eastAsia="zh-CN"/>
        </w:rPr>
        <w:t>质保期：</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年（自交货并验收合格之日起计）。</w:t>
      </w:r>
    </w:p>
    <w:p>
      <w:pPr>
        <w:bidi w:val="0"/>
        <w:spacing w:line="360" w:lineRule="auto"/>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本项目的核心产品为有机房载货电梯和乘客电梯，核心产品提供相同品牌产品且通过资格审查、符合性审查的不同供应商参加同一合同项下投标的，按一家供应商计算，评审后得分最高的同品牌供应商获得中标人推荐资格；评审得分相同报价最低的同品牌供应商获得中标人推荐资格；评审得分相同且报价相同的，采取随机抽取方式确定一个供应商获得中标人推荐资格，其他同品牌供应商不作为中标候选人。</w:t>
      </w:r>
      <w:r>
        <w:rPr>
          <w:rFonts w:hint="eastAsia" w:ascii="宋体" w:hAnsi="宋体" w:eastAsia="宋体" w:cs="宋体"/>
          <w:sz w:val="28"/>
          <w:szCs w:val="36"/>
          <w:lang w:eastAsia="zh-CN"/>
        </w:rPr>
        <w:t xml:space="preserve">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lang w:eastAsia="zh-CN"/>
        </w:rPr>
        <w:t>九、</w:t>
      </w:r>
      <w:r>
        <w:rPr>
          <w:rFonts w:hint="eastAsia" w:ascii="宋体" w:hAnsi="宋体" w:eastAsia="宋体" w:cs="宋体"/>
          <w:b/>
          <w:bCs/>
          <w:sz w:val="28"/>
          <w:szCs w:val="36"/>
          <w:lang w:val="en-US" w:eastAsia="zh-CN"/>
        </w:rPr>
        <w:t>备注说明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1、本项目拒绝进口产品参加投标</w:t>
      </w:r>
      <w:r>
        <w:rPr>
          <w:rFonts w:hint="eastAsia" w:ascii="宋体" w:hAnsi="宋体" w:eastAsia="宋体" w:cs="宋体"/>
          <w:sz w:val="28"/>
          <w:szCs w:val="36"/>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磋商文件中未明确的事项，可在磋商过程及合同中完善，如与国家现行法律法规相冲突，从其规定。</w:t>
      </w:r>
      <w:bookmarkStart w:id="27" w:name="_Toc535592016"/>
    </w:p>
    <w:p>
      <w:pPr>
        <w:bidi w:val="0"/>
        <w:spacing w:line="360" w:lineRule="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十、政府采购合同融资</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1、政策：</w:t>
      </w:r>
      <w:r>
        <w:rPr>
          <w:rFonts w:hint="eastAsia" w:ascii="宋体" w:hAnsi="宋体" w:eastAsia="宋体" w:cs="宋体"/>
          <w:sz w:val="28"/>
          <w:szCs w:val="36"/>
        </w:rPr>
        <w:t>《省人民政府关于印发湖北省促进经济社会加快发 展若干政策措施的通知》（鄂政发〔2020〕6 号）</w:t>
      </w:r>
      <w:r>
        <w:rPr>
          <w:rFonts w:hint="eastAsia" w:ascii="宋体" w:hAnsi="宋体" w:eastAsia="宋体" w:cs="宋体"/>
          <w:sz w:val="28"/>
          <w:szCs w:val="36"/>
          <w:lang w:eastAsia="zh-CN"/>
        </w:rPr>
        <w:t>；《建始县政府采购合同融资实施方案》</w:t>
      </w:r>
      <w:r>
        <w:rPr>
          <w:rFonts w:hint="eastAsia" w:ascii="宋体" w:hAnsi="宋体" w:eastAsia="宋体" w:cs="宋体"/>
          <w:sz w:val="28"/>
          <w:szCs w:val="36"/>
        </w:rPr>
        <w:t>建金发（2021）3号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2、渠道：</w:t>
      </w:r>
      <w:r>
        <w:rPr>
          <w:rFonts w:hint="eastAsia" w:ascii="宋体" w:hAnsi="宋体" w:eastAsia="宋体" w:cs="宋体"/>
          <w:sz w:val="28"/>
          <w:szCs w:val="36"/>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3、途径：（1）</w:t>
      </w:r>
      <w:r>
        <w:rPr>
          <w:rFonts w:hint="eastAsia" w:ascii="宋体" w:hAnsi="宋体" w:eastAsia="宋体" w:cs="宋体"/>
          <w:sz w:val="28"/>
          <w:szCs w:val="36"/>
        </w:rPr>
        <w:t>中小微企业取得中标（成交）通知书后,通过 “政府采购融资”平台（http://www.ccgp-hubei.gov.cn）注册 后登录系统，进入全省各地平台进行融资申请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w:t>
      </w:r>
      <w:r>
        <w:rPr>
          <w:rFonts w:hint="eastAsia" w:ascii="宋体" w:hAnsi="宋体" w:eastAsia="宋体" w:cs="宋体"/>
          <w:sz w:val="28"/>
          <w:szCs w:val="36"/>
        </w:rPr>
        <w:t>通过“126” 平台（http://www.jsxsme.cn/financial）向意向金融机构提出 融资申请,金融机构对发起申请的中小微企业基本信息、项目中 标（成交）内容及合同属性等进行核实,确定是否提供相应的融资服务。</w:t>
      </w:r>
    </w:p>
    <w:p>
      <w:pPr>
        <w:rPr>
          <w:rStyle w:val="35"/>
          <w:rFonts w:hint="eastAsia" w:ascii="宋体" w:hAnsi="宋体" w:eastAsia="宋体" w:cs="宋体"/>
          <w:color w:val="auto"/>
        </w:rPr>
      </w:pPr>
      <w:r>
        <w:rPr>
          <w:rStyle w:val="35"/>
          <w:rFonts w:hint="eastAsia" w:ascii="宋体" w:hAnsi="宋体" w:eastAsia="宋体" w:cs="宋体"/>
          <w:color w:val="auto"/>
        </w:rPr>
        <w:br w:type="page"/>
      </w:r>
    </w:p>
    <w:p>
      <w:pPr>
        <w:pStyle w:val="4"/>
        <w:bidi w:val="0"/>
        <w:jc w:val="center"/>
        <w:rPr>
          <w:rFonts w:hint="eastAsia"/>
          <w:b/>
          <w:bCs w:val="0"/>
          <w:sz w:val="44"/>
          <w:szCs w:val="44"/>
        </w:rPr>
      </w:pPr>
      <w:bookmarkStart w:id="28" w:name="_Toc1927"/>
      <w:bookmarkStart w:id="29" w:name="_Toc8249"/>
      <w:r>
        <w:rPr>
          <w:rFonts w:hint="eastAsia"/>
          <w:b/>
          <w:bCs w:val="0"/>
          <w:sz w:val="44"/>
          <w:szCs w:val="44"/>
        </w:rPr>
        <w:t>第三章  供应商须知</w:t>
      </w:r>
      <w:bookmarkEnd w:id="27"/>
      <w:bookmarkEnd w:id="28"/>
      <w:bookmarkEnd w:id="29"/>
    </w:p>
    <w:p>
      <w:pPr>
        <w:pStyle w:val="4"/>
        <w:spacing w:line="480" w:lineRule="exact"/>
        <w:ind w:firstLine="551" w:firstLineChars="196"/>
        <w:rPr>
          <w:rFonts w:hint="eastAsia" w:cs="宋体"/>
          <w:b/>
          <w:bCs w:val="0"/>
          <w:color w:val="auto"/>
          <w:sz w:val="28"/>
          <w:szCs w:val="28"/>
        </w:rPr>
      </w:pPr>
      <w:bookmarkStart w:id="30" w:name="_Toc535592017"/>
      <w:bookmarkStart w:id="31" w:name="_Toc9417"/>
      <w:bookmarkStart w:id="32" w:name="_Toc31767"/>
      <w:r>
        <w:rPr>
          <w:rFonts w:hint="eastAsia" w:cs="宋体"/>
          <w:b/>
          <w:bCs w:val="0"/>
          <w:color w:val="auto"/>
          <w:sz w:val="28"/>
          <w:szCs w:val="28"/>
        </w:rPr>
        <w:t>一、说明事项</w:t>
      </w:r>
      <w:bookmarkEnd w:id="30"/>
      <w:bookmarkEnd w:id="31"/>
      <w:bookmarkEnd w:id="32"/>
    </w:p>
    <w:p>
      <w:pPr>
        <w:spacing w:line="480" w:lineRule="exact"/>
        <w:rPr>
          <w:rFonts w:hint="eastAsia" w:ascii="宋体" w:hAnsi="宋体" w:cs="宋体"/>
          <w:color w:val="auto"/>
          <w:sz w:val="28"/>
          <w:szCs w:val="28"/>
        </w:rPr>
      </w:pPr>
      <w:r>
        <w:rPr>
          <w:rFonts w:hint="eastAsia" w:ascii="宋体" w:hAnsi="宋体" w:cs="宋体"/>
          <w:b/>
          <w:color w:val="auto"/>
          <w:sz w:val="28"/>
          <w:szCs w:val="28"/>
        </w:rPr>
        <w:t xml:space="preserve">   （一）适用范围：</w:t>
      </w:r>
      <w:r>
        <w:rPr>
          <w:rFonts w:hint="eastAsia" w:ascii="宋体" w:hAnsi="宋体" w:cs="宋体"/>
          <w:color w:val="auto"/>
          <w:sz w:val="28"/>
          <w:szCs w:val="28"/>
        </w:rPr>
        <w:t>本磋商文件仅适用于本次竞争性磋商邀请函所叙述的项目。</w:t>
      </w:r>
    </w:p>
    <w:p>
      <w:pPr>
        <w:spacing w:line="480" w:lineRule="exact"/>
        <w:rPr>
          <w:rFonts w:hint="eastAsia" w:ascii="宋体" w:hAnsi="宋体" w:cs="宋体"/>
          <w:b/>
          <w:color w:val="auto"/>
          <w:sz w:val="28"/>
          <w:szCs w:val="28"/>
        </w:rPr>
      </w:pPr>
      <w:r>
        <w:rPr>
          <w:rFonts w:hint="eastAsia" w:ascii="宋体" w:hAnsi="宋体" w:cs="宋体"/>
          <w:b/>
          <w:color w:val="auto"/>
          <w:sz w:val="28"/>
          <w:szCs w:val="28"/>
        </w:rPr>
        <w:t xml:space="preserve">   （二）定义</w:t>
      </w:r>
    </w:p>
    <w:p>
      <w:pPr>
        <w:ind w:left="1119" w:leftChars="266" w:hanging="560" w:hangingChars="200"/>
        <w:jc w:val="both"/>
        <w:rPr>
          <w:rFonts w:hint="eastAsia" w:hAnsi="宋体" w:eastAsia="宋体" w:cs="宋体"/>
          <w:bCs/>
          <w:color w:val="auto"/>
          <w:sz w:val="28"/>
          <w:szCs w:val="28"/>
          <w:lang w:eastAsia="zh-CN"/>
        </w:rPr>
      </w:pPr>
      <w:r>
        <w:rPr>
          <w:rFonts w:hint="eastAsia" w:ascii="宋体" w:hAnsi="宋体" w:cs="宋体"/>
          <w:color w:val="auto"/>
          <w:sz w:val="28"/>
          <w:szCs w:val="28"/>
        </w:rPr>
        <w:t>1.“采购人”系指：</w:t>
      </w:r>
      <w:r>
        <w:rPr>
          <w:rFonts w:hint="eastAsia" w:ascii="宋体" w:hAnsi="宋体" w:cs="宋体"/>
          <w:b w:val="0"/>
          <w:bCs/>
          <w:color w:val="auto"/>
          <w:sz w:val="28"/>
          <w:szCs w:val="28"/>
          <w:lang w:val="en-US" w:eastAsia="zh-CN"/>
        </w:rPr>
        <w:t>建始县黄四姐旅游发展有限公司/恩施自治州翔宇建设工程有限公司。</w:t>
      </w:r>
    </w:p>
    <w:p>
      <w:pPr>
        <w:spacing w:line="480" w:lineRule="exact"/>
        <w:ind w:firstLine="548" w:firstLineChars="196"/>
        <w:rPr>
          <w:rFonts w:hint="eastAsia" w:ascii="宋体" w:hAnsi="宋体" w:eastAsia="宋体" w:cs="宋体"/>
          <w:color w:val="auto"/>
          <w:sz w:val="28"/>
          <w:szCs w:val="28"/>
          <w:lang w:eastAsia="zh-CN"/>
        </w:rPr>
      </w:pPr>
      <w:r>
        <w:rPr>
          <w:rFonts w:hint="eastAsia" w:ascii="宋体" w:hAnsi="宋体" w:cs="宋体"/>
          <w:color w:val="auto"/>
          <w:sz w:val="28"/>
          <w:szCs w:val="28"/>
        </w:rPr>
        <w:t>2.“采购代理机构”系指：</w:t>
      </w:r>
      <w:r>
        <w:rPr>
          <w:rFonts w:hint="eastAsia" w:ascii="宋体" w:hAnsi="宋体" w:cs="宋体"/>
          <w:color w:val="auto"/>
          <w:sz w:val="28"/>
          <w:szCs w:val="28"/>
          <w:lang w:eastAsia="zh-CN"/>
        </w:rPr>
        <w:t>湖北普泰工程咨询</w:t>
      </w:r>
      <w:r>
        <w:rPr>
          <w:rFonts w:hint="eastAsia" w:ascii="宋体" w:hAnsi="宋体" w:cs="宋体"/>
          <w:kern w:val="2"/>
          <w:sz w:val="28"/>
          <w:szCs w:val="28"/>
          <w:lang w:eastAsia="zh-CN"/>
        </w:rPr>
        <w:t>有限公司。</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3.“合格供应商”系指符合本磋商文件规定的要求。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4.“成交供应商”系指：经竞争性磋商小组（以下简称磋商小组）评审推荐，由采购人确认成交的供应商。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（三）合格的供应商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1.符合《政府采购法》第二十二条规定的供应商。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2.符合磋商文件规定的资格要求，有能力完成本项目的供应商。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（四）磋商费用</w:t>
      </w:r>
    </w:p>
    <w:p>
      <w:pPr>
        <w:spacing w:line="480" w:lineRule="exact"/>
        <w:ind w:firstLine="560" w:firstLineChars="200"/>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sz w:val="28"/>
          <w:szCs w:val="28"/>
        </w:rPr>
        <w:t>1、供应商须自行承担参与磋商活动的一切费用，无论磋商结果如何，采购人和采购代理机构均无义务和责任承担这些费用。</w:t>
      </w:r>
    </w:p>
    <w:p>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2、本项目招标代理费</w:t>
      </w:r>
      <w:r>
        <w:rPr>
          <w:rFonts w:hint="eastAsia" w:ascii="宋体" w:hAnsi="宋体" w:cs="宋体"/>
          <w:sz w:val="28"/>
          <w:szCs w:val="28"/>
          <w:highlight w:val="none"/>
          <w:lang w:val="en-US" w:eastAsia="zh-CN"/>
        </w:rPr>
        <w:t>用为：</w:t>
      </w:r>
      <w:r>
        <w:rPr>
          <w:rFonts w:hint="eastAsia" w:ascii="宋体" w:hAnsi="宋体" w:cs="宋体"/>
          <w:b/>
          <w:bCs/>
          <w:sz w:val="28"/>
          <w:szCs w:val="28"/>
          <w:highlight w:val="none"/>
          <w:lang w:val="en-US" w:eastAsia="zh-CN"/>
        </w:rPr>
        <w:t>人民币伍仟元整5000.00元</w:t>
      </w:r>
      <w:r>
        <w:rPr>
          <w:rFonts w:hint="eastAsia" w:ascii="宋体" w:hAnsi="宋体" w:cs="宋体"/>
          <w:sz w:val="28"/>
          <w:szCs w:val="28"/>
          <w:highlight w:val="none"/>
          <w:lang w:val="en-US" w:eastAsia="zh-CN"/>
        </w:rPr>
        <w:t>由中标供应商在领取中标通知书时向</w:t>
      </w:r>
      <w:r>
        <w:rPr>
          <w:rFonts w:hint="eastAsia" w:ascii="宋体" w:hAnsi="宋体" w:cs="宋体"/>
          <w:sz w:val="28"/>
          <w:szCs w:val="28"/>
          <w:lang w:val="en-US" w:eastAsia="zh-CN"/>
        </w:rPr>
        <w:t>招标代理机构支付。</w:t>
      </w:r>
    </w:p>
    <w:p>
      <w:pPr>
        <w:spacing w:line="480" w:lineRule="exact"/>
        <w:ind w:firstLine="548" w:firstLineChars="196"/>
        <w:rPr>
          <w:rFonts w:hint="eastAsia" w:ascii="宋体" w:hAnsi="宋体" w:cs="宋体"/>
          <w:color w:val="auto"/>
          <w:sz w:val="28"/>
          <w:szCs w:val="28"/>
        </w:rPr>
      </w:pPr>
      <w:r>
        <w:rPr>
          <w:rFonts w:hint="eastAsia" w:ascii="宋体" w:hAnsi="宋体" w:cs="宋体"/>
          <w:sz w:val="28"/>
          <w:szCs w:val="28"/>
          <w:lang w:val="en-US" w:eastAsia="zh-CN"/>
        </w:rPr>
        <w:t>3</w:t>
      </w:r>
      <w:r>
        <w:rPr>
          <w:rFonts w:hint="eastAsia" w:ascii="宋体" w:hAnsi="宋体" w:cs="宋体"/>
          <w:sz w:val="28"/>
          <w:szCs w:val="28"/>
        </w:rPr>
        <w:t>、本项目采购人不集中组织供应商对项目现场及周围环境进行踏勘。如果供应商要对项目现场和周围环境进行现场踏勘，以获取供应商认为与本项目有关的信息，并据此作出关于磋商和报价的决定，可自行前往项目现场进行踏勘，供应商在踏勘期间若发生人身意外伤害及财产损失由供应商自行负责。踏勘现场的费用由供应商自行承担。供应商应承担踏勘现场的责任和风险。</w:t>
      </w:r>
    </w:p>
    <w:p>
      <w:pPr>
        <w:pStyle w:val="36"/>
        <w:spacing w:before="0" w:after="0" w:line="480" w:lineRule="exact"/>
        <w:ind w:firstLine="551" w:firstLineChars="196"/>
        <w:rPr>
          <w:rFonts w:hint="eastAsia" w:ascii="宋体" w:hAnsi="宋体" w:eastAsia="宋体" w:cs="宋体"/>
          <w:color w:val="auto"/>
          <w:sz w:val="28"/>
          <w:szCs w:val="28"/>
        </w:rPr>
      </w:pPr>
      <w:bookmarkStart w:id="33" w:name="_Toc535592018"/>
      <w:bookmarkStart w:id="34" w:name="_Toc12865"/>
      <w:bookmarkStart w:id="35" w:name="_Toc25929"/>
      <w:r>
        <w:rPr>
          <w:rFonts w:hint="eastAsia" w:ascii="宋体" w:hAnsi="宋体" w:eastAsia="宋体" w:cs="宋体"/>
          <w:color w:val="auto"/>
          <w:sz w:val="28"/>
          <w:szCs w:val="28"/>
        </w:rPr>
        <w:t>二、磋商文件</w:t>
      </w:r>
      <w:bookmarkEnd w:id="33"/>
      <w:bookmarkEnd w:id="34"/>
      <w:bookmarkEnd w:id="35"/>
    </w:p>
    <w:p>
      <w:pPr>
        <w:tabs>
          <w:tab w:val="left" w:pos="615"/>
        </w:tabs>
        <w:spacing w:line="480" w:lineRule="exact"/>
        <w:ind w:firstLine="280" w:firstLineChars="100"/>
        <w:jc w:val="left"/>
        <w:rPr>
          <w:rFonts w:hint="eastAsia"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（一）磋商文件的构成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磋商文件由下列文件以及在磋商活动过程中发出的修正和补充文件组成：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1.竞争性磋商公告；</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2.采购需求；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3.供应商须知；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4.磋商和评审；</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5.政府采购合同；</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6.响应文件编制格式；</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7.磋商文件的澄清、修该和补充文件等。</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（二）磋商文件的澄清、修改及补充</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1、任何要求对磋商文件进行澄清的供应商，均应在提交响应文件截止时间前</w:t>
      </w:r>
      <w:r>
        <w:rPr>
          <w:rFonts w:hint="eastAsia" w:ascii="宋体" w:hAnsi="宋体" w:cs="宋体"/>
          <w:bCs/>
          <w:color w:val="auto"/>
          <w:sz w:val="28"/>
          <w:szCs w:val="28"/>
          <w:lang w:val="en-US" w:eastAsia="zh-CN"/>
        </w:rPr>
        <w:t>5</w:t>
      </w:r>
      <w:r>
        <w:rPr>
          <w:rFonts w:hint="eastAsia" w:ascii="宋体" w:hAnsi="宋体" w:cs="宋体"/>
          <w:bCs/>
          <w:color w:val="auto"/>
          <w:sz w:val="28"/>
          <w:szCs w:val="28"/>
        </w:rPr>
        <w:t>日内按竞争性磋商公告中的通讯地址，以书面形式通知采购人和采购代理机构。</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2、提交响应文件截止之日前，采购人和集中采购机构可以对已发出的磋商文件进行必要的澄清、修改或补充。澄清、修改、补充的内容可能影响响应文件编制的，采购人和采购代理机构将在提交响应文件截止时间至少5日前，以网上公告形式在发布竞争性磋商公告的同一媒体发布，各潜在供应商自行查阅，不再另行书面通知；不足5日的，采购人和采购代理机构应当顺延提交首次响应文件截止时间。</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3、为使供应商准备响应文件时有充足时间对澄清修改补充部分进行研究，采购人和采购代理机构可适当推迟响应文件提交截止时间，并以网上公告形式发布，各潜在供应商自行查阅，不再另行书面通知。</w:t>
      </w:r>
    </w:p>
    <w:p>
      <w:pPr>
        <w:tabs>
          <w:tab w:val="left" w:pos="3420"/>
        </w:tabs>
        <w:spacing w:line="480" w:lineRule="exact"/>
        <w:ind w:firstLine="411" w:firstLineChars="147"/>
        <w:rPr>
          <w:rFonts w:hint="eastAsia" w:ascii="宋体" w:hAnsi="宋体" w:cs="宋体"/>
          <w:color w:val="auto"/>
          <w:sz w:val="28"/>
          <w:szCs w:val="28"/>
        </w:rPr>
      </w:pPr>
      <w:r>
        <w:rPr>
          <w:rFonts w:hint="eastAsia" w:ascii="宋体" w:hAnsi="宋体" w:cs="宋体"/>
          <w:bCs/>
          <w:color w:val="auto"/>
          <w:sz w:val="28"/>
          <w:szCs w:val="28"/>
        </w:rPr>
        <w:t>4、对磋商文件的澄清、修改、补充，请供应商随时关注，及时登录相关网站查看。澄清、修改、补充内容将作为磋商文件的组成部分，对所有供应商具有约束力。当磋商文件、磋商文件的澄清或修改、补充等对同一内容表述不一致时，以最后发出的为准。</w:t>
      </w:r>
    </w:p>
    <w:p>
      <w:pPr>
        <w:pStyle w:val="36"/>
        <w:spacing w:before="0" w:after="0" w:line="480" w:lineRule="exact"/>
        <w:ind w:firstLine="551" w:firstLineChars="196"/>
        <w:rPr>
          <w:rFonts w:hint="eastAsia" w:ascii="宋体" w:hAnsi="宋体" w:eastAsia="宋体" w:cs="宋体"/>
          <w:color w:val="auto"/>
          <w:sz w:val="28"/>
          <w:szCs w:val="28"/>
        </w:rPr>
      </w:pPr>
      <w:bookmarkStart w:id="36" w:name="_Toc535592019"/>
      <w:bookmarkStart w:id="37" w:name="_Toc13705"/>
      <w:bookmarkStart w:id="38" w:name="_Toc6717"/>
      <w:r>
        <w:rPr>
          <w:rFonts w:hint="eastAsia" w:ascii="宋体" w:hAnsi="宋体" w:eastAsia="宋体" w:cs="宋体"/>
          <w:color w:val="auto"/>
          <w:sz w:val="28"/>
          <w:szCs w:val="28"/>
        </w:rPr>
        <w:t>三、响应文件的编制要求和注意事项</w:t>
      </w:r>
      <w:bookmarkEnd w:id="36"/>
      <w:bookmarkEnd w:id="37"/>
      <w:bookmarkEnd w:id="38"/>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参与磋商活动的供应商提交的响应文件，是磋商小组进行评审的唯一依据。供应商应认真仔细地阅读和理解磋商文件的所有内容，按照磋商文件的要求编制响应文件，并对提交的响应文件的真实性、合法性承担法律责任。供应商提交的相应文件应当对磋商文件作出实质性响应，并提交磋商文件要求的全部资料，否则其相应文件有可能被拒绝，或被认定为无效响应。响应文件的编写要求如下：</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（一）响应文件的构成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供应商编制并提交的磋商响应文件应包括但不少于下列内容: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1.磋商申请书；</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2.法定代表人身份证明文件；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3.法定代表人授权书，授权代表身份证明文件；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4.营业执照等与本次磋商活动有关的资质证明文件；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sz w:val="28"/>
          <w:szCs w:val="28"/>
          <w:lang w:eastAsia="zh-CN"/>
        </w:rPr>
        <w:t>单价</w:t>
      </w:r>
      <w:r>
        <w:rPr>
          <w:rFonts w:hint="eastAsia" w:ascii="宋体" w:hAnsi="宋体" w:cs="宋体"/>
          <w:color w:val="auto"/>
          <w:sz w:val="28"/>
          <w:szCs w:val="28"/>
        </w:rPr>
        <w:t>报价表；</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6.服务承诺；</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7.综合评分所需的证明文件；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8.供应商认为需提供的其他资料。</w:t>
      </w:r>
    </w:p>
    <w:p>
      <w:pPr>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（二）响应文件的语言</w:t>
      </w:r>
      <w:r>
        <w:rPr>
          <w:rFonts w:hint="eastAsia" w:ascii="宋体" w:hAnsi="宋体" w:cs="宋体"/>
          <w:color w:val="auto"/>
          <w:sz w:val="28"/>
          <w:szCs w:val="28"/>
        </w:rPr>
        <w:t>。供应商提交的响应文件以及就磋商活动有关的所有来往函电均应使用中文。供应商提交的支持文件或印刷的文献可以用另一种语言，但相应内容应附有中文翻译本，并以中文翻译本为准。</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（三）报价要求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1.供应商所提供的</w:t>
      </w:r>
      <w:r>
        <w:rPr>
          <w:rFonts w:hint="eastAsia" w:ascii="宋体" w:hAnsi="宋体" w:cs="宋体"/>
          <w:color w:val="auto"/>
          <w:sz w:val="28"/>
          <w:szCs w:val="28"/>
          <w:lang w:eastAsia="zh-CN"/>
        </w:rPr>
        <w:t>产品及</w:t>
      </w:r>
      <w:r>
        <w:rPr>
          <w:rFonts w:hint="eastAsia" w:ascii="宋体" w:hAnsi="宋体" w:cs="宋体"/>
          <w:color w:val="auto"/>
          <w:sz w:val="28"/>
          <w:szCs w:val="28"/>
        </w:rPr>
        <w:t>服务均以人民币为单位进行报价。</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2.供应商应按照“第二章采购需求中规定的服务内容、责任范围以及合同条款进行报价。并按《磋商报价表》确定的格式报出</w:t>
      </w:r>
      <w:r>
        <w:rPr>
          <w:rFonts w:hint="eastAsia" w:ascii="宋体" w:hAnsi="宋体" w:cs="宋体"/>
          <w:color w:val="auto"/>
          <w:sz w:val="28"/>
          <w:szCs w:val="28"/>
          <w:lang w:eastAsia="zh-CN"/>
        </w:rPr>
        <w:t>单价</w:t>
      </w:r>
      <w:r>
        <w:rPr>
          <w:rFonts w:hint="eastAsia" w:ascii="宋体" w:hAnsi="宋体" w:cs="宋体"/>
          <w:color w:val="auto"/>
          <w:sz w:val="28"/>
          <w:szCs w:val="28"/>
        </w:rPr>
        <w:t>。</w:t>
      </w:r>
      <w:r>
        <w:rPr>
          <w:rFonts w:hint="eastAsia" w:ascii="宋体" w:hAnsi="宋体" w:cs="宋体"/>
          <w:color w:val="auto"/>
          <w:sz w:val="28"/>
          <w:szCs w:val="28"/>
          <w:lang w:eastAsia="zh-CN"/>
        </w:rPr>
        <w:t>单价</w:t>
      </w:r>
      <w:r>
        <w:rPr>
          <w:rFonts w:hint="eastAsia" w:ascii="宋体" w:hAnsi="宋体" w:cs="宋体"/>
          <w:color w:val="auto"/>
          <w:sz w:val="28"/>
          <w:szCs w:val="28"/>
        </w:rPr>
        <w:t>中不得包含磋商文件要求以外的内容，否则在评审时不予核减。</w:t>
      </w:r>
      <w:r>
        <w:rPr>
          <w:rFonts w:hint="eastAsia" w:ascii="宋体" w:hAnsi="宋体" w:cs="宋体"/>
          <w:color w:val="auto"/>
          <w:sz w:val="28"/>
          <w:szCs w:val="28"/>
          <w:lang w:eastAsia="zh-CN"/>
        </w:rPr>
        <w:t>单价</w:t>
      </w:r>
      <w:r>
        <w:rPr>
          <w:rFonts w:hint="eastAsia" w:ascii="宋体" w:hAnsi="宋体" w:cs="宋体"/>
          <w:color w:val="auto"/>
          <w:sz w:val="28"/>
          <w:szCs w:val="28"/>
        </w:rPr>
        <w:t>中也不得缺漏磋商文件所要求的内容，否则视其投标为无效响应。</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3.填写《磋商报价表》时应响应下列要求:</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（1）对于报价免费的项目应标明“免费”；</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（2）所有根据合同或其他原因应由供应商支付的税款和其他应交纳的费用都要包括在供应商提交的磋商价格中；</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（3）供应商的报价在合同执行过程中是固定不变的,不得以任何理由予以变更。</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（四）供应商资格证明文件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供应商应提交证明其具有资格参与磋商和成交后有能力履行合同的证明文件，并作为其磋商响应文件的一章，供应商须提供以下资格性证明文件：</w:t>
      </w:r>
    </w:p>
    <w:tbl>
      <w:tblPr>
        <w:tblStyle w:val="19"/>
        <w:tblW w:w="8100" w:type="dxa"/>
        <w:jc w:val="center"/>
        <w:tblLayout w:type="fixed"/>
        <w:tblCellMar>
          <w:top w:w="15" w:type="dxa"/>
          <w:left w:w="15" w:type="dxa"/>
          <w:bottom w:w="15" w:type="dxa"/>
          <w:right w:w="15" w:type="dxa"/>
        </w:tblCellMar>
      </w:tblPr>
      <w:tblGrid>
        <w:gridCol w:w="626"/>
        <w:gridCol w:w="7474"/>
      </w:tblGrid>
      <w:tr>
        <w:tblPrEx>
          <w:tblCellMar>
            <w:top w:w="15" w:type="dxa"/>
            <w:left w:w="15" w:type="dxa"/>
            <w:bottom w:w="15" w:type="dxa"/>
            <w:right w:w="15" w:type="dxa"/>
          </w:tblCellMar>
        </w:tblPrEx>
        <w:trPr>
          <w:trHeight w:val="803"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1</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sz w:val="24"/>
                <w:szCs w:val="24"/>
              </w:rPr>
            </w:pPr>
            <w:r>
              <w:rPr>
                <w:rFonts w:hint="eastAsia" w:ascii="宋体" w:hAnsi="宋体" w:eastAsia="宋体" w:cs="宋体"/>
                <w:bCs/>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2</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法定代表人身份证明；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3</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kern w:val="0"/>
                <w:sz w:val="24"/>
                <w:szCs w:val="24"/>
              </w:rPr>
              <w:t>法定代表人授权书，授权代表身份证明；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4</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2021年9月至2022年2月（其中任意一个月）</w:t>
            </w:r>
            <w:r>
              <w:rPr>
                <w:rFonts w:hint="eastAsia" w:ascii="宋体" w:hAnsi="宋体" w:eastAsia="宋体" w:cs="宋体"/>
                <w:sz w:val="24"/>
                <w:szCs w:val="24"/>
              </w:rPr>
              <w:t>依法缴纳税收(免税单位除外，须提供税务部门开具的免税证明)和社会保障资金(免</w:t>
            </w:r>
            <w:r>
              <w:rPr>
                <w:rFonts w:hint="eastAsia" w:ascii="宋体" w:hAnsi="宋体" w:eastAsia="宋体" w:cs="宋体"/>
                <w:sz w:val="24"/>
                <w:szCs w:val="24"/>
                <w:lang w:val="en-US" w:eastAsia="zh-CN"/>
              </w:rPr>
              <w:t>缴社会保障资金</w:t>
            </w:r>
            <w:r>
              <w:rPr>
                <w:rFonts w:hint="eastAsia" w:ascii="宋体" w:hAnsi="宋体" w:eastAsia="宋体" w:cs="宋体"/>
                <w:sz w:val="24"/>
                <w:szCs w:val="24"/>
              </w:rPr>
              <w:t>单位除外，须提供</w:t>
            </w:r>
            <w:r>
              <w:rPr>
                <w:rFonts w:hint="eastAsia" w:ascii="宋体" w:hAnsi="宋体" w:eastAsia="宋体" w:cs="宋体"/>
                <w:sz w:val="24"/>
                <w:szCs w:val="24"/>
                <w:lang w:val="en-US" w:eastAsia="zh-CN"/>
              </w:rPr>
              <w:t>社保</w:t>
            </w:r>
            <w:r>
              <w:rPr>
                <w:rFonts w:hint="eastAsia" w:ascii="宋体" w:hAnsi="宋体" w:eastAsia="宋体" w:cs="宋体"/>
                <w:sz w:val="24"/>
                <w:szCs w:val="24"/>
              </w:rPr>
              <w:t>部门开具的免</w:t>
            </w:r>
            <w:r>
              <w:rPr>
                <w:rFonts w:hint="eastAsia" w:ascii="宋体" w:hAnsi="宋体" w:eastAsia="宋体" w:cs="宋体"/>
                <w:sz w:val="24"/>
                <w:szCs w:val="24"/>
                <w:lang w:val="en-US" w:eastAsia="zh-CN"/>
              </w:rPr>
              <w:t>缴</w:t>
            </w:r>
            <w:r>
              <w:rPr>
                <w:rFonts w:hint="eastAsia" w:ascii="宋体" w:hAnsi="宋体" w:eastAsia="宋体" w:cs="宋体"/>
                <w:sz w:val="24"/>
                <w:szCs w:val="24"/>
              </w:rPr>
              <w:t>证明)的证明材料；</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5</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6</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参加政府采购活动前3年内，在经营活动中没有重大违法记录的书面声明</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7</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8</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eastAsia="zh-CN" w:bidi="ar"/>
              </w:rPr>
            </w:pPr>
            <w:r>
              <w:rPr>
                <w:rFonts w:hint="eastAsia" w:ascii="宋体" w:hAnsi="宋体" w:eastAsia="宋体" w:cs="宋体"/>
                <w:b/>
                <w:color w:val="auto"/>
                <w:kern w:val="0"/>
                <w:sz w:val="24"/>
                <w:szCs w:val="24"/>
                <w:lang w:val="en-US" w:eastAsia="zh-CN" w:bidi="ar"/>
              </w:rPr>
              <w:t>9</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hint="eastAsia" w:ascii="宋体" w:hAnsi="宋体" w:cs="宋体"/>
          <w:b/>
          <w:bCs/>
          <w:color w:val="auto"/>
          <w:sz w:val="28"/>
          <w:szCs w:val="28"/>
        </w:rPr>
      </w:pPr>
      <w:r>
        <w:rPr>
          <w:rFonts w:hint="eastAsia" w:ascii="宋体" w:hAnsi="宋体" w:cs="宋体"/>
          <w:b/>
          <w:bCs/>
          <w:color w:val="auto"/>
          <w:sz w:val="28"/>
          <w:szCs w:val="28"/>
        </w:rPr>
        <w:t>供应商提供的资格证明文件必须真实可靠、不得仿造，复印件必须加盖供应商的红印章。</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（五）响应文件的数量、签署、装订等编制要求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1.响应文件的数量。供应商应提交磋商响应文件一式</w:t>
      </w:r>
      <w:r>
        <w:rPr>
          <w:rFonts w:hint="eastAsia" w:ascii="宋体" w:hAnsi="宋体" w:cs="宋体"/>
          <w:color w:val="auto"/>
          <w:sz w:val="28"/>
          <w:szCs w:val="28"/>
          <w:lang w:val="en-US" w:eastAsia="zh-CN"/>
        </w:rPr>
        <w:t>叁</w:t>
      </w:r>
      <w:r>
        <w:rPr>
          <w:rFonts w:hint="eastAsia" w:ascii="宋体" w:hAnsi="宋体" w:cs="宋体"/>
          <w:color w:val="auto"/>
          <w:sz w:val="28"/>
          <w:szCs w:val="28"/>
        </w:rPr>
        <w:t>份，其中：正本一份和副本</w:t>
      </w:r>
      <w:r>
        <w:rPr>
          <w:rFonts w:hint="eastAsia" w:ascii="宋体" w:hAnsi="宋体" w:cs="宋体"/>
          <w:color w:val="auto"/>
          <w:sz w:val="28"/>
          <w:szCs w:val="28"/>
          <w:lang w:val="en-US" w:eastAsia="zh-CN"/>
        </w:rPr>
        <w:t>贰</w:t>
      </w:r>
      <w:r>
        <w:rPr>
          <w:rFonts w:hint="eastAsia" w:ascii="宋体" w:hAnsi="宋体" w:cs="宋体"/>
          <w:color w:val="auto"/>
          <w:sz w:val="28"/>
          <w:szCs w:val="28"/>
        </w:rPr>
        <w:t>份，并在响应文件封面注明“正本”或“副本”字样，若正本与副本不符，以正本为准。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2.响应文件的签署。磋商响应文件的正本均须打印，磋商响应文件的任何一页（空白页除外），</w:t>
      </w:r>
      <w:r>
        <w:rPr>
          <w:rFonts w:hint="eastAsia" w:ascii="宋体" w:hAnsi="宋体" w:cs="宋体"/>
          <w:color w:val="auto"/>
          <w:sz w:val="28"/>
          <w:szCs w:val="28"/>
          <w:lang w:eastAsia="zh-CN"/>
        </w:rPr>
        <w:t>均</w:t>
      </w:r>
      <w:r>
        <w:rPr>
          <w:rFonts w:hint="eastAsia" w:ascii="宋体" w:hAnsi="宋体" w:cs="宋体"/>
          <w:color w:val="auto"/>
          <w:sz w:val="28"/>
          <w:szCs w:val="28"/>
        </w:rPr>
        <w:t>须加盖</w:t>
      </w:r>
      <w:r>
        <w:rPr>
          <w:rFonts w:hint="eastAsia" w:ascii="宋体" w:hAnsi="宋体" w:cs="宋体"/>
          <w:color w:val="auto"/>
          <w:sz w:val="28"/>
          <w:szCs w:val="28"/>
          <w:lang w:eastAsia="zh-CN"/>
        </w:rPr>
        <w:t>投标</w:t>
      </w:r>
      <w:r>
        <w:rPr>
          <w:rFonts w:hint="eastAsia" w:ascii="宋体" w:hAnsi="宋体" w:cs="宋体"/>
          <w:color w:val="auto"/>
          <w:sz w:val="28"/>
          <w:szCs w:val="28"/>
        </w:rPr>
        <w:t>单位公章。副本可以提供盖章完备的正本复印件。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3.响应文件的修改。除供应商对错处作必要修改外，磋商响应文件中不许有加行、涂抹和改写。若有修改，修改处须由法定代表人或授权代表签字并加盖单位公章。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4.响应文件的装订。为便于评审，磋商响应文件必须按响应文件编制格式中的顺序进行装订，不按顺序装订的可能扣分。磋商响应文件的装订必须采用“胶装”，不允许活页打孔或订装，否则为无效投标文件。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5.响应文件的纸张。磋商响应文件用纸的外形尺寸统一为A4纸规格。</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6.供应商应完整地填写磋商文件中提供的《磋商申请书》、《磋商报价表》等规定的所有内容。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7.供应商必须保证响应文件所提供的全部资料真实可靠，并接受采购人对其中任何资料进一步核实的要求。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8.如果因为供应商响应文件填报的内容不详，或没有提供磋商文件中所要求的全部资料及数据，由此造成的后果，其责任由供应商自行承担。</w:t>
      </w:r>
    </w:p>
    <w:p>
      <w:pPr>
        <w:pStyle w:val="36"/>
        <w:spacing w:before="0" w:after="0" w:line="480" w:lineRule="exact"/>
        <w:ind w:firstLine="551" w:firstLineChars="196"/>
        <w:rPr>
          <w:rFonts w:hint="eastAsia" w:ascii="宋体" w:hAnsi="宋体" w:eastAsia="宋体" w:cs="宋体"/>
          <w:color w:val="auto"/>
          <w:sz w:val="28"/>
          <w:szCs w:val="28"/>
        </w:rPr>
      </w:pPr>
      <w:bookmarkStart w:id="39" w:name="_Toc535592020"/>
      <w:bookmarkStart w:id="40" w:name="_Toc22099"/>
      <w:bookmarkStart w:id="41" w:name="_Toc13557"/>
      <w:r>
        <w:rPr>
          <w:rFonts w:hint="eastAsia" w:ascii="宋体" w:hAnsi="宋体" w:eastAsia="宋体" w:cs="宋体"/>
          <w:color w:val="auto"/>
          <w:sz w:val="28"/>
          <w:szCs w:val="28"/>
        </w:rPr>
        <w:t>四、响应文件的递交</w:t>
      </w:r>
      <w:bookmarkEnd w:id="39"/>
      <w:bookmarkEnd w:id="40"/>
      <w:bookmarkEnd w:id="41"/>
    </w:p>
    <w:p>
      <w:pPr>
        <w:tabs>
          <w:tab w:val="left" w:pos="615"/>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（一）磋商响应文件的密封和标记</w:t>
      </w:r>
    </w:p>
    <w:p>
      <w:pPr>
        <w:spacing w:line="480" w:lineRule="exact"/>
        <w:ind w:firstLine="548" w:firstLineChars="196"/>
        <w:rPr>
          <w:rFonts w:hint="eastAsia" w:ascii="宋体" w:hAnsi="宋体" w:cs="宋体"/>
          <w:color w:val="auto"/>
          <w:sz w:val="28"/>
          <w:szCs w:val="28"/>
          <w:highlight w:val="none"/>
        </w:rPr>
      </w:pPr>
      <w:r>
        <w:rPr>
          <w:rFonts w:hint="eastAsia" w:ascii="宋体" w:hAnsi="宋体" w:cs="宋体"/>
          <w:color w:val="auto"/>
          <w:sz w:val="28"/>
          <w:szCs w:val="28"/>
        </w:rPr>
        <w:t>1.供应商应将响应文件正本和副本一起密封在一个文件袋中（也可单独密封），并在封面上标记“</w:t>
      </w:r>
      <w:r>
        <w:rPr>
          <w:rFonts w:hint="eastAsia" w:ascii="宋体" w:hAnsi="宋体" w:cs="宋体"/>
          <w:color w:val="auto"/>
          <w:sz w:val="28"/>
          <w:szCs w:val="28"/>
          <w:highlight w:val="none"/>
        </w:rPr>
        <w:t>单位名称”、“项目名称”、“项目编号”、“递交时间”等字样，在密封袋封口上注明“于20</w:t>
      </w:r>
      <w:r>
        <w:rPr>
          <w:rFonts w:hint="eastAsia" w:ascii="宋体" w:hAnsi="宋体" w:cs="宋体"/>
          <w:color w:val="auto"/>
          <w:sz w:val="28"/>
          <w:szCs w:val="28"/>
          <w:highlight w:val="none"/>
          <w:lang w:val="en-US" w:eastAsia="zh-CN"/>
        </w:rPr>
        <w:t>22</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15</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：之前不准启封”字样，在封口处加盖骑缝公章。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highlight w:val="none"/>
        </w:rPr>
        <w:t>2.如供应商提交的磋商响应文件密封</w:t>
      </w:r>
      <w:r>
        <w:rPr>
          <w:rFonts w:hint="eastAsia" w:ascii="宋体" w:hAnsi="宋体" w:cs="宋体"/>
          <w:color w:val="auto"/>
          <w:sz w:val="28"/>
          <w:szCs w:val="28"/>
        </w:rPr>
        <w:t>不严，将被拒绝接收，并退还给供应商重新密封。</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（二）供应商提交磋商响应文件的截止时间</w:t>
      </w:r>
      <w:r>
        <w:rPr>
          <w:rFonts w:hint="eastAsia" w:ascii="宋体" w:hAnsi="宋体" w:cs="宋体"/>
          <w:color w:val="auto"/>
          <w:sz w:val="28"/>
          <w:szCs w:val="28"/>
        </w:rPr>
        <w:t>。供应商应在不迟于竞争性磋商公告中规定的截止日期和时间，将磋商响应文件递交至指定地点。</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（三）磋商响应文件的接收。</w:t>
      </w:r>
      <w:r>
        <w:rPr>
          <w:rFonts w:hint="eastAsia" w:ascii="宋体" w:hAnsi="宋体" w:cs="宋体"/>
          <w:color w:val="auto"/>
          <w:sz w:val="28"/>
          <w:szCs w:val="28"/>
        </w:rPr>
        <w:t>逾时送达或未按照要求密封的磋商响应文件将被拒绝接收，并原封退回。</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（四）磋商响应文件的修改和撤回</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1.供应商在递交磋商响应文件后, 可以修改其响应文件,但是必须在规定的提交响应文件截止时间之前，将修改的响应文件递交到磋商文件规定的送达地点。在规定的提交响应文件截止时间之后，供应商不得对其响应文件做任何修改。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2.供应商在递交磋商响应文件后，可以撤回其响应文件，但供应商必须在规定的提交响应文件截止时间之前以书面形式告知采购代理机构。</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3.供应商所提交的磋商响应文件在评审结束后,无论成交与否都不予退还。</w:t>
      </w:r>
    </w:p>
    <w:p>
      <w:pPr>
        <w:tabs>
          <w:tab w:val="left" w:pos="615"/>
          <w:tab w:val="left" w:pos="3420"/>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（五）磋商</w:t>
      </w:r>
      <w:r>
        <w:rPr>
          <w:rFonts w:hint="eastAsia" w:ascii="宋体" w:hAnsi="宋体" w:cs="宋体"/>
          <w:b/>
          <w:bCs/>
          <w:color w:val="auto"/>
          <w:sz w:val="28"/>
          <w:szCs w:val="28"/>
        </w:rPr>
        <w:t>响应文件的有效期</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1.磋商响应文件自开启之日起有效期为60日。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2.特殊情况下，在有效期期满之前，采购人可以以书面形式要求供应商同意延长有效期。供应商可以以书面形式拒绝或接受上述要求。</w:t>
      </w:r>
    </w:p>
    <w:p>
      <w:pPr>
        <w:pStyle w:val="36"/>
        <w:spacing w:before="0" w:after="0" w:line="480" w:lineRule="exact"/>
        <w:ind w:firstLine="551" w:firstLineChars="196"/>
        <w:rPr>
          <w:rFonts w:hint="eastAsia" w:ascii="宋体" w:hAnsi="宋体" w:eastAsia="宋体" w:cs="宋体"/>
          <w:color w:val="auto"/>
          <w:sz w:val="28"/>
          <w:szCs w:val="28"/>
        </w:rPr>
      </w:pPr>
      <w:bookmarkStart w:id="42" w:name="_Toc535592021"/>
      <w:bookmarkStart w:id="43" w:name="_Toc11012"/>
      <w:bookmarkStart w:id="44" w:name="_Toc22143"/>
      <w:r>
        <w:rPr>
          <w:rFonts w:hint="eastAsia" w:ascii="宋体" w:hAnsi="宋体" w:eastAsia="宋体" w:cs="宋体"/>
          <w:color w:val="auto"/>
          <w:sz w:val="28"/>
          <w:szCs w:val="28"/>
        </w:rPr>
        <w:t>五、询问、质疑或投诉</w:t>
      </w:r>
      <w:bookmarkEnd w:id="42"/>
      <w:bookmarkEnd w:id="43"/>
      <w:bookmarkEnd w:id="44"/>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（一）供应商对磋商文件、磋商活动过程、成交结果有异议的，供应商有权依法提出询问、质疑或投诉。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（二）供应商提出的询问、质疑或投诉，必须按照政府采购法等法律、法规及有关政策规定的程序，以书面形式提出，向采购代理机构和采购人同时提出询问、质疑，向政府采购监督管理部门投诉进行投诉。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（三）供应商提出的询问、质疑或投诉，必须在政府采购法及其实施条例规定的法定时间期限内提出，以</w:t>
      </w:r>
      <w:r>
        <w:rPr>
          <w:rFonts w:hint="eastAsia" w:ascii="宋体" w:hAnsi="宋体" w:cs="宋体"/>
          <w:color w:val="auto"/>
          <w:sz w:val="28"/>
          <w:szCs w:val="28"/>
          <w:lang w:val="en-US" w:eastAsia="zh-CN"/>
        </w:rPr>
        <w:t>公告发布</w:t>
      </w:r>
      <w:r>
        <w:rPr>
          <w:rFonts w:hint="eastAsia" w:ascii="宋体" w:hAnsi="宋体" w:cs="宋体"/>
          <w:color w:val="auto"/>
          <w:sz w:val="28"/>
          <w:szCs w:val="28"/>
          <w:lang w:eastAsia="zh-CN"/>
        </w:rPr>
        <w:t>网</w:t>
      </w:r>
      <w:r>
        <w:rPr>
          <w:rFonts w:hint="eastAsia" w:ascii="宋体" w:hAnsi="宋体" w:cs="宋体"/>
          <w:color w:val="auto"/>
          <w:sz w:val="28"/>
          <w:szCs w:val="28"/>
        </w:rPr>
        <w:t>上的发布时点为准，逾时提出的概不受理。</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（四）供应商提出的询问、质疑或投诉，必须有明确的请求和必要的证明材料，供应商投诉的事项不得超出已质疑事项的范围。</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（五）供应商所提出的质疑、投诉，经查证后，查无实据的或捏造事实的或提供虚假投诉材料的，依法按程序将其列入不良行为记录名单，依法予以处罚，并在政府指定网站上发布公告。</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（六）由授权代表提出询问、质疑或投诉的，必须有供应商法定代表人出具的要素齐全并具有法律效力的《法定代表人授权书》。</w:t>
      </w:r>
    </w:p>
    <w:p>
      <w:pPr>
        <w:pStyle w:val="36"/>
        <w:spacing w:before="0" w:after="0" w:line="480" w:lineRule="exact"/>
        <w:ind w:firstLine="551" w:firstLineChars="196"/>
        <w:rPr>
          <w:rFonts w:hint="eastAsia" w:ascii="宋体" w:hAnsi="宋体" w:eastAsia="宋体" w:cs="宋体"/>
          <w:color w:val="auto"/>
          <w:sz w:val="28"/>
          <w:szCs w:val="28"/>
        </w:rPr>
      </w:pPr>
      <w:bookmarkStart w:id="45" w:name="_Toc535592022"/>
      <w:bookmarkStart w:id="46" w:name="_Toc8954"/>
      <w:bookmarkStart w:id="47" w:name="_Toc382"/>
      <w:r>
        <w:rPr>
          <w:rFonts w:hint="eastAsia" w:ascii="宋体" w:hAnsi="宋体" w:eastAsia="宋体" w:cs="宋体"/>
          <w:color w:val="auto"/>
          <w:sz w:val="28"/>
          <w:szCs w:val="28"/>
        </w:rPr>
        <w:t>六、定标原则</w:t>
      </w:r>
      <w:bookmarkEnd w:id="45"/>
      <w:bookmarkEnd w:id="46"/>
      <w:bookmarkEnd w:id="47"/>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（一）严格按照招标文件的要求和条件进行评标，择优定标。</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（二）磋商小组根据评标结果，形成磋商报告，推荐成交候选供应商，采购人依法确定成交供应商。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（三）根据确定的成交候选供应商，签发成交通知书。</w:t>
      </w:r>
    </w:p>
    <w:p>
      <w:pPr>
        <w:tabs>
          <w:tab w:val="left" w:pos="615"/>
        </w:tabs>
        <w:spacing w:line="480" w:lineRule="exact"/>
        <w:rPr>
          <w:rFonts w:hint="eastAsia" w:ascii="宋体" w:hAnsi="宋体" w:cs="宋体"/>
          <w:b/>
          <w:bCs/>
          <w:color w:val="auto"/>
          <w:kern w:val="24"/>
          <w:sz w:val="28"/>
          <w:szCs w:val="28"/>
        </w:rPr>
      </w:pPr>
      <w:r>
        <w:rPr>
          <w:rFonts w:hint="eastAsia" w:ascii="宋体" w:hAnsi="宋体" w:cs="宋体"/>
          <w:color w:val="auto"/>
          <w:sz w:val="28"/>
          <w:szCs w:val="28"/>
        </w:rPr>
        <w:t xml:space="preserve">   </w:t>
      </w:r>
      <w:r>
        <w:rPr>
          <w:rFonts w:hint="eastAsia" w:ascii="宋体" w:hAnsi="宋体" w:cs="宋体"/>
          <w:b/>
          <w:bCs/>
          <w:color w:val="auto"/>
          <w:kern w:val="24"/>
          <w:sz w:val="28"/>
          <w:szCs w:val="28"/>
        </w:rPr>
        <w:t>七、授予合同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（一）合同授予标准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采购人将把合同授予实质上响应竞争性磋商文件要求且按照得分由高到低的原则确定的成交供应商。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（二）签订合同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1、采购人应按竞争性磋商文件要求和成交供应商的响应文件承诺订立书面合同，不得超出竞争性磋商文件和成交供应商响应文件的范围，也不得再行订立背离合同实质性内容的其他协议。</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2、采购人应在《成交通知书》发出之日起</w:t>
      </w:r>
      <w:r>
        <w:rPr>
          <w:rFonts w:hint="eastAsia" w:ascii="宋体" w:hAnsi="宋体" w:cs="宋体"/>
          <w:color w:val="auto"/>
          <w:sz w:val="28"/>
          <w:szCs w:val="28"/>
          <w:lang w:val="en-US" w:eastAsia="zh-CN"/>
        </w:rPr>
        <w:t>1</w:t>
      </w:r>
      <w:r>
        <w:rPr>
          <w:rFonts w:hint="eastAsia" w:ascii="宋体" w:hAnsi="宋体" w:cs="宋体"/>
          <w:color w:val="auto"/>
          <w:sz w:val="28"/>
          <w:szCs w:val="28"/>
        </w:rPr>
        <w:t>0日内与成交供应商签订政府采购合同。</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rPr>
        <w:t>3、成交供应商拒绝签订政府采购合同的，采购人可以按照《政府采购竞争性磋商采购方式管理暂行办</w:t>
      </w:r>
      <w:r>
        <w:rPr>
          <w:rFonts w:hint="eastAsia" w:ascii="宋体" w:hAnsi="宋体" w:eastAsia="宋体" w:cs="宋体"/>
          <w:color w:val="auto"/>
          <w:sz w:val="28"/>
          <w:szCs w:val="28"/>
        </w:rPr>
        <w:t>法》第二十八条第二款规定的原则确定其他供应商作为成交供应商并签订政府采购合同，也可以重新开展采购活动。拒绝签订政府采购合同的成交供应商不得参加对该项目重新开展的采购活动。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4、成交供应商因不可抗力不能与采购人签订合同的，采购人可以按照评审报告推荐的成交候选人名单排序，确定下一候选人为成交供应商并签订政府采购合同，也可以重新开展政府采购活动。</w:t>
      </w:r>
    </w:p>
    <w:p>
      <w:pPr>
        <w:tabs>
          <w:tab w:val="left" w:pos="615"/>
        </w:tabs>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八、非专门面向中小企业、监狱企业或残疾人福利性单位采购项目</w:t>
      </w:r>
    </w:p>
    <w:p>
      <w:pPr>
        <w:tabs>
          <w:tab w:val="left" w:pos="615"/>
        </w:tabs>
        <w:spacing w:line="480" w:lineRule="exact"/>
        <w:ind w:firstLine="560" w:firstLineChars="200"/>
        <w:rPr>
          <w:rFonts w:hAnsi="宋体" w:cs="宋体"/>
          <w:sz w:val="28"/>
          <w:szCs w:val="28"/>
        </w:rPr>
      </w:pPr>
      <w:r>
        <w:rPr>
          <w:rFonts w:hint="eastAsia" w:ascii="宋体" w:hAnsi="宋体" w:eastAsia="宋体" w:cs="宋体"/>
          <w:color w:val="auto"/>
          <w:sz w:val="28"/>
          <w:szCs w:val="28"/>
        </w:rPr>
        <w:t>1、小型和微型企业、监狱企业或残疾人福利性单位参加非专门面向中小企业、监狱企业或残疾人福利性单位采购项目，提供本企业制造的产品、承担的工程或</w:t>
      </w:r>
      <w:r>
        <w:rPr>
          <w:rFonts w:hint="eastAsia" w:hAnsi="宋体" w:cs="宋体"/>
          <w:sz w:val="28"/>
          <w:szCs w:val="28"/>
        </w:rPr>
        <w:t>者服务，或者提供其他小型和微型企业、监狱企业或残疾人福利性单位制造的产品参加磋商的，</w:t>
      </w:r>
      <w:r>
        <w:rPr>
          <w:rFonts w:hint="eastAsia" w:hAnsi="宋体" w:cs="宋体"/>
          <w:b/>
          <w:bCs/>
          <w:sz w:val="28"/>
          <w:szCs w:val="28"/>
        </w:rPr>
        <w:t>给予价格</w:t>
      </w:r>
      <w:r>
        <w:rPr>
          <w:rFonts w:hint="eastAsia" w:hAnsi="宋体" w:cs="宋体"/>
          <w:b/>
          <w:bCs/>
          <w:sz w:val="28"/>
          <w:szCs w:val="28"/>
          <w:lang w:val="en-US" w:eastAsia="zh-CN"/>
        </w:rPr>
        <w:t>10</w:t>
      </w:r>
      <w:r>
        <w:rPr>
          <w:rFonts w:hint="eastAsia" w:hAnsi="宋体" w:cs="宋体"/>
          <w:b/>
          <w:bCs/>
          <w:sz w:val="28"/>
          <w:szCs w:val="28"/>
        </w:rPr>
        <w:t>%的扣除，用扣除后的价格参与评审</w:t>
      </w:r>
      <w:r>
        <w:rPr>
          <w:rFonts w:hint="eastAsia" w:hAnsi="宋体" w:cs="宋体"/>
          <w:sz w:val="28"/>
          <w:szCs w:val="28"/>
        </w:rPr>
        <w:t>。本项所称产品不包括使用大型企业注册商标的产品、使用非残疾人福利性单位注册商标的货物或非监狱企业生产的货物。</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tabs>
          <w:tab w:val="left" w:pos="615"/>
        </w:tabs>
        <w:spacing w:line="480" w:lineRule="exact"/>
        <w:ind w:firstLine="420" w:firstLineChars="150"/>
        <w:rPr>
          <w:rFonts w:hint="eastAsia" w:ascii="宋体" w:hAnsi="宋体" w:cs="宋体"/>
          <w:color w:val="auto"/>
          <w:sz w:val="28"/>
          <w:szCs w:val="28"/>
        </w:rPr>
      </w:pPr>
    </w:p>
    <w:p>
      <w:pPr>
        <w:spacing w:line="480" w:lineRule="exact"/>
        <w:jc w:val="center"/>
        <w:rPr>
          <w:rFonts w:hint="eastAsia" w:ascii="宋体" w:hAnsi="宋体" w:cs="宋体"/>
          <w:b/>
          <w:bCs/>
          <w:color w:val="auto"/>
          <w:sz w:val="44"/>
          <w:szCs w:val="44"/>
        </w:rPr>
      </w:pPr>
      <w:r>
        <w:rPr>
          <w:rFonts w:hint="eastAsia" w:ascii="宋体" w:hAnsi="宋体" w:cs="宋体"/>
          <w:color w:val="auto"/>
          <w:sz w:val="32"/>
          <w:szCs w:val="32"/>
        </w:rPr>
        <w:br w:type="page"/>
      </w:r>
      <w:bookmarkStart w:id="48" w:name="_Toc535592023"/>
      <w:bookmarkStart w:id="49" w:name="_Toc18284"/>
      <w:bookmarkStart w:id="50" w:name="_Toc25500"/>
      <w:r>
        <w:rPr>
          <w:rStyle w:val="48"/>
          <w:rFonts w:hint="eastAsia"/>
          <w:b/>
          <w:bCs w:val="0"/>
          <w:sz w:val="44"/>
          <w:szCs w:val="44"/>
        </w:rPr>
        <w:t>第四章  磋商和评审</w:t>
      </w:r>
      <w:bookmarkEnd w:id="48"/>
      <w:bookmarkEnd w:id="49"/>
      <w:bookmarkEnd w:id="50"/>
    </w:p>
    <w:p>
      <w:pPr>
        <w:pStyle w:val="36"/>
        <w:spacing w:before="0" w:after="0" w:line="480" w:lineRule="exact"/>
        <w:ind w:firstLine="551" w:firstLineChars="196"/>
        <w:rPr>
          <w:rFonts w:hint="eastAsia" w:ascii="宋体" w:hAnsi="宋体" w:eastAsia="宋体" w:cs="宋体"/>
          <w:color w:val="auto"/>
          <w:sz w:val="28"/>
          <w:szCs w:val="28"/>
        </w:rPr>
      </w:pPr>
      <w:bookmarkStart w:id="51" w:name="_Toc535592024"/>
      <w:bookmarkStart w:id="52" w:name="_Toc10693"/>
      <w:bookmarkStart w:id="53" w:name="_Toc7708"/>
      <w:r>
        <w:rPr>
          <w:rFonts w:hint="eastAsia" w:ascii="宋体" w:hAnsi="宋体" w:eastAsia="宋体" w:cs="宋体"/>
          <w:color w:val="auto"/>
          <w:sz w:val="28"/>
          <w:szCs w:val="28"/>
        </w:rPr>
        <w:t>一、磋商响应文件的开启会议</w:t>
      </w:r>
      <w:bookmarkEnd w:id="51"/>
      <w:bookmarkEnd w:id="52"/>
      <w:bookmarkEnd w:id="53"/>
    </w:p>
    <w:p>
      <w:pPr>
        <w:spacing w:line="480" w:lineRule="exact"/>
        <w:ind w:firstLine="420" w:firstLineChars="150"/>
        <w:rPr>
          <w:rFonts w:ascii="宋体" w:hAnsi="宋体" w:cs="宋体"/>
          <w:sz w:val="28"/>
          <w:szCs w:val="28"/>
        </w:rPr>
      </w:pPr>
      <w:r>
        <w:rPr>
          <w:rFonts w:hint="eastAsia" w:ascii="宋体" w:hAnsi="宋体" w:cs="宋体"/>
          <w:sz w:val="28"/>
          <w:szCs w:val="28"/>
        </w:rPr>
        <w:t>（一）按照竞争性磋商公告中规定的日期、时间和地点组织竞争性磋商响应文件开启会议。</w:t>
      </w:r>
    </w:p>
    <w:p>
      <w:pPr>
        <w:spacing w:line="480" w:lineRule="exact"/>
        <w:ind w:firstLine="420" w:firstLineChars="150"/>
        <w:rPr>
          <w:rFonts w:ascii="宋体" w:hAnsi="宋体" w:cs="宋体"/>
          <w:sz w:val="28"/>
          <w:szCs w:val="28"/>
        </w:rPr>
      </w:pPr>
      <w:r>
        <w:rPr>
          <w:rFonts w:hint="eastAsia" w:ascii="宋体" w:hAnsi="宋体" w:cs="宋体"/>
          <w:sz w:val="28"/>
          <w:szCs w:val="28"/>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420" w:firstLineChars="150"/>
        <w:rPr>
          <w:rFonts w:ascii="宋体" w:hAnsi="宋体" w:cs="宋体"/>
          <w:sz w:val="28"/>
          <w:szCs w:val="28"/>
        </w:rPr>
      </w:pPr>
      <w:r>
        <w:rPr>
          <w:rFonts w:hint="eastAsia" w:ascii="宋体" w:hAnsi="宋体" w:cs="宋体"/>
          <w:sz w:val="28"/>
          <w:szCs w:val="28"/>
        </w:rPr>
        <w:t>（三）磋商响应文件开启会议中，需现场查验供应商单位法定代表人出具的《法定代表人授权书》原件、授权代表身份证明原件、并予以现场确认。</w:t>
      </w:r>
    </w:p>
    <w:p>
      <w:pPr>
        <w:spacing w:line="480" w:lineRule="exact"/>
        <w:ind w:firstLine="420" w:firstLineChars="150"/>
        <w:rPr>
          <w:rFonts w:ascii="宋体" w:hAnsi="宋体" w:cs="宋体"/>
          <w:sz w:val="28"/>
          <w:szCs w:val="28"/>
        </w:rPr>
      </w:pPr>
      <w:r>
        <w:rPr>
          <w:rFonts w:hint="eastAsia" w:ascii="宋体" w:hAnsi="宋体" w:cs="宋体"/>
          <w:sz w:val="28"/>
          <w:szCs w:val="28"/>
        </w:rPr>
        <w:t>（四）磋商响应文件开启会议中，由监督人和供应商代表检验磋商响应文件的完整性、密封性，经检查无误后由双方签字确认。</w:t>
      </w:r>
    </w:p>
    <w:p>
      <w:pPr>
        <w:pStyle w:val="36"/>
        <w:spacing w:before="0" w:after="0" w:line="480" w:lineRule="exact"/>
        <w:ind w:firstLine="551" w:firstLineChars="196"/>
        <w:rPr>
          <w:rFonts w:ascii="宋体" w:hAnsi="宋体" w:eastAsia="宋体" w:cs="宋体"/>
          <w:color w:val="auto"/>
          <w:sz w:val="28"/>
          <w:szCs w:val="28"/>
        </w:rPr>
      </w:pPr>
      <w:bookmarkStart w:id="54" w:name="_Toc464546793"/>
      <w:bookmarkStart w:id="55" w:name="_Toc30107"/>
      <w:bookmarkStart w:id="56" w:name="_Toc28031"/>
      <w:r>
        <w:rPr>
          <w:rFonts w:hint="eastAsia" w:ascii="宋体" w:hAnsi="宋体" w:eastAsia="宋体" w:cs="宋体"/>
          <w:color w:val="auto"/>
          <w:sz w:val="28"/>
          <w:szCs w:val="28"/>
        </w:rPr>
        <w:t>二、磋商小组的组成及要求</w:t>
      </w:r>
      <w:bookmarkEnd w:id="54"/>
      <w:bookmarkEnd w:id="55"/>
      <w:bookmarkEnd w:id="56"/>
    </w:p>
    <w:p>
      <w:pPr>
        <w:spacing w:line="480" w:lineRule="exact"/>
        <w:ind w:firstLine="420" w:firstLineChars="150"/>
        <w:rPr>
          <w:rFonts w:ascii="宋体" w:hAnsi="宋体" w:cs="宋体"/>
          <w:sz w:val="28"/>
          <w:szCs w:val="28"/>
        </w:rPr>
      </w:pPr>
      <w:r>
        <w:rPr>
          <w:rFonts w:hint="eastAsia" w:ascii="宋体" w:hAnsi="宋体" w:cs="宋体"/>
          <w:sz w:val="28"/>
          <w:szCs w:val="28"/>
        </w:rPr>
        <w:t>（一）磋商小组由采购人代表1人和随机抽取的评审专家2人共3人组成。磋商小组组长推举产生（采购人代表不得担任磋商小组组长）。评审专家在采购人代表的监督下，于会议前60分钟内，依法从政府采购专家库中随机抽取产生。</w:t>
      </w:r>
    </w:p>
    <w:p>
      <w:pPr>
        <w:spacing w:line="480" w:lineRule="exact"/>
        <w:ind w:firstLine="420" w:firstLineChars="150"/>
        <w:rPr>
          <w:rFonts w:ascii="宋体" w:hAnsi="宋体" w:cs="宋体"/>
          <w:sz w:val="28"/>
          <w:szCs w:val="28"/>
        </w:rPr>
      </w:pPr>
      <w:r>
        <w:rPr>
          <w:rFonts w:hint="eastAsia" w:ascii="宋体" w:hAnsi="宋体" w:cs="宋体"/>
          <w:sz w:val="28"/>
          <w:szCs w:val="28"/>
        </w:rPr>
        <w:t>（二）磋商小组成员与供应商有利害关系的，应当回避，不得进入磋商小组。</w:t>
      </w:r>
    </w:p>
    <w:p>
      <w:pPr>
        <w:spacing w:line="480" w:lineRule="exact"/>
        <w:ind w:firstLine="420" w:firstLineChars="150"/>
        <w:rPr>
          <w:rFonts w:ascii="宋体" w:hAnsi="宋体" w:cs="宋体"/>
          <w:sz w:val="28"/>
          <w:szCs w:val="28"/>
        </w:rPr>
      </w:pPr>
      <w:r>
        <w:rPr>
          <w:rFonts w:hint="eastAsia" w:ascii="宋体" w:hAnsi="宋体" w:cs="宋体"/>
          <w:sz w:val="28"/>
          <w:szCs w:val="28"/>
        </w:rPr>
        <w:t>（三）磋商小组要按照磋商文件确定的评审程序进行独立评审。若遇重大疑难问题，须集体合议的，每位评委必须充分发表意见，同时做好会议记录并签字存档备查。</w:t>
      </w:r>
    </w:p>
    <w:p>
      <w:pPr>
        <w:pStyle w:val="36"/>
        <w:spacing w:before="0" w:after="0" w:line="480" w:lineRule="exact"/>
        <w:ind w:firstLine="551" w:firstLineChars="196"/>
        <w:rPr>
          <w:rFonts w:ascii="宋体" w:hAnsi="宋体" w:eastAsia="宋体" w:cs="宋体"/>
          <w:color w:val="auto"/>
          <w:sz w:val="28"/>
          <w:szCs w:val="28"/>
        </w:rPr>
      </w:pPr>
      <w:bookmarkStart w:id="57" w:name="_Toc464546794"/>
      <w:bookmarkStart w:id="58" w:name="_Toc21414"/>
      <w:bookmarkStart w:id="59" w:name="_Toc24157"/>
      <w:r>
        <w:rPr>
          <w:rFonts w:hint="eastAsia" w:ascii="宋体" w:hAnsi="宋体" w:eastAsia="宋体" w:cs="宋体"/>
          <w:color w:val="auto"/>
          <w:sz w:val="28"/>
          <w:szCs w:val="28"/>
        </w:rPr>
        <w:t>三、磋商小组的评审依据和评审原则</w:t>
      </w:r>
      <w:bookmarkEnd w:id="57"/>
      <w:bookmarkEnd w:id="58"/>
      <w:bookmarkEnd w:id="59"/>
    </w:p>
    <w:p>
      <w:pPr>
        <w:tabs>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（一）评审依据。</w:t>
      </w:r>
      <w:r>
        <w:rPr>
          <w:rFonts w:hint="eastAsia" w:ascii="宋体" w:hAnsi="宋体" w:cs="宋体"/>
          <w:sz w:val="28"/>
          <w:szCs w:val="28"/>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（二）评审原则</w:t>
      </w:r>
    </w:p>
    <w:p>
      <w:pPr>
        <w:spacing w:line="480" w:lineRule="exact"/>
        <w:ind w:firstLine="548" w:firstLineChars="196"/>
        <w:rPr>
          <w:rFonts w:ascii="宋体" w:hAnsi="宋体" w:cs="宋体"/>
          <w:sz w:val="28"/>
          <w:szCs w:val="28"/>
        </w:rPr>
      </w:pPr>
      <w:r>
        <w:rPr>
          <w:rFonts w:hint="eastAsia" w:ascii="宋体" w:hAnsi="宋体" w:cs="宋体"/>
          <w:sz w:val="28"/>
          <w:szCs w:val="28"/>
        </w:rPr>
        <w:t>1.公开、公平、公正、效益和反不正当竞争原则。</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2.磋商小组只对符合磋商文件要求的响应文件进行评审和比较。</w:t>
      </w:r>
    </w:p>
    <w:p>
      <w:pPr>
        <w:spacing w:line="480" w:lineRule="exact"/>
        <w:ind w:firstLine="548" w:firstLineChars="196"/>
        <w:rPr>
          <w:rFonts w:ascii="宋体" w:hAnsi="宋体" w:cs="宋体"/>
          <w:sz w:val="28"/>
          <w:szCs w:val="28"/>
        </w:rPr>
      </w:pPr>
      <w:r>
        <w:rPr>
          <w:rFonts w:hint="eastAsia" w:ascii="宋体" w:hAnsi="宋体" w:cs="宋体"/>
          <w:sz w:val="28"/>
          <w:szCs w:val="28"/>
        </w:rPr>
        <w:t>3.评审在监督人的全程监督下，进行独立评审。</w:t>
      </w:r>
    </w:p>
    <w:p>
      <w:pPr>
        <w:spacing w:line="480" w:lineRule="exact"/>
        <w:ind w:firstLine="548" w:firstLineChars="196"/>
        <w:rPr>
          <w:rFonts w:ascii="宋体" w:hAnsi="宋体" w:cs="宋体"/>
          <w:sz w:val="28"/>
          <w:szCs w:val="28"/>
        </w:rPr>
      </w:pPr>
      <w:r>
        <w:rPr>
          <w:rFonts w:hint="eastAsia" w:ascii="宋体" w:hAnsi="宋体" w:cs="宋体"/>
          <w:sz w:val="28"/>
          <w:szCs w:val="28"/>
        </w:rPr>
        <w:t>4.不保证最低报价者成交。</w:t>
      </w:r>
    </w:p>
    <w:p>
      <w:pPr>
        <w:pStyle w:val="36"/>
        <w:spacing w:before="0" w:after="0" w:line="480" w:lineRule="exact"/>
        <w:ind w:firstLine="551" w:firstLineChars="196"/>
        <w:rPr>
          <w:rFonts w:ascii="宋体" w:hAnsi="宋体" w:eastAsia="宋体" w:cs="宋体"/>
          <w:color w:val="auto"/>
          <w:sz w:val="28"/>
          <w:szCs w:val="28"/>
        </w:rPr>
      </w:pPr>
      <w:bookmarkStart w:id="60" w:name="_Toc464546795"/>
      <w:bookmarkStart w:id="61" w:name="_Toc26190"/>
      <w:bookmarkStart w:id="62" w:name="_Toc7071"/>
      <w:r>
        <w:rPr>
          <w:rFonts w:hint="eastAsia" w:ascii="宋体" w:hAnsi="宋体" w:eastAsia="宋体" w:cs="宋体"/>
          <w:color w:val="auto"/>
          <w:sz w:val="28"/>
          <w:szCs w:val="28"/>
        </w:rPr>
        <w:t>四、磋商小组评审活动保密规定</w:t>
      </w:r>
      <w:bookmarkEnd w:id="60"/>
      <w:bookmarkEnd w:id="61"/>
      <w:bookmarkEnd w:id="62"/>
    </w:p>
    <w:p>
      <w:pPr>
        <w:spacing w:line="480" w:lineRule="exact"/>
        <w:ind w:firstLine="420" w:firstLineChars="150"/>
        <w:rPr>
          <w:rFonts w:ascii="宋体" w:hAnsi="宋体" w:cs="宋体"/>
          <w:sz w:val="28"/>
          <w:szCs w:val="28"/>
        </w:rPr>
      </w:pPr>
      <w:r>
        <w:rPr>
          <w:rFonts w:hint="eastAsia" w:ascii="宋体" w:hAnsi="宋体" w:cs="宋体"/>
          <w:sz w:val="28"/>
          <w:szCs w:val="28"/>
        </w:rPr>
        <w:t>（一）评审工作是磋商活动的重要环节，磋商小组成员应平等地对待所有供应商。</w:t>
      </w:r>
    </w:p>
    <w:p>
      <w:pPr>
        <w:spacing w:line="480" w:lineRule="exact"/>
        <w:ind w:firstLine="420" w:firstLineChars="150"/>
        <w:rPr>
          <w:rFonts w:ascii="宋体" w:hAnsi="宋体" w:cs="宋体"/>
          <w:sz w:val="28"/>
          <w:szCs w:val="28"/>
        </w:rPr>
      </w:pPr>
      <w:r>
        <w:rPr>
          <w:rFonts w:hint="eastAsia" w:ascii="宋体" w:hAnsi="宋体" w:cs="宋体"/>
          <w:sz w:val="28"/>
          <w:szCs w:val="28"/>
        </w:rPr>
        <w:t>（二）在评审期间，供应商不得向磋商小组询问评审情况，不得进行旨在影响评评审结果的活动，在确定成交人前，供应商不得与采购人就价格、方案等实质性内容进行磋商。</w:t>
      </w:r>
    </w:p>
    <w:p>
      <w:pPr>
        <w:spacing w:line="480" w:lineRule="exact"/>
        <w:ind w:firstLine="420" w:firstLineChars="150"/>
        <w:rPr>
          <w:rFonts w:ascii="宋体" w:hAnsi="宋体" w:cs="宋体"/>
          <w:sz w:val="28"/>
          <w:szCs w:val="28"/>
        </w:rPr>
      </w:pPr>
      <w:r>
        <w:rPr>
          <w:rFonts w:hint="eastAsia" w:ascii="宋体" w:hAnsi="宋体" w:cs="宋体"/>
          <w:sz w:val="28"/>
          <w:szCs w:val="28"/>
        </w:rPr>
        <w:t>（三）为确保公正性，在评审过程中，磋商小组成员不得与供应商私下交换意见，凡与评审情况有接触的人，不得将评审情况扩散出评委人员之外。</w:t>
      </w:r>
    </w:p>
    <w:p>
      <w:pPr>
        <w:spacing w:line="480" w:lineRule="exact"/>
        <w:ind w:firstLine="420" w:firstLineChars="150"/>
        <w:rPr>
          <w:rFonts w:ascii="宋体" w:hAnsi="宋体" w:cs="宋体"/>
          <w:sz w:val="28"/>
          <w:szCs w:val="28"/>
        </w:rPr>
      </w:pPr>
      <w:r>
        <w:rPr>
          <w:rFonts w:hint="eastAsia" w:ascii="宋体" w:hAnsi="宋体" w:cs="宋体"/>
          <w:sz w:val="28"/>
          <w:szCs w:val="28"/>
        </w:rPr>
        <w:t>（四）磋商小组不得解释未成交和成交原因，不得退还磋商响应文件。</w:t>
      </w:r>
    </w:p>
    <w:p>
      <w:pPr>
        <w:pStyle w:val="36"/>
        <w:spacing w:before="0" w:after="0" w:line="480" w:lineRule="exact"/>
        <w:ind w:firstLine="551" w:firstLineChars="196"/>
        <w:rPr>
          <w:rFonts w:ascii="宋体" w:hAnsi="宋体" w:eastAsia="宋体" w:cs="宋体"/>
          <w:color w:val="auto"/>
          <w:sz w:val="28"/>
          <w:szCs w:val="28"/>
        </w:rPr>
      </w:pPr>
      <w:bookmarkStart w:id="63" w:name="_Toc464546796"/>
      <w:bookmarkStart w:id="64" w:name="_Toc5040"/>
      <w:bookmarkStart w:id="65" w:name="_Toc28021"/>
      <w:r>
        <w:rPr>
          <w:rFonts w:hint="eastAsia" w:ascii="宋体" w:hAnsi="宋体" w:eastAsia="宋体" w:cs="宋体"/>
          <w:color w:val="auto"/>
          <w:sz w:val="28"/>
          <w:szCs w:val="28"/>
        </w:rPr>
        <w:t>五、供应商的澄清</w:t>
      </w:r>
      <w:bookmarkEnd w:id="63"/>
      <w:bookmarkEnd w:id="64"/>
      <w:bookmarkEnd w:id="65"/>
    </w:p>
    <w:p>
      <w:pPr>
        <w:spacing w:line="480" w:lineRule="exact"/>
        <w:ind w:firstLine="420" w:firstLineChars="150"/>
        <w:rPr>
          <w:rFonts w:ascii="宋体" w:hAnsi="宋体" w:cs="宋体"/>
          <w:sz w:val="28"/>
          <w:szCs w:val="28"/>
        </w:rPr>
      </w:pPr>
      <w:r>
        <w:rPr>
          <w:rFonts w:hint="eastAsia" w:ascii="宋体" w:hAnsi="宋体" w:cs="宋体"/>
          <w:sz w:val="28"/>
          <w:szCs w:val="28"/>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420" w:firstLineChars="150"/>
        <w:rPr>
          <w:rFonts w:ascii="宋体" w:hAnsi="宋体" w:cs="宋体"/>
          <w:sz w:val="28"/>
          <w:szCs w:val="28"/>
        </w:rPr>
      </w:pPr>
      <w:r>
        <w:rPr>
          <w:rFonts w:hint="eastAsia" w:ascii="宋体" w:hAnsi="宋体" w:cs="宋体"/>
          <w:sz w:val="28"/>
          <w:szCs w:val="28"/>
        </w:rPr>
        <w:t>（二）重要澄清的答复应进行书面答复，该书面答复应有法定代表人或者授权代表的签字捺印，并作为磋商响应文件的一章。</w:t>
      </w:r>
    </w:p>
    <w:p>
      <w:pPr>
        <w:spacing w:line="480" w:lineRule="exact"/>
        <w:ind w:firstLine="420" w:firstLineChars="150"/>
        <w:rPr>
          <w:rFonts w:ascii="宋体" w:hAnsi="宋体" w:cs="宋体"/>
          <w:sz w:val="28"/>
          <w:szCs w:val="28"/>
        </w:rPr>
      </w:pPr>
      <w:r>
        <w:rPr>
          <w:rFonts w:hint="eastAsia" w:ascii="宋体" w:hAnsi="宋体" w:cs="宋体"/>
          <w:sz w:val="28"/>
          <w:szCs w:val="28"/>
        </w:rPr>
        <w:t>（三）供应商对磋商响应文件的澄清不得超出磋商文件的范围或者改变磋商文件的实质性内容。</w:t>
      </w:r>
    </w:p>
    <w:p>
      <w:pPr>
        <w:pStyle w:val="36"/>
        <w:spacing w:before="0" w:after="0" w:line="480" w:lineRule="exact"/>
        <w:ind w:firstLine="551" w:firstLineChars="196"/>
        <w:rPr>
          <w:rFonts w:ascii="宋体" w:hAnsi="宋体" w:eastAsia="宋体" w:cs="宋体"/>
          <w:color w:val="auto"/>
          <w:sz w:val="28"/>
          <w:szCs w:val="28"/>
        </w:rPr>
      </w:pPr>
      <w:bookmarkStart w:id="66" w:name="_Toc464546797"/>
      <w:bookmarkStart w:id="67" w:name="_Toc22635"/>
      <w:bookmarkStart w:id="68" w:name="_Toc28564"/>
      <w:r>
        <w:rPr>
          <w:rFonts w:hint="eastAsia" w:ascii="宋体" w:hAnsi="宋体" w:eastAsia="宋体" w:cs="宋体"/>
          <w:color w:val="auto"/>
          <w:sz w:val="28"/>
          <w:szCs w:val="28"/>
        </w:rPr>
        <w:t>六、竞争性磋商采购活动的终止情形</w:t>
      </w:r>
      <w:bookmarkEnd w:id="66"/>
      <w:bookmarkEnd w:id="67"/>
      <w:bookmarkEnd w:id="68"/>
    </w:p>
    <w:p>
      <w:pPr>
        <w:spacing w:line="480" w:lineRule="exact"/>
        <w:ind w:firstLine="548" w:firstLineChars="196"/>
        <w:rPr>
          <w:rFonts w:ascii="宋体" w:hAnsi="宋体" w:cs="宋体"/>
          <w:sz w:val="28"/>
          <w:szCs w:val="28"/>
        </w:rPr>
      </w:pPr>
      <w:r>
        <w:rPr>
          <w:rFonts w:hint="eastAsia" w:ascii="宋体" w:hAnsi="宋体" w:cs="宋体"/>
          <w:sz w:val="28"/>
          <w:szCs w:val="28"/>
        </w:rPr>
        <w:t>出现下列情形之一的，采购人或者采购代理机构应当终止竞争性磋商采购活动，发布项目终止公告并说明原因，重新开展采购活动：</w:t>
      </w:r>
    </w:p>
    <w:p>
      <w:pPr>
        <w:spacing w:line="480" w:lineRule="exact"/>
        <w:ind w:firstLine="420" w:firstLineChars="150"/>
        <w:rPr>
          <w:rFonts w:ascii="宋体" w:hAnsi="宋体" w:cs="宋体"/>
          <w:sz w:val="28"/>
          <w:szCs w:val="28"/>
        </w:rPr>
      </w:pPr>
      <w:r>
        <w:rPr>
          <w:rFonts w:hint="eastAsia" w:ascii="宋体" w:hAnsi="宋体" w:cs="宋体"/>
          <w:sz w:val="28"/>
          <w:szCs w:val="28"/>
        </w:rPr>
        <w:t>（一）因情况变化，不再符合规定的竞争性磋商采购方式适用情形的；</w:t>
      </w:r>
    </w:p>
    <w:p>
      <w:pPr>
        <w:spacing w:line="480" w:lineRule="exact"/>
        <w:ind w:firstLine="420" w:firstLineChars="150"/>
        <w:rPr>
          <w:rFonts w:ascii="宋体" w:hAnsi="宋体" w:cs="宋体"/>
          <w:sz w:val="28"/>
          <w:szCs w:val="28"/>
        </w:rPr>
      </w:pPr>
      <w:r>
        <w:rPr>
          <w:rFonts w:hint="eastAsia" w:ascii="宋体" w:hAnsi="宋体" w:cs="宋体"/>
          <w:sz w:val="28"/>
          <w:szCs w:val="28"/>
        </w:rPr>
        <w:t>（二）出现影响采购公正的违法、违规行为的；</w:t>
      </w:r>
    </w:p>
    <w:p>
      <w:pPr>
        <w:spacing w:line="480" w:lineRule="exact"/>
        <w:ind w:firstLine="420" w:firstLineChars="150"/>
        <w:rPr>
          <w:rFonts w:ascii="宋体" w:hAnsi="宋体" w:cs="宋体"/>
          <w:sz w:val="28"/>
          <w:szCs w:val="28"/>
        </w:rPr>
      </w:pPr>
      <w:r>
        <w:rPr>
          <w:rFonts w:hint="eastAsia" w:ascii="宋体" w:hAnsi="宋体" w:cs="宋体"/>
          <w:sz w:val="28"/>
          <w:szCs w:val="28"/>
        </w:rPr>
        <w:t>（三）在采购过程中符合要求的供应商或者报价未超过采购预算的供应商不足3家的。</w:t>
      </w:r>
    </w:p>
    <w:p>
      <w:pPr>
        <w:pStyle w:val="36"/>
        <w:spacing w:before="0" w:after="0" w:line="480" w:lineRule="exact"/>
        <w:ind w:firstLine="551" w:firstLineChars="196"/>
        <w:rPr>
          <w:rFonts w:ascii="宋体" w:hAnsi="宋体" w:eastAsia="宋体" w:cs="宋体"/>
          <w:color w:val="auto"/>
          <w:sz w:val="28"/>
          <w:szCs w:val="28"/>
        </w:rPr>
      </w:pPr>
      <w:bookmarkStart w:id="69" w:name="_Toc464546798"/>
      <w:bookmarkStart w:id="70" w:name="_Toc27848"/>
      <w:bookmarkStart w:id="71" w:name="_Toc1282"/>
      <w:r>
        <w:rPr>
          <w:rFonts w:hint="eastAsia" w:ascii="宋体" w:hAnsi="宋体" w:eastAsia="宋体" w:cs="宋体"/>
          <w:color w:val="auto"/>
          <w:sz w:val="28"/>
          <w:szCs w:val="28"/>
        </w:rPr>
        <w:t>七、评审程序</w:t>
      </w:r>
      <w:bookmarkEnd w:id="69"/>
      <w:bookmarkEnd w:id="70"/>
      <w:bookmarkEnd w:id="71"/>
    </w:p>
    <w:p>
      <w:pPr>
        <w:pStyle w:val="36"/>
        <w:spacing w:before="0" w:after="0" w:line="480" w:lineRule="exact"/>
        <w:ind w:firstLine="548" w:firstLineChars="196"/>
        <w:rPr>
          <w:rFonts w:ascii="宋体" w:hAnsi="宋体" w:eastAsia="宋体" w:cs="宋体"/>
          <w:b w:val="0"/>
          <w:bCs w:val="0"/>
          <w:color w:val="auto"/>
          <w:sz w:val="28"/>
          <w:szCs w:val="28"/>
        </w:rPr>
      </w:pPr>
      <w:bookmarkStart w:id="72" w:name="_Toc27766"/>
      <w:bookmarkStart w:id="73" w:name="_Toc10561"/>
      <w:r>
        <w:rPr>
          <w:rFonts w:hint="eastAsia" w:ascii="宋体" w:hAnsi="宋体" w:eastAsia="宋体" w:cs="宋体"/>
          <w:b w:val="0"/>
          <w:bCs w:val="0"/>
          <w:color w:val="auto"/>
          <w:sz w:val="28"/>
          <w:szCs w:val="28"/>
        </w:rPr>
        <w:t>评标遵循须下列评审工作程序：</w:t>
      </w:r>
      <w:bookmarkEnd w:id="72"/>
      <w:bookmarkEnd w:id="73"/>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（一）磋商小组进行资格性审查</w:t>
      </w:r>
    </w:p>
    <w:p>
      <w:pPr>
        <w:spacing w:line="480" w:lineRule="exact"/>
        <w:ind w:firstLine="548" w:firstLineChars="196"/>
        <w:rPr>
          <w:rFonts w:ascii="宋体" w:hAnsi="宋体" w:cs="宋体"/>
          <w:sz w:val="28"/>
          <w:szCs w:val="28"/>
        </w:rPr>
      </w:pPr>
      <w:r>
        <w:rPr>
          <w:rFonts w:hint="eastAsia" w:ascii="宋体" w:hAnsi="宋体" w:cs="宋体"/>
          <w:sz w:val="28"/>
          <w:szCs w:val="28"/>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560" w:firstLineChars="200"/>
        <w:rPr>
          <w:rFonts w:ascii="宋体" w:hAnsi="宋体" w:cs="宋体"/>
          <w:sz w:val="28"/>
          <w:szCs w:val="28"/>
        </w:rPr>
      </w:pPr>
      <w:r>
        <w:rPr>
          <w:rFonts w:hint="eastAsia" w:ascii="宋体" w:hAnsi="宋体" w:cs="宋体"/>
          <w:sz w:val="28"/>
          <w:szCs w:val="28"/>
        </w:rPr>
        <w:t>查验以下资格性文件，若缺项或不符，资格审查不予通过。</w:t>
      </w:r>
    </w:p>
    <w:tbl>
      <w:tblPr>
        <w:tblStyle w:val="19"/>
        <w:tblW w:w="0" w:type="auto"/>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r>
              <w:rPr>
                <w:rFonts w:hint="eastAsia" w:ascii="宋体" w:hAnsi="宋体" w:eastAsia="宋体" w:cs="宋体"/>
                <w:bCs/>
                <w:color w:val="000000"/>
                <w:kern w:val="0"/>
                <w:sz w:val="24"/>
                <w:szCs w:val="24"/>
                <w:lang w:val="en-US" w:eastAsia="zh-CN"/>
              </w:rPr>
              <w:t>20</w:t>
            </w:r>
            <w:r>
              <w:rPr>
                <w:rFonts w:hint="eastAsia" w:ascii="宋体" w:hAnsi="宋体" w:eastAsia="宋体" w:cs="宋体"/>
                <w:bCs/>
                <w:color w:val="000000"/>
                <w:kern w:val="0"/>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2021年9月至2022年2月（其中任意一个月）</w:t>
            </w:r>
            <w:r>
              <w:rPr>
                <w:rFonts w:hint="eastAsia" w:ascii="宋体" w:hAnsi="宋体" w:eastAsia="宋体" w:cs="宋体"/>
                <w:bCs/>
                <w:color w:val="000000"/>
                <w:kern w:val="0"/>
                <w:sz w:val="24"/>
                <w:szCs w:val="24"/>
              </w:rPr>
              <w:t>依法缴纳税收(免税单位除外，须提供税务部门开具的免税证明)和社会保障资金(免</w:t>
            </w:r>
            <w:r>
              <w:rPr>
                <w:rFonts w:hint="eastAsia" w:ascii="宋体" w:hAnsi="宋体" w:eastAsia="宋体" w:cs="宋体"/>
                <w:bCs/>
                <w:color w:val="000000"/>
                <w:kern w:val="0"/>
                <w:sz w:val="24"/>
                <w:szCs w:val="24"/>
                <w:lang w:val="en-US" w:eastAsia="zh-CN"/>
              </w:rPr>
              <w:t>缴社会保障资金</w:t>
            </w:r>
            <w:r>
              <w:rPr>
                <w:rFonts w:hint="eastAsia" w:ascii="宋体" w:hAnsi="宋体" w:eastAsia="宋体" w:cs="宋体"/>
                <w:bCs/>
                <w:color w:val="000000"/>
                <w:kern w:val="0"/>
                <w:sz w:val="24"/>
                <w:szCs w:val="24"/>
              </w:rPr>
              <w:t>单位除外，须提供</w:t>
            </w:r>
            <w:r>
              <w:rPr>
                <w:rFonts w:hint="eastAsia" w:ascii="宋体" w:hAnsi="宋体" w:eastAsia="宋体" w:cs="宋体"/>
                <w:bCs/>
                <w:color w:val="000000"/>
                <w:kern w:val="0"/>
                <w:sz w:val="24"/>
                <w:szCs w:val="24"/>
                <w:lang w:val="en-US" w:eastAsia="zh-CN"/>
              </w:rPr>
              <w:t>社保</w:t>
            </w:r>
            <w:r>
              <w:rPr>
                <w:rFonts w:hint="eastAsia" w:ascii="宋体" w:hAnsi="宋体" w:eastAsia="宋体" w:cs="宋体"/>
                <w:bCs/>
                <w:color w:val="000000"/>
                <w:kern w:val="0"/>
                <w:sz w:val="24"/>
                <w:szCs w:val="24"/>
              </w:rPr>
              <w:t>部门开具的免</w:t>
            </w:r>
            <w:r>
              <w:rPr>
                <w:rFonts w:hint="eastAsia" w:ascii="宋体" w:hAnsi="宋体" w:eastAsia="宋体" w:cs="宋体"/>
                <w:bCs/>
                <w:color w:val="000000"/>
                <w:kern w:val="0"/>
                <w:sz w:val="24"/>
                <w:szCs w:val="24"/>
                <w:lang w:val="en-US" w:eastAsia="zh-CN"/>
              </w:rPr>
              <w:t>缴</w:t>
            </w:r>
            <w:r>
              <w:rPr>
                <w:rFonts w:hint="eastAsia" w:ascii="宋体" w:hAnsi="宋体" w:eastAsia="宋体" w:cs="宋体"/>
                <w:bCs/>
                <w:color w:val="000000"/>
                <w:kern w:val="0"/>
                <w:sz w:val="24"/>
                <w:szCs w:val="24"/>
              </w:rPr>
              <w:t>证明)的证明材料；</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参加政府采购活动前3年内，在经营活动中没有重大违法记录的书面声明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"http://www.creditchina.gov.cn/"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www.creditchina.gov.cn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）、中国政府采购网（</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"http://www.ccgp.gov.cn/"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www.ccgp.gov.cn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ascii="宋体" w:hAnsi="宋体" w:cs="宋体"/>
          <w:b/>
          <w:bCs/>
          <w:sz w:val="28"/>
          <w:szCs w:val="28"/>
        </w:rPr>
      </w:pPr>
      <w:r>
        <w:rPr>
          <w:rFonts w:hint="eastAsia" w:ascii="宋体" w:hAnsi="宋体" w:cs="宋体"/>
          <w:b/>
          <w:bCs/>
          <w:sz w:val="28"/>
          <w:szCs w:val="28"/>
        </w:rPr>
        <w:t>供应商提供的资格证明文件必须真实可靠、不得仿造，复印件必须加盖供应商的</w:t>
      </w:r>
      <w:r>
        <w:rPr>
          <w:rFonts w:hint="eastAsia" w:ascii="宋体" w:hAnsi="宋体" w:cs="宋体"/>
          <w:b/>
          <w:bCs/>
          <w:sz w:val="28"/>
          <w:szCs w:val="28"/>
          <w:lang w:val="en-US" w:eastAsia="zh-CN"/>
        </w:rPr>
        <w:t>公</w:t>
      </w:r>
      <w:r>
        <w:rPr>
          <w:rFonts w:hint="eastAsia" w:ascii="宋体" w:hAnsi="宋体" w:cs="宋体"/>
          <w:b/>
          <w:bCs/>
          <w:sz w:val="28"/>
          <w:szCs w:val="28"/>
        </w:rPr>
        <w:t>章，证明资料只用放在响应文件中，不需另外单独提供。</w:t>
      </w:r>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（二）磋商小组进行符合性审查</w:t>
      </w:r>
    </w:p>
    <w:p>
      <w:pPr>
        <w:spacing w:line="480" w:lineRule="exact"/>
        <w:ind w:firstLine="548" w:firstLineChars="196"/>
        <w:rPr>
          <w:rFonts w:ascii="宋体" w:hAnsi="宋体" w:cs="宋体"/>
          <w:sz w:val="28"/>
          <w:szCs w:val="28"/>
        </w:rPr>
      </w:pPr>
      <w:r>
        <w:rPr>
          <w:rFonts w:hint="eastAsia" w:ascii="宋体" w:hAnsi="宋体" w:cs="宋体"/>
          <w:sz w:val="28"/>
          <w:szCs w:val="28"/>
        </w:rPr>
        <w:t>在详细评标之前,磋商小组要审查每份投标文件是否实质上响应了磋商文件的要求。供应商有下列情形之一的,其投标将被视为无效投标:</w:t>
      </w:r>
    </w:p>
    <w:tbl>
      <w:tblPr>
        <w:tblStyle w:val="19"/>
        <w:tblW w:w="8660" w:type="dxa"/>
        <w:tblInd w:w="0" w:type="dxa"/>
        <w:tblLayout w:type="fixed"/>
        <w:tblCellMar>
          <w:top w:w="15" w:type="dxa"/>
          <w:left w:w="15" w:type="dxa"/>
          <w:bottom w:w="15" w:type="dxa"/>
          <w:right w:w="15" w:type="dxa"/>
        </w:tblCellMar>
      </w:tblPr>
      <w:tblGrid>
        <w:gridCol w:w="862"/>
        <w:gridCol w:w="7798"/>
      </w:tblGrid>
      <w:tr>
        <w:tblPrEx>
          <w:tblCellMar>
            <w:top w:w="15" w:type="dxa"/>
            <w:left w:w="15" w:type="dxa"/>
            <w:bottom w:w="15" w:type="dxa"/>
            <w:right w:w="15" w:type="dxa"/>
          </w:tblCellMar>
        </w:tblPrEx>
        <w:trPr>
          <w:trHeight w:val="393" w:hRule="atLeast"/>
        </w:trPr>
        <w:tc>
          <w:tcPr>
            <w:tcW w:w="8660" w:type="dxa"/>
            <w:gridSpan w:val="2"/>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24"/>
              </w:rPr>
              <w:t>符合性审查表</w:t>
            </w:r>
          </w:p>
        </w:tc>
      </w:tr>
      <w:tr>
        <w:tblPrEx>
          <w:tblCellMar>
            <w:top w:w="15" w:type="dxa"/>
            <w:left w:w="15" w:type="dxa"/>
            <w:bottom w:w="15" w:type="dxa"/>
            <w:right w:w="15" w:type="dxa"/>
          </w:tblCellMar>
        </w:tblPrEx>
        <w:trPr>
          <w:trHeight w:val="463" w:hRule="atLeast"/>
        </w:trPr>
        <w:tc>
          <w:tcPr>
            <w:tcW w:w="862" w:type="dxa"/>
            <w:tcBorders>
              <w:top w:val="single" w:color="000000" w:sz="4" w:space="0"/>
              <w:left w:val="single" w:color="000000" w:sz="4" w:space="0"/>
              <w:bottom w:val="single" w:color="000000" w:sz="4" w:space="0"/>
              <w:right w:val="single" w:color="auto"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序号</w:t>
            </w:r>
          </w:p>
        </w:tc>
        <w:tc>
          <w:tcPr>
            <w:tcW w:w="7798" w:type="dxa"/>
            <w:tcBorders>
              <w:top w:val="single" w:color="000000" w:sz="4" w:space="0"/>
              <w:left w:val="single" w:color="auto"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条目</w:t>
            </w:r>
          </w:p>
        </w:tc>
      </w:tr>
      <w:tr>
        <w:tblPrEx>
          <w:tblCellMar>
            <w:top w:w="15" w:type="dxa"/>
            <w:left w:w="15" w:type="dxa"/>
            <w:bottom w:w="15" w:type="dxa"/>
            <w:right w:w="15" w:type="dxa"/>
          </w:tblCellMar>
        </w:tblPrEx>
        <w:trPr>
          <w:trHeight w:val="462" w:hRule="atLeast"/>
        </w:trPr>
        <w:tc>
          <w:tcPr>
            <w:tcW w:w="862" w:type="dxa"/>
            <w:tcBorders>
              <w:top w:val="single" w:color="000000"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1</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投标总报价超过项目预算金额或最高限价的；</w:t>
            </w:r>
          </w:p>
        </w:tc>
      </w:tr>
      <w:tr>
        <w:tblPrEx>
          <w:tblCellMar>
            <w:top w:w="15" w:type="dxa"/>
            <w:left w:w="15" w:type="dxa"/>
            <w:bottom w:w="15" w:type="dxa"/>
            <w:right w:w="15" w:type="dxa"/>
          </w:tblCellMar>
        </w:tblPrEx>
        <w:trPr>
          <w:trHeight w:val="354"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2</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《磋商申请书》未提供或不符合磋商文件要求的；</w:t>
            </w:r>
          </w:p>
        </w:tc>
      </w:tr>
      <w:tr>
        <w:tblPrEx>
          <w:tblCellMar>
            <w:top w:w="15" w:type="dxa"/>
            <w:left w:w="15" w:type="dxa"/>
            <w:bottom w:w="15" w:type="dxa"/>
            <w:right w:w="15" w:type="dxa"/>
          </w:tblCellMar>
        </w:tblPrEx>
        <w:trPr>
          <w:trHeight w:val="38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3</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《报价表》未提供或不符合磋商文件要求的；</w:t>
            </w:r>
          </w:p>
        </w:tc>
      </w:tr>
      <w:tr>
        <w:tblPrEx>
          <w:tblCellMar>
            <w:top w:w="15" w:type="dxa"/>
            <w:left w:w="15" w:type="dxa"/>
            <w:bottom w:w="15" w:type="dxa"/>
            <w:right w:w="15" w:type="dxa"/>
          </w:tblCellMar>
        </w:tblPrEx>
        <w:trPr>
          <w:trHeight w:val="423"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4</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出现两个或两个以上投标方案的（磋商文件中要求提供备选方案的除外）；</w:t>
            </w:r>
          </w:p>
        </w:tc>
      </w:tr>
      <w:tr>
        <w:tblPrEx>
          <w:tblCellMar>
            <w:top w:w="15" w:type="dxa"/>
            <w:left w:w="15" w:type="dxa"/>
            <w:bottom w:w="15" w:type="dxa"/>
            <w:right w:w="15" w:type="dxa"/>
          </w:tblCellMar>
        </w:tblPrEx>
        <w:trPr>
          <w:trHeight w:val="357"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5</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投标有效期不足的；</w:t>
            </w:r>
          </w:p>
        </w:tc>
      </w:tr>
      <w:tr>
        <w:tblPrEx>
          <w:tblCellMar>
            <w:top w:w="15" w:type="dxa"/>
            <w:left w:w="15" w:type="dxa"/>
            <w:bottom w:w="15" w:type="dxa"/>
            <w:right w:w="15" w:type="dxa"/>
          </w:tblCellMar>
        </w:tblPrEx>
        <w:trPr>
          <w:trHeight w:val="51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6</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响应文件的数量、签署、装订不符合磋商文件第三部分“供应商须知”中相关规定的；</w:t>
            </w:r>
          </w:p>
        </w:tc>
      </w:tr>
      <w:tr>
        <w:tblPrEx>
          <w:tblCellMar>
            <w:top w:w="15" w:type="dxa"/>
            <w:left w:w="15" w:type="dxa"/>
            <w:bottom w:w="15" w:type="dxa"/>
            <w:right w:w="15" w:type="dxa"/>
          </w:tblCellMar>
        </w:tblPrEx>
        <w:trPr>
          <w:trHeight w:val="286"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7</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含有采购人不能接受的附加条件的；</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lang w:val="en-US" w:eastAsia="zh-CN"/>
              </w:rPr>
              <w:t>8</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交货时间、地点及质保期</w:t>
            </w:r>
            <w:r>
              <w:rPr>
                <w:rFonts w:hint="eastAsia" w:ascii="宋体" w:hAnsi="宋体" w:cs="宋体"/>
                <w:bCs/>
                <w:color w:val="000000"/>
                <w:kern w:val="0"/>
                <w:sz w:val="24"/>
              </w:rPr>
              <w:t>不</w:t>
            </w:r>
            <w:r>
              <w:rPr>
                <w:rFonts w:hint="eastAsia" w:ascii="宋体" w:hAnsi="宋体" w:cs="宋体"/>
                <w:bCs/>
                <w:color w:val="000000"/>
                <w:kern w:val="0"/>
                <w:sz w:val="24"/>
                <w:szCs w:val="24"/>
                <w:lang w:val="en-US" w:eastAsia="zh-CN" w:bidi="ar-SA"/>
              </w:rPr>
              <w:t>符合磋商文件第二章的要求；</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default" w:ascii="宋体" w:hAnsi="宋体" w:cs="宋体"/>
                <w:b/>
                <w:color w:val="000000"/>
                <w:kern w:val="0"/>
                <w:sz w:val="24"/>
                <w:lang w:val="en-US" w:eastAsia="zh-CN"/>
              </w:rPr>
            </w:pPr>
            <w:r>
              <w:rPr>
                <w:rFonts w:hint="eastAsia" w:ascii="宋体" w:hAnsi="宋体" w:cs="宋体"/>
                <w:b/>
                <w:color w:val="000000"/>
                <w:kern w:val="0"/>
                <w:sz w:val="24"/>
                <w:lang w:val="en-US" w:eastAsia="zh-CN"/>
              </w:rPr>
              <w:t>9</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法律、法规的其他无效情形</w:t>
            </w:r>
            <w:r>
              <w:rPr>
                <w:rFonts w:hint="eastAsia" w:ascii="宋体" w:hAnsi="宋体" w:cs="宋体"/>
                <w:bCs/>
                <w:color w:val="000000"/>
                <w:kern w:val="0"/>
                <w:sz w:val="24"/>
                <w:lang w:val="en-US" w:eastAsia="zh-CN"/>
              </w:rPr>
              <w:t>和不符合</w:t>
            </w:r>
            <w:r>
              <w:rPr>
                <w:rFonts w:hint="eastAsia" w:ascii="宋体" w:hAnsi="宋体" w:cs="宋体"/>
                <w:bCs/>
                <w:color w:val="000000"/>
                <w:kern w:val="0"/>
                <w:sz w:val="24"/>
              </w:rPr>
              <w:t>磋商文件规定</w:t>
            </w:r>
            <w:r>
              <w:rPr>
                <w:rFonts w:hint="eastAsia" w:ascii="宋体" w:hAnsi="宋体" w:eastAsia="宋体" w:cs="宋体"/>
                <w:bCs/>
                <w:color w:val="000000"/>
                <w:kern w:val="0"/>
                <w:sz w:val="24"/>
                <w:szCs w:val="24"/>
                <w:lang w:val="en-US" w:eastAsia="zh-CN" w:bidi="ar-SA"/>
              </w:rPr>
              <w:t>的其它实质性条款</w:t>
            </w:r>
            <w:r>
              <w:rPr>
                <w:rFonts w:hint="eastAsia" w:ascii="宋体" w:hAnsi="宋体" w:cs="宋体"/>
                <w:bCs/>
                <w:color w:val="000000"/>
                <w:kern w:val="0"/>
                <w:sz w:val="24"/>
              </w:rPr>
              <w:t>。</w:t>
            </w:r>
          </w:p>
        </w:tc>
      </w:tr>
    </w:tbl>
    <w:p>
      <w:pPr>
        <w:tabs>
          <w:tab w:val="left" w:pos="615"/>
        </w:tabs>
        <w:spacing w:line="480" w:lineRule="exact"/>
        <w:ind w:firstLine="413" w:firstLineChars="147"/>
        <w:rPr>
          <w:rFonts w:ascii="宋体" w:hAnsi="宋体" w:cs="宋体"/>
          <w:sz w:val="28"/>
          <w:szCs w:val="28"/>
        </w:rPr>
      </w:pPr>
      <w:r>
        <w:rPr>
          <w:rFonts w:hint="eastAsia" w:ascii="宋体" w:hAnsi="宋体" w:cs="宋体"/>
          <w:b/>
          <w:sz w:val="28"/>
          <w:szCs w:val="28"/>
        </w:rPr>
        <w:t>（三）磋商</w:t>
      </w:r>
    </w:p>
    <w:p>
      <w:pPr>
        <w:spacing w:line="480" w:lineRule="exact"/>
        <w:ind w:firstLine="548" w:firstLineChars="196"/>
        <w:rPr>
          <w:rFonts w:ascii="宋体" w:hAnsi="宋体" w:cs="宋体"/>
          <w:sz w:val="28"/>
          <w:szCs w:val="28"/>
        </w:rPr>
      </w:pPr>
      <w:r>
        <w:rPr>
          <w:rFonts w:hint="eastAsia" w:ascii="宋体" w:hAnsi="宋体" w:cs="宋体"/>
          <w:sz w:val="28"/>
          <w:szCs w:val="28"/>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48" w:firstLineChars="196"/>
        <w:rPr>
          <w:rFonts w:ascii="宋体" w:hAnsi="宋体" w:cs="宋体"/>
          <w:sz w:val="28"/>
          <w:szCs w:val="28"/>
        </w:rPr>
      </w:pPr>
      <w:r>
        <w:rPr>
          <w:rFonts w:hint="eastAsia" w:ascii="宋体" w:hAnsi="宋体" w:cs="宋体"/>
          <w:sz w:val="28"/>
          <w:szCs w:val="28"/>
        </w:rPr>
        <w:t>3.磋商小组所有成员应当集中与单一供应商分别进行磋商，并给予所有参加磋商的供应商平等的磋商机会。</w:t>
      </w:r>
    </w:p>
    <w:p>
      <w:pPr>
        <w:spacing w:line="480" w:lineRule="exact"/>
        <w:ind w:firstLine="548" w:firstLineChars="196"/>
        <w:rPr>
          <w:rFonts w:ascii="宋体" w:hAnsi="宋体" w:cs="宋体"/>
          <w:sz w:val="28"/>
          <w:szCs w:val="28"/>
        </w:rPr>
      </w:pPr>
      <w:r>
        <w:rPr>
          <w:rFonts w:hint="eastAsia" w:ascii="宋体" w:hAnsi="宋体" w:cs="宋体"/>
          <w:sz w:val="28"/>
          <w:szCs w:val="28"/>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548" w:firstLineChars="196"/>
        <w:rPr>
          <w:rFonts w:ascii="宋体" w:hAnsi="宋体" w:cs="宋体"/>
          <w:sz w:val="28"/>
          <w:szCs w:val="28"/>
        </w:rPr>
      </w:pPr>
      <w:r>
        <w:rPr>
          <w:rFonts w:hint="eastAsia" w:ascii="宋体" w:hAnsi="宋体" w:cs="宋体"/>
          <w:sz w:val="28"/>
          <w:szCs w:val="28"/>
        </w:rPr>
        <w:t>5.对磋商文件作出的实质性变动是磋商文件的有效组成章，磋商小组应当及时以书面形式同时通知所有参加磋商的供应商。</w:t>
      </w:r>
    </w:p>
    <w:p>
      <w:pPr>
        <w:spacing w:line="480" w:lineRule="exact"/>
        <w:ind w:firstLine="548" w:firstLineChars="196"/>
        <w:rPr>
          <w:rFonts w:ascii="宋体" w:hAnsi="宋体" w:cs="宋体"/>
          <w:sz w:val="28"/>
          <w:szCs w:val="28"/>
        </w:rPr>
      </w:pPr>
      <w:r>
        <w:rPr>
          <w:rFonts w:hint="eastAsia" w:ascii="宋体" w:hAnsi="宋体" w:cs="宋体"/>
          <w:sz w:val="28"/>
          <w:szCs w:val="28"/>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413" w:firstLineChars="147"/>
        <w:jc w:val="left"/>
        <w:rPr>
          <w:rFonts w:ascii="宋体" w:hAnsi="宋体" w:cs="宋体"/>
          <w:b/>
          <w:kern w:val="0"/>
          <w:sz w:val="28"/>
          <w:szCs w:val="28"/>
        </w:rPr>
      </w:pPr>
      <w:r>
        <w:rPr>
          <w:rFonts w:hint="eastAsia" w:ascii="宋体" w:hAnsi="宋体" w:cs="宋体"/>
          <w:b/>
          <w:kern w:val="0"/>
          <w:sz w:val="28"/>
          <w:szCs w:val="28"/>
        </w:rPr>
        <w:t>（四）最后报价</w:t>
      </w:r>
    </w:p>
    <w:p>
      <w:pPr>
        <w:spacing w:line="480" w:lineRule="exact"/>
        <w:ind w:firstLine="548" w:firstLineChars="196"/>
        <w:rPr>
          <w:rFonts w:ascii="宋体" w:hAnsi="宋体" w:cs="宋体"/>
          <w:sz w:val="28"/>
          <w:szCs w:val="28"/>
        </w:rPr>
      </w:pPr>
      <w:bookmarkStart w:id="74" w:name="_Toc464546799"/>
      <w:r>
        <w:rPr>
          <w:rFonts w:hint="eastAsia" w:ascii="宋体" w:hAnsi="宋体" w:cs="宋体"/>
          <w:sz w:val="28"/>
          <w:szCs w:val="28"/>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548" w:firstLineChars="196"/>
        <w:rPr>
          <w:rFonts w:ascii="宋体" w:hAnsi="宋体" w:cs="宋体"/>
          <w:sz w:val="28"/>
          <w:szCs w:val="28"/>
        </w:rPr>
      </w:pPr>
      <w:r>
        <w:rPr>
          <w:rFonts w:hint="eastAsia" w:ascii="宋体" w:hAnsi="宋体" w:cs="宋体"/>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548" w:firstLineChars="196"/>
        <w:rPr>
          <w:rFonts w:ascii="宋体" w:hAnsi="宋体" w:cs="宋体"/>
          <w:sz w:val="28"/>
          <w:szCs w:val="28"/>
        </w:rPr>
      </w:pPr>
      <w:r>
        <w:rPr>
          <w:rFonts w:hint="eastAsia" w:ascii="宋体" w:hAnsi="宋体" w:cs="宋体"/>
          <w:sz w:val="28"/>
          <w:szCs w:val="28"/>
        </w:rPr>
        <w:t>3.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pStyle w:val="36"/>
        <w:spacing w:before="0" w:after="0" w:line="480" w:lineRule="exact"/>
        <w:ind w:firstLine="551" w:firstLineChars="196"/>
        <w:rPr>
          <w:rFonts w:ascii="宋体" w:hAnsi="宋体" w:eastAsia="宋体" w:cs="宋体"/>
          <w:color w:val="auto"/>
          <w:sz w:val="28"/>
          <w:szCs w:val="28"/>
        </w:rPr>
      </w:pPr>
      <w:bookmarkStart w:id="75" w:name="_Toc18891"/>
      <w:bookmarkStart w:id="76" w:name="_Toc10013"/>
      <w:r>
        <w:rPr>
          <w:rFonts w:hint="eastAsia" w:ascii="宋体" w:hAnsi="宋体" w:eastAsia="宋体" w:cs="宋体"/>
          <w:color w:val="auto"/>
          <w:sz w:val="28"/>
          <w:szCs w:val="28"/>
        </w:rPr>
        <w:t>八、评审办法</w:t>
      </w:r>
      <w:bookmarkEnd w:id="74"/>
      <w:bookmarkEnd w:id="75"/>
      <w:bookmarkEnd w:id="76"/>
    </w:p>
    <w:p>
      <w:pPr>
        <w:tabs>
          <w:tab w:val="left" w:pos="3420"/>
        </w:tabs>
        <w:spacing w:line="480" w:lineRule="exact"/>
        <w:ind w:firstLine="548" w:firstLineChars="196"/>
        <w:rPr>
          <w:rFonts w:ascii="宋体" w:hAnsi="宋体" w:cs="宋体"/>
          <w:sz w:val="28"/>
          <w:szCs w:val="28"/>
        </w:rPr>
      </w:pPr>
      <w:bookmarkStart w:id="77" w:name="_Toc464546800"/>
      <w:r>
        <w:rPr>
          <w:rFonts w:hint="eastAsia" w:ascii="宋体" w:hAnsi="宋体" w:cs="宋体"/>
          <w:sz w:val="28"/>
          <w:szCs w:val="28"/>
        </w:rPr>
        <w:t>本项目评审采用“百分制综合评分法”进行评审，以得分从高到底进行排序，按照排序第一位的供应商为成交供应商的原则，确定成交供应商。</w:t>
      </w:r>
    </w:p>
    <w:p>
      <w:pPr>
        <w:pStyle w:val="36"/>
        <w:spacing w:before="0" w:after="0" w:line="480" w:lineRule="exact"/>
        <w:ind w:firstLine="551" w:firstLineChars="196"/>
        <w:rPr>
          <w:rFonts w:ascii="宋体" w:hAnsi="宋体" w:eastAsia="宋体" w:cs="宋体"/>
          <w:color w:val="auto"/>
          <w:sz w:val="28"/>
          <w:szCs w:val="28"/>
        </w:rPr>
      </w:pPr>
      <w:bookmarkStart w:id="78" w:name="_Toc9369"/>
      <w:bookmarkStart w:id="79" w:name="_Toc25906"/>
      <w:r>
        <w:rPr>
          <w:rFonts w:hint="eastAsia" w:ascii="宋体" w:hAnsi="宋体" w:eastAsia="宋体" w:cs="宋体"/>
          <w:color w:val="auto"/>
          <w:sz w:val="28"/>
          <w:szCs w:val="28"/>
        </w:rPr>
        <w:t>九、评审标准</w:t>
      </w:r>
      <w:bookmarkEnd w:id="77"/>
      <w:bookmarkEnd w:id="78"/>
      <w:bookmarkEnd w:id="79"/>
    </w:p>
    <w:p>
      <w:pPr>
        <w:spacing w:line="480" w:lineRule="exact"/>
        <w:ind w:firstLine="548" w:firstLineChars="196"/>
        <w:rPr>
          <w:rFonts w:ascii="宋体" w:hAnsi="宋体" w:cs="宋体"/>
          <w:sz w:val="28"/>
          <w:szCs w:val="28"/>
        </w:rPr>
      </w:pPr>
      <w:r>
        <w:rPr>
          <w:rFonts w:hint="eastAsia" w:ascii="宋体" w:hAnsi="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tabs>
          <w:tab w:val="left" w:pos="930"/>
        </w:tabs>
        <w:spacing w:line="480" w:lineRule="exact"/>
        <w:ind w:firstLine="562" w:firstLineChars="200"/>
        <w:rPr>
          <w:rFonts w:ascii="宋体" w:hAnsi="宋体" w:cs="宋体"/>
          <w:b/>
          <w:sz w:val="28"/>
          <w:szCs w:val="28"/>
        </w:rPr>
      </w:pPr>
      <w:r>
        <w:rPr>
          <w:rFonts w:hint="eastAsia" w:ascii="宋体" w:hAnsi="宋体" w:cs="宋体"/>
          <w:b/>
          <w:bCs/>
          <w:sz w:val="28"/>
          <w:szCs w:val="28"/>
        </w:rPr>
        <w:t>（一）评分标准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 1.本项目评审因素及分值设置如下</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（1）价格评议（满分30分）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（2）商务评议（满分</w:t>
      </w:r>
      <w:r>
        <w:rPr>
          <w:rFonts w:hint="eastAsia" w:ascii="宋体" w:hAnsi="宋体" w:cs="宋体"/>
          <w:sz w:val="28"/>
          <w:szCs w:val="28"/>
          <w:lang w:val="en-US" w:eastAsia="zh-CN"/>
        </w:rPr>
        <w:t>20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（3）技术评议（满分</w:t>
      </w:r>
      <w:r>
        <w:rPr>
          <w:rFonts w:hint="eastAsia" w:ascii="宋体" w:hAnsi="宋体" w:cs="宋体"/>
          <w:sz w:val="28"/>
          <w:szCs w:val="28"/>
          <w:lang w:val="en-US" w:eastAsia="zh-CN"/>
        </w:rPr>
        <w:t>50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2.投标报价的评标采用低价优先法计算（此项评分由工作人员按照公式计算，并将计算结果交给每位评委计入总分）。 </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3.评分时，分值保留小数点后二位，小数点后第三位四舍五入。所有评审因素得分之和为评委评分，所有评委评分之和的算术平均值为供应商的最终得分。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sz w:val="28"/>
          <w:szCs w:val="28"/>
        </w:rPr>
        <w:t>4.专家按“评分细则”规定的标准进行现场打分，须在评分表上注明扣分理由</w:t>
      </w:r>
      <w:r>
        <w:rPr>
          <w:rFonts w:hint="eastAsia" w:ascii="宋体" w:hAnsi="宋体" w:cs="宋体"/>
          <w:color w:val="auto"/>
          <w:sz w:val="28"/>
          <w:szCs w:val="28"/>
        </w:rPr>
        <w:t>。</w:t>
      </w:r>
    </w:p>
    <w:p>
      <w:pPr>
        <w:tabs>
          <w:tab w:val="left" w:pos="615"/>
        </w:tabs>
        <w:spacing w:line="480" w:lineRule="exac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 xml:space="preserve"> （二）评分细则</w:t>
      </w:r>
    </w:p>
    <w:tbl>
      <w:tblPr>
        <w:tblStyle w:val="19"/>
        <w:tblpPr w:leftFromText="180" w:rightFromText="180" w:vertAnchor="text" w:horzAnchor="page" w:tblpXSpec="center" w:tblpY="308"/>
        <w:tblOverlap w:val="never"/>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60"/>
        <w:gridCol w:w="70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noWrap w:val="0"/>
            <w:vAlign w:val="center"/>
          </w:tcPr>
          <w:p>
            <w:pPr>
              <w:pStyle w:val="46"/>
              <w:bidi w:val="0"/>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bookmarkStart w:id="80" w:name="_Toc13587072"/>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评标项目</w:t>
            </w:r>
          </w:p>
        </w:tc>
        <w:tc>
          <w:tcPr>
            <w:tcW w:w="960"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w:t>
            </w:r>
          </w:p>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分项</w:t>
            </w:r>
          </w:p>
        </w:tc>
        <w:tc>
          <w:tcPr>
            <w:tcW w:w="705"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分值</w:t>
            </w:r>
          </w:p>
        </w:tc>
        <w:tc>
          <w:tcPr>
            <w:tcW w:w="7304"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64"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得分</w:t>
            </w:r>
          </w:p>
        </w:tc>
        <w:tc>
          <w:tcPr>
            <w:tcW w:w="705"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7304" w:type="dxa"/>
            <w:noWrap w:val="0"/>
            <w:vAlign w:val="center"/>
          </w:tcPr>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评标委员会只对符合性审查合格的投标文件进行价格评议，报价分采用低价优先法计算</w:t>
            </w:r>
            <w:r>
              <w:rPr>
                <w:rFonts w:hint="eastAsia" w:ascii="宋体" w:hAnsi="宋体" w:eastAsia="宋体" w:cs="宋体"/>
                <w:b/>
                <w:bCs/>
                <w:color w:val="000000" w:themeColor="text1"/>
                <w:sz w:val="24"/>
                <w:szCs w:val="24"/>
                <w:lang w:val="zh-CN" w:bidi="zh-CN"/>
                <w14:textFill>
                  <w14:solidFill>
                    <w14:schemeClr w14:val="tx1"/>
                  </w14:solidFill>
                </w14:textFill>
              </w:rPr>
              <w:t>（落实政府采购政策进行价格调整的，以调整后的价格计算）</w:t>
            </w:r>
            <w:r>
              <w:rPr>
                <w:rFonts w:hint="eastAsia" w:ascii="宋体" w:hAnsi="宋体" w:eastAsia="宋体" w:cs="宋体"/>
                <w:color w:val="000000" w:themeColor="text1"/>
                <w:sz w:val="24"/>
                <w:szCs w:val="24"/>
                <w:lang w:val="zh-CN" w:bidi="zh-CN"/>
                <w14:textFill>
                  <w14:solidFill>
                    <w14:schemeClr w14:val="tx1"/>
                  </w14:solidFill>
                </w14:textFill>
              </w:rPr>
              <w:t>，即满足招标文件要求且投标价格最低的投标报价为评标基准价，其价格分为满分。其他</w:t>
            </w:r>
            <w:r>
              <w:rPr>
                <w:rFonts w:hint="eastAsia" w:ascii="宋体" w:hAnsi="宋体" w:cs="宋体"/>
                <w:color w:val="000000" w:themeColor="text1"/>
                <w:sz w:val="24"/>
                <w:szCs w:val="24"/>
                <w:lang w:val="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的价格分按照下列公式计算：报价得分=(评标基准价／投标报价)×</w:t>
            </w:r>
            <w:r>
              <w:rPr>
                <w:rFonts w:hint="eastAsia" w:ascii="宋体" w:hAnsi="宋体" w:eastAsia="宋体" w:cs="宋体"/>
                <w:color w:val="000000" w:themeColor="text1"/>
                <w:sz w:val="24"/>
                <w:szCs w:val="24"/>
                <w:lang w:val="en-US" w:bidi="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简介</w:t>
            </w:r>
          </w:p>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05" w:type="dxa"/>
            <w:noWrap w:val="0"/>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供应商企业简介说明（基本情况、经营状况、内部管理制度等）评委根据供应商企业简介说明是否详细、详尽，条理是否清晰等情况，按下列标准之一得分：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①内容详细，条理清晰得</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②内容基本详细，条理一般得</w:t>
            </w: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③内容不够详细得，没条理得</w:t>
            </w:r>
            <w:r>
              <w:rPr>
                <w:rFonts w:hint="eastAsia" w:ascii="宋体" w:hAnsi="宋体" w:eastAsia="宋体" w:cs="宋体"/>
                <w:color w:val="000000" w:themeColor="text1"/>
                <w:sz w:val="24"/>
                <w:szCs w:val="24"/>
                <w:lang w:val="en-US" w:bidi="zh-CN"/>
                <w14:textFill>
                  <w14:solidFill>
                    <w14:schemeClr w14:val="tx1"/>
                  </w14:solidFill>
                </w14:textFill>
              </w:rPr>
              <w:t>0.5</w:t>
            </w:r>
            <w:r>
              <w:rPr>
                <w:rFonts w:hint="eastAsia" w:ascii="宋体" w:hAnsi="宋体" w:eastAsia="宋体" w:cs="宋体"/>
                <w:color w:val="000000" w:themeColor="text1"/>
                <w:sz w:val="24"/>
                <w:szCs w:val="24"/>
                <w:lang w:val="zh-CN" w:bidi="zh-CN"/>
                <w14:textFill>
                  <w14:solidFill>
                    <w14:schemeClr w14:val="tx1"/>
                  </w14:solidFill>
                </w14:textFill>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bookmarkStart w:id="81" w:name="_Toc50973310"/>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业绩</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自20</w:t>
            </w:r>
            <w:r>
              <w:rPr>
                <w:rFonts w:hint="eastAsia" w:ascii="宋体" w:hAnsi="宋体" w:eastAsia="宋体" w:cs="宋体"/>
                <w:color w:val="000000" w:themeColor="text1"/>
                <w:sz w:val="24"/>
                <w:szCs w:val="24"/>
                <w:lang w:val="en-US" w:eastAsia="zh-CN" w:bidi="zh-CN"/>
                <w14:textFill>
                  <w14:solidFill>
                    <w14:schemeClr w14:val="tx1"/>
                  </w14:solidFill>
                </w14:textFill>
              </w:rPr>
              <w:t>20</w:t>
            </w:r>
            <w:r>
              <w:rPr>
                <w:rFonts w:hint="eastAsia" w:ascii="宋体" w:hAnsi="宋体" w:eastAsia="宋体" w:cs="宋体"/>
                <w:color w:val="000000" w:themeColor="text1"/>
                <w:sz w:val="24"/>
                <w:szCs w:val="24"/>
                <w:lang w:val="zh-CN" w:bidi="zh-CN"/>
                <w14:textFill>
                  <w14:solidFill>
                    <w14:schemeClr w14:val="tx1"/>
                  </w14:solidFill>
                </w14:textFill>
              </w:rPr>
              <w:t>年1月1日以来承接过类似项目的</w:t>
            </w:r>
            <w:r>
              <w:rPr>
                <w:rFonts w:hint="eastAsia" w:ascii="宋体" w:hAnsi="宋体" w:eastAsia="宋体" w:cs="宋体"/>
                <w:color w:val="000000" w:themeColor="text1"/>
                <w:sz w:val="24"/>
                <w:szCs w:val="24"/>
                <w:lang w:val="en-US" w:eastAsia="zh-CN" w:bidi="zh-CN"/>
                <w14:textFill>
                  <w14:solidFill>
                    <w14:schemeClr w14:val="tx1"/>
                  </w14:solidFill>
                </w14:textFill>
              </w:rPr>
              <w:t>，每提供一个的得1.5分；</w:t>
            </w:r>
            <w:r>
              <w:rPr>
                <w:rFonts w:hint="eastAsia" w:ascii="宋体" w:hAnsi="宋体" w:eastAsia="宋体" w:cs="宋体"/>
                <w:color w:val="000000" w:themeColor="text1"/>
                <w:sz w:val="24"/>
                <w:szCs w:val="24"/>
                <w:lang w:val="zh-CN" w:bidi="zh-CN"/>
                <w14:textFill>
                  <w14:solidFill>
                    <w14:schemeClr w14:val="tx1"/>
                  </w14:solidFill>
                </w14:textFill>
              </w:rPr>
              <w:t>最高得</w:t>
            </w:r>
            <w:r>
              <w:rPr>
                <w:rFonts w:hint="eastAsia" w:ascii="宋体" w:hAnsi="宋体" w:eastAsia="宋体" w:cs="宋体"/>
                <w:color w:val="000000" w:themeColor="text1"/>
                <w:sz w:val="24"/>
                <w:szCs w:val="24"/>
                <w:lang w:val="en-US" w:eastAsia="zh-CN"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分（没有提供的不得分，以提供的中标通知书或合同清晰复印件为评分依据。）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质量</w:t>
            </w:r>
          </w:p>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保障</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提供国家认可的第三方检测机构出具的针对所投产品（电梯）的检测报告得</w:t>
            </w:r>
            <w:r>
              <w:rPr>
                <w:rFonts w:hint="eastAsia" w:ascii="宋体" w:hAnsi="宋体" w:eastAsia="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分，没有提供检测报告的不得分。（提供</w:t>
            </w:r>
            <w:r>
              <w:rPr>
                <w:rFonts w:hint="eastAsia" w:ascii="宋体" w:hAnsi="宋体" w:eastAsia="宋体" w:cs="宋体"/>
                <w:color w:val="000000" w:themeColor="text1"/>
                <w:sz w:val="24"/>
                <w:szCs w:val="24"/>
                <w:lang w:val="en-US" w:bidi="zh-CN"/>
                <w14:textFill>
                  <w14:solidFill>
                    <w14:schemeClr w14:val="tx1"/>
                  </w14:solidFill>
                </w14:textFill>
              </w:rPr>
              <w:t>检验报告</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供应商所投</w:t>
            </w:r>
            <w:r>
              <w:rPr>
                <w:rFonts w:hint="eastAsia" w:ascii="宋体" w:hAnsi="宋体" w:cs="宋体"/>
                <w:color w:val="000000" w:themeColor="text1"/>
                <w:sz w:val="24"/>
                <w:szCs w:val="24"/>
                <w:lang w:val="en-US" w:eastAsia="zh-CN" w:bidi="zh-CN"/>
                <w14:textFill>
                  <w14:solidFill>
                    <w14:schemeClr w14:val="tx1"/>
                  </w14:solidFill>
                </w14:textFill>
              </w:rPr>
              <w:t>产品</w:t>
            </w:r>
            <w:r>
              <w:rPr>
                <w:rFonts w:hint="eastAsia" w:ascii="宋体" w:hAnsi="宋体" w:eastAsia="宋体" w:cs="宋体"/>
                <w:color w:val="000000" w:themeColor="text1"/>
                <w:sz w:val="24"/>
                <w:szCs w:val="24"/>
                <w:lang w:val="en-US" w:eastAsia="zh-CN" w:bidi="zh-CN"/>
                <w14:textFill>
                  <w14:solidFill>
                    <w14:schemeClr w14:val="tx1"/>
                  </w14:solidFill>
                </w14:textFill>
              </w:rPr>
              <w:t>制造商</w:t>
            </w:r>
            <w:r>
              <w:rPr>
                <w:rFonts w:hint="eastAsia" w:ascii="宋体" w:hAnsi="宋体" w:cs="宋体"/>
                <w:color w:val="000000" w:themeColor="text1"/>
                <w:sz w:val="24"/>
                <w:szCs w:val="24"/>
                <w:lang w:val="en-US" w:eastAsia="zh-CN" w:bidi="zh-CN"/>
                <w14:textFill>
                  <w14:solidFill>
                    <w14:schemeClr w14:val="tx1"/>
                  </w14:solidFill>
                </w14:textFill>
              </w:rPr>
              <w:t>同时</w:t>
            </w:r>
            <w:r>
              <w:rPr>
                <w:rFonts w:hint="eastAsia" w:ascii="宋体" w:hAnsi="宋体" w:eastAsia="宋体" w:cs="宋体"/>
                <w:color w:val="000000" w:themeColor="text1"/>
                <w:sz w:val="24"/>
                <w:szCs w:val="24"/>
                <w:lang w:val="en-US" w:eastAsia="zh-CN" w:bidi="zh-CN"/>
                <w14:textFill>
                  <w14:solidFill>
                    <w14:schemeClr w14:val="tx1"/>
                  </w14:solidFill>
                </w14:textFill>
              </w:rPr>
              <w:t>具有</w:t>
            </w:r>
            <w:r>
              <w:rPr>
                <w:rFonts w:hint="eastAsia" w:ascii="宋体" w:hAnsi="宋体" w:cs="宋体"/>
                <w:color w:val="000000" w:themeColor="text1"/>
                <w:sz w:val="24"/>
                <w:szCs w:val="24"/>
                <w:lang w:val="en-US" w:eastAsia="zh-CN" w:bidi="zh-CN"/>
                <w14:textFill>
                  <w14:solidFill>
                    <w14:schemeClr w14:val="tx1"/>
                  </w14:solidFill>
                </w14:textFill>
              </w:rPr>
              <w:t>有效期内的</w:t>
            </w:r>
            <w:r>
              <w:rPr>
                <w:rFonts w:hint="eastAsia" w:ascii="宋体" w:hAnsi="宋体" w:eastAsia="宋体" w:cs="宋体"/>
                <w:color w:val="000000" w:themeColor="text1"/>
                <w:sz w:val="24"/>
                <w:szCs w:val="24"/>
                <w:lang w:val="en-US" w:eastAsia="zh-CN" w:bidi="zh-CN"/>
                <w14:textFill>
                  <w14:solidFill>
                    <w14:schemeClr w14:val="tx1"/>
                  </w14:solidFill>
                </w14:textFill>
              </w:rPr>
              <w:t>质量管理体系认证证书、环境管理体系认证证书、职业健康安全管理体系认证证书</w:t>
            </w:r>
            <w:r>
              <w:rPr>
                <w:rFonts w:hint="eastAsia" w:ascii="宋体" w:hAnsi="宋体" w:cs="宋体"/>
                <w:color w:val="000000" w:themeColor="text1"/>
                <w:sz w:val="24"/>
                <w:szCs w:val="24"/>
                <w:lang w:val="en-US" w:eastAsia="zh-CN" w:bidi="zh-CN"/>
                <w14:textFill>
                  <w14:solidFill>
                    <w14:schemeClr w14:val="tx1"/>
                  </w14:solidFill>
                </w14:textFill>
              </w:rPr>
              <w:t>的</w:t>
            </w:r>
            <w:r>
              <w:rPr>
                <w:rFonts w:hint="eastAsia" w:ascii="宋体" w:hAnsi="宋体" w:eastAsia="宋体" w:cs="宋体"/>
                <w:color w:val="000000" w:themeColor="text1"/>
                <w:sz w:val="24"/>
                <w:szCs w:val="24"/>
                <w:lang w:val="en-US" w:eastAsia="zh-CN" w:bidi="zh-CN"/>
                <w14:textFill>
                  <w14:solidFill>
                    <w14:schemeClr w14:val="tx1"/>
                  </w14:solidFill>
                </w14:textFill>
              </w:rPr>
              <w:t>得</w:t>
            </w: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分，</w:t>
            </w:r>
            <w:r>
              <w:rPr>
                <w:rFonts w:hint="eastAsia" w:ascii="宋体" w:hAnsi="宋体" w:cs="宋体"/>
                <w:color w:val="000000" w:themeColor="text1"/>
                <w:sz w:val="24"/>
                <w:szCs w:val="24"/>
                <w:lang w:val="en-US" w:eastAsia="zh-CN" w:bidi="zh-CN"/>
                <w14:textFill>
                  <w14:solidFill>
                    <w14:schemeClr w14:val="tx1"/>
                  </w14:solidFill>
                </w14:textFill>
              </w:rPr>
              <w:t>缺项或不提供的不得分</w:t>
            </w:r>
            <w:r>
              <w:rPr>
                <w:rFonts w:hint="eastAsia" w:ascii="宋体" w:hAnsi="宋体" w:eastAsia="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（提供</w:t>
            </w:r>
            <w:r>
              <w:rPr>
                <w:rFonts w:hint="eastAsia" w:ascii="宋体" w:hAnsi="宋体" w:cs="宋体"/>
                <w:color w:val="000000" w:themeColor="text1"/>
                <w:sz w:val="24"/>
                <w:szCs w:val="24"/>
                <w:lang w:val="en-US" w:bidi="zh-CN"/>
                <w14:textFill>
                  <w14:solidFill>
                    <w14:schemeClr w14:val="tx1"/>
                  </w14:solidFill>
                </w14:textFill>
              </w:rPr>
              <w:t>证书</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服务</w:t>
            </w:r>
          </w:p>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承诺</w:t>
            </w:r>
          </w:p>
        </w:tc>
        <w:tc>
          <w:tcPr>
            <w:tcW w:w="705"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提供产品质量承诺、供货时间承诺、售后服务承诺及违约责任措施，按服务承诺的明确性、双方权责的清晰性、保障措施的内容详尽、科学的得6分，基本科学、合理的得4分，合理性一般的得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响应文件编制</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7304" w:type="dxa"/>
            <w:noWrap w:val="0"/>
            <w:vAlign w:val="center"/>
          </w:tcPr>
          <w:p>
            <w:pPr>
              <w:keepNext w:val="0"/>
              <w:keepLines w:val="0"/>
              <w:widowControl/>
              <w:suppressLineNumbers w:val="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按照磋商文件规定的顺序装订的得1分并且有目录、页码，目录与页码相符的得1分，否则不得分。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w:t>
            </w:r>
            <w:bookmarkEnd w:id="81"/>
          </w:p>
          <w:p>
            <w:pPr>
              <w:jc w:val="center"/>
              <w:rPr>
                <w:rFonts w:hint="eastAsia" w:ascii="宋体" w:hAnsi="宋体" w:eastAsia="宋体" w:cs="宋体"/>
                <w:color w:val="000000" w:themeColor="text1"/>
                <w:kern w:val="0"/>
                <w:sz w:val="24"/>
                <w:szCs w:val="24"/>
                <w14:textFill>
                  <w14:solidFill>
                    <w14:schemeClr w14:val="tx1"/>
                  </w14:solidFill>
                </w14:textFill>
              </w:rPr>
            </w:pPr>
            <w:bookmarkStart w:id="82" w:name="_Toc50973311"/>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分）</w:t>
            </w:r>
            <w:bookmarkEnd w:id="82"/>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产品参数及质量要求</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w:t>
            </w:r>
          </w:p>
        </w:tc>
        <w:tc>
          <w:tcPr>
            <w:tcW w:w="7304" w:type="dxa"/>
            <w:noWrap w:val="0"/>
            <w:vAlign w:val="center"/>
          </w:tcPr>
          <w:p>
            <w:pP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在响应文件《技术</w:t>
            </w:r>
            <w:r>
              <w:rPr>
                <w:rFonts w:hint="eastAsia" w:ascii="宋体" w:hAnsi="宋体" w:cs="宋体"/>
                <w:color w:val="000000" w:themeColor="text1"/>
                <w:spacing w:val="-5"/>
                <w:sz w:val="24"/>
                <w:szCs w:val="24"/>
                <w:highlight w:val="none"/>
                <w:lang w:val="en-US" w:eastAsia="zh-CN"/>
                <w14:textFill>
                  <w14:solidFill>
                    <w14:schemeClr w14:val="tx1"/>
                  </w14:solidFill>
                </w14:textFill>
              </w:rPr>
              <w:t>参数</w:t>
            </w:r>
            <w:r>
              <w:rPr>
                <w:rFonts w:hint="eastAsia" w:ascii="宋体" w:hAnsi="宋体" w:eastAsia="宋体" w:cs="宋体"/>
                <w:color w:val="000000" w:themeColor="text1"/>
                <w:spacing w:val="-5"/>
                <w:sz w:val="24"/>
                <w:szCs w:val="24"/>
                <w:highlight w:val="none"/>
                <w14:textFill>
                  <w14:solidFill>
                    <w14:schemeClr w14:val="tx1"/>
                  </w14:solidFill>
                </w14:textFill>
              </w:rPr>
              <w:t>响应、偏离说明表》中对应所投产品逐条进行响应描述或偏离说明，完全满足或优于响应文件要求的得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5"/>
                <w:sz w:val="24"/>
                <w:szCs w:val="24"/>
                <w:highlight w:val="none"/>
                <w14:textFill>
                  <w14:solidFill>
                    <w14:schemeClr w14:val="tx1"/>
                  </w14:solidFill>
                </w14:textFill>
              </w:rPr>
              <w:t>分，技术参数每负偏离一项扣</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14:textFill>
                  <w14:solidFill>
                    <w14:schemeClr w14:val="tx1"/>
                  </w14:solidFill>
                </w14:textFill>
              </w:rPr>
              <w:t>分。扣完为止。</w:t>
            </w:r>
            <w:r>
              <w:rPr>
                <w:rFonts w:hint="eastAsia" w:ascii="宋体" w:hAnsi="宋体" w:eastAsia="宋体" w:cs="宋体"/>
                <w:b/>
                <w:bCs/>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参数优于的须提供说明或</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相关</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官方手册</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加以说明</w:t>
            </w:r>
            <w:r>
              <w:rPr>
                <w:rFonts w:hint="eastAsia" w:ascii="宋体" w:hAnsi="宋体" w:eastAsia="宋体" w:cs="宋体"/>
                <w:b/>
                <w:bCs/>
                <w:color w:val="000000" w:themeColor="text1"/>
                <w:spacing w:val="-5"/>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安装及调试方案</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根据技术人员的配置、服务流程及</w:t>
            </w:r>
            <w:r>
              <w:rPr>
                <w:rFonts w:hint="eastAsia" w:ascii="宋体" w:hAnsi="宋体" w:cs="宋体"/>
                <w:color w:val="000000" w:themeColor="text1"/>
                <w:spacing w:val="-5"/>
                <w:sz w:val="24"/>
                <w:szCs w:val="24"/>
                <w:highlight w:val="none"/>
                <w:lang w:val="en-US" w:eastAsia="zh-CN"/>
                <w14:textFill>
                  <w14:solidFill>
                    <w14:schemeClr w14:val="tx1"/>
                  </w14:solidFill>
                </w14:textFill>
              </w:rPr>
              <w:t>调试</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情况</w:t>
            </w:r>
            <w:r>
              <w:rPr>
                <w:rFonts w:hint="eastAsia" w:ascii="宋体" w:hAnsi="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方案详尽、科学的得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分。没有安装及调试方案的不得分。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售后服务方案</w:t>
            </w:r>
          </w:p>
        </w:tc>
        <w:tc>
          <w:tcPr>
            <w:tcW w:w="705"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提供对本项目的售后服务方案，包括人员的配备、备品备件、日常维护、产品故障维修的处理措施的及时性等。根据方案的全面、科学的得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进度保障措施</w:t>
            </w:r>
          </w:p>
        </w:tc>
        <w:tc>
          <w:tcPr>
            <w:tcW w:w="705"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根据供应商提供的进度保证措施，进行评价：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安全保障措施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根据供应商提供的安全保证措施，进行评价：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bookmarkEnd w:id="80"/>
    </w:tbl>
    <w:p>
      <w:pPr>
        <w:tabs>
          <w:tab w:val="left" w:pos="930"/>
        </w:tabs>
        <w:spacing w:line="480" w:lineRule="exact"/>
        <w:ind w:firstLine="413" w:firstLineChars="147"/>
        <w:rPr>
          <w:rFonts w:hint="eastAsia" w:ascii="宋体" w:hAnsi="宋体" w:cs="宋体"/>
          <w:b/>
          <w:bCs/>
          <w:color w:val="auto"/>
          <w:sz w:val="28"/>
          <w:szCs w:val="28"/>
        </w:rPr>
      </w:pPr>
      <w:r>
        <w:rPr>
          <w:rFonts w:hint="eastAsia" w:ascii="宋体" w:hAnsi="宋体" w:cs="宋体"/>
          <w:b/>
          <w:bCs/>
          <w:color w:val="auto"/>
          <w:sz w:val="28"/>
          <w:szCs w:val="28"/>
        </w:rPr>
        <w:t>（三）评比打分</w:t>
      </w:r>
    </w:p>
    <w:p>
      <w:pPr>
        <w:tabs>
          <w:tab w:val="left" w:pos="930"/>
        </w:tabs>
        <w:spacing w:line="480" w:lineRule="exact"/>
        <w:ind w:firstLine="411" w:firstLineChars="147"/>
        <w:rPr>
          <w:rFonts w:hint="eastAsia" w:ascii="宋体" w:hAnsi="宋体" w:cs="宋体"/>
          <w:color w:val="auto"/>
          <w:sz w:val="28"/>
          <w:szCs w:val="28"/>
        </w:rPr>
      </w:pPr>
      <w:r>
        <w:rPr>
          <w:rFonts w:hint="eastAsia" w:ascii="宋体" w:hAnsi="宋体" w:cs="宋体"/>
          <w:color w:val="auto"/>
          <w:sz w:val="28"/>
          <w:szCs w:val="28"/>
        </w:rPr>
        <w:t>磋商小组将只对实质上符合招标文件规定的投标文件按评分细则进行评价和比较。</w:t>
      </w:r>
    </w:p>
    <w:p>
      <w:pPr>
        <w:tabs>
          <w:tab w:val="left" w:pos="930"/>
        </w:tabs>
        <w:spacing w:line="480" w:lineRule="exact"/>
        <w:ind w:firstLine="413" w:firstLineChars="147"/>
        <w:rPr>
          <w:rFonts w:hint="eastAsia" w:ascii="宋体" w:hAnsi="宋体" w:cs="宋体"/>
          <w:color w:val="auto"/>
          <w:sz w:val="28"/>
          <w:szCs w:val="28"/>
        </w:rPr>
      </w:pPr>
      <w:r>
        <w:rPr>
          <w:rFonts w:hint="eastAsia" w:ascii="宋体" w:hAnsi="宋体" w:cs="宋体"/>
          <w:b/>
          <w:bCs/>
          <w:color w:val="auto"/>
          <w:sz w:val="28"/>
          <w:szCs w:val="28"/>
        </w:rPr>
        <w:t>（四）编写评标报告，推荐中标候选人</w:t>
      </w:r>
    </w:p>
    <w:p>
      <w:pPr>
        <w:tabs>
          <w:tab w:val="left" w:pos="930"/>
        </w:tabs>
        <w:spacing w:line="480" w:lineRule="exact"/>
        <w:rPr>
          <w:rFonts w:hint="eastAsia" w:ascii="宋体" w:hAnsi="宋体" w:cs="宋体"/>
          <w:color w:val="auto"/>
          <w:spacing w:val="-20"/>
          <w:sz w:val="28"/>
          <w:szCs w:val="28"/>
        </w:rPr>
      </w:pPr>
      <w:r>
        <w:rPr>
          <w:rFonts w:hint="eastAsia" w:ascii="宋体" w:hAnsi="宋体" w:cs="宋体"/>
          <w:color w:val="auto"/>
          <w:spacing w:val="-20"/>
          <w:sz w:val="28"/>
          <w:szCs w:val="28"/>
        </w:rPr>
        <w:t xml:space="preserve">   </w:t>
      </w:r>
      <w:r>
        <w:rPr>
          <w:rFonts w:hint="eastAsia" w:ascii="宋体" w:hAnsi="宋体" w:cs="宋体"/>
          <w:color w:val="auto"/>
          <w:sz w:val="28"/>
          <w:szCs w:val="28"/>
        </w:rPr>
        <w:t>磋商小组应当根据综合评分情况，按照评审得分由高到低顺序（评审得分相同的，按照最后报价由低到高的顺序确定，评审得分且最后报价相同的，按照技术指标优劣顺序确定）确定3名中标候选人，并编写评审报告。</w:t>
      </w:r>
    </w:p>
    <w:p>
      <w:pPr>
        <w:tabs>
          <w:tab w:val="left" w:pos="930"/>
        </w:tabs>
        <w:spacing w:line="480" w:lineRule="exact"/>
        <w:rPr>
          <w:rFonts w:hint="eastAsia" w:ascii="宋体" w:hAnsi="宋体" w:cs="宋体"/>
          <w:color w:val="auto"/>
          <w:spacing w:val="-20"/>
          <w:sz w:val="32"/>
          <w:szCs w:val="32"/>
        </w:rPr>
      </w:pPr>
    </w:p>
    <w:p>
      <w:pPr>
        <w:pStyle w:val="4"/>
        <w:bidi w:val="0"/>
        <w:jc w:val="center"/>
        <w:rPr>
          <w:rFonts w:hint="eastAsia"/>
        </w:rPr>
      </w:pPr>
      <w:bookmarkStart w:id="83" w:name="_Toc535592034"/>
    </w:p>
    <w:p>
      <w:pPr>
        <w:pStyle w:val="4"/>
        <w:bidi w:val="0"/>
        <w:jc w:val="cente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bidi w:val="0"/>
        <w:jc w:val="center"/>
        <w:rPr>
          <w:rFonts w:hint="eastAsia"/>
        </w:rPr>
      </w:pPr>
    </w:p>
    <w:p>
      <w:pPr>
        <w:pStyle w:val="4"/>
        <w:bidi w:val="0"/>
        <w:jc w:val="center"/>
        <w:rPr>
          <w:rFonts w:hint="eastAsia"/>
          <w:lang w:val="zh-CN"/>
        </w:rPr>
      </w:pPr>
      <w:bookmarkStart w:id="84" w:name="_Toc25595"/>
      <w:bookmarkStart w:id="85" w:name="_Toc23972"/>
      <w:r>
        <w:rPr>
          <w:rFonts w:hint="eastAsia"/>
          <w:sz w:val="44"/>
          <w:szCs w:val="44"/>
        </w:rPr>
        <w:t>第五章  政府采购合同（样本）</w:t>
      </w:r>
      <w:bookmarkEnd w:id="83"/>
      <w:bookmarkEnd w:id="84"/>
      <w:bookmarkEnd w:id="85"/>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合同编号:[20</w:t>
      </w:r>
      <w:r>
        <w:rPr>
          <w:rFonts w:hint="eastAsia" w:ascii="宋体" w:hAnsi="宋体" w:cs="宋体"/>
          <w:color w:val="auto"/>
          <w:kern w:val="0"/>
          <w:sz w:val="28"/>
          <w:lang w:val="en-US" w:eastAsia="zh-CN"/>
        </w:rPr>
        <w:t>22</w:t>
      </w:r>
      <w:r>
        <w:rPr>
          <w:rFonts w:hint="eastAsia" w:ascii="宋体" w:hAnsi="宋体" w:cs="宋体"/>
          <w:color w:val="auto"/>
          <w:kern w:val="0"/>
          <w:sz w:val="28"/>
          <w:lang w:val="zh-CN"/>
        </w:rPr>
        <w:t>]×××</w:t>
      </w:r>
    </w:p>
    <w:p>
      <w:pPr>
        <w:autoSpaceDE w:val="0"/>
        <w:autoSpaceDN w:val="0"/>
        <w:adjustRightInd w:val="0"/>
        <w:spacing w:line="480" w:lineRule="exact"/>
        <w:jc w:val="left"/>
        <w:rPr>
          <w:rFonts w:hint="default" w:ascii="宋体" w:hAnsi="宋体" w:eastAsia="宋体" w:cs="宋体"/>
          <w:color w:val="auto"/>
          <w:kern w:val="0"/>
          <w:sz w:val="28"/>
          <w:lang w:val="en-US" w:eastAsia="zh-CN"/>
        </w:rPr>
      </w:pPr>
      <w:r>
        <w:rPr>
          <w:rFonts w:hint="eastAsia" w:ascii="宋体" w:hAnsi="宋体" w:cs="宋体"/>
          <w:color w:val="auto"/>
          <w:kern w:val="0"/>
          <w:sz w:val="28"/>
          <w:lang w:val="zh-CN"/>
        </w:rPr>
        <w:t>磋商文件编号:</w:t>
      </w:r>
      <w:r>
        <w:rPr>
          <w:rFonts w:hint="eastAsia" w:ascii="宋体" w:hAnsi="宋体" w:cs="宋体"/>
          <w:color w:val="auto"/>
          <w:kern w:val="0"/>
          <w:sz w:val="28"/>
          <w:lang w:val="en-US" w:eastAsia="zh-CN"/>
        </w:rPr>
        <w:t>XXXXXX</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采购方：（以下简称甲方）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供货方：（以下简称乙方）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具体事宜由采购人与中标人协商签订。根据《中华人民共和国政府采购法》第四十七条“政府采购项目的采购合同自签订之日起七个工作日内，采购人应当将合同副本报同级政府采购监督管理部门和有关部门备案”。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本合同一式肆份，甲、乙方双方各持一份，采购代理机构和县政府采购办各备案一份。</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甲方：                       乙方：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地址：                       地址：</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法定代表人：                 法定代表人：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委托代理人：                 委托代理人：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电话：                       电话：</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开户银行：                   开户银行：</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账号：                       账号：</w:t>
      </w:r>
    </w:p>
    <w:p>
      <w:pPr>
        <w:autoSpaceDE w:val="0"/>
        <w:autoSpaceDN w:val="0"/>
        <w:adjustRightInd w:val="0"/>
        <w:spacing w:line="480" w:lineRule="exact"/>
        <w:jc w:val="left"/>
        <w:rPr>
          <w:rFonts w:hint="eastAsia" w:ascii="宋体" w:hAnsi="宋体" w:cs="宋体"/>
          <w:color w:val="auto"/>
          <w:kern w:val="0"/>
          <w:sz w:val="32"/>
          <w:szCs w:val="32"/>
          <w:lang w:val="zh-CN"/>
        </w:rPr>
      </w:pPr>
      <w:r>
        <w:rPr>
          <w:rFonts w:hint="eastAsia" w:ascii="宋体" w:hAnsi="宋体" w:cs="宋体"/>
          <w:color w:val="auto"/>
          <w:kern w:val="0"/>
          <w:sz w:val="32"/>
          <w:szCs w:val="32"/>
          <w:lang w:val="zh-CN"/>
        </w:rPr>
        <w:t>签约时间：   年  月  日</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rPr>
          <w:rFonts w:hint="eastAsia" w:ascii="宋体" w:hAnsi="宋体" w:eastAsia="宋体" w:cs="宋体"/>
          <w:color w:val="auto"/>
        </w:rPr>
      </w:pPr>
      <w:bookmarkStart w:id="86" w:name="_Toc535592035"/>
      <w:r>
        <w:rPr>
          <w:rFonts w:hint="eastAsia" w:ascii="宋体" w:hAnsi="宋体" w:eastAsia="宋体" w:cs="宋体"/>
          <w:color w:val="auto"/>
        </w:rPr>
        <w:br w:type="page"/>
      </w:r>
    </w:p>
    <w:p>
      <w:pPr>
        <w:pStyle w:val="4"/>
        <w:bidi w:val="0"/>
        <w:jc w:val="center"/>
        <w:rPr>
          <w:rFonts w:hint="eastAsia"/>
          <w:b/>
          <w:bCs w:val="0"/>
          <w:sz w:val="44"/>
          <w:szCs w:val="44"/>
        </w:rPr>
      </w:pPr>
      <w:bookmarkStart w:id="87" w:name="_Toc32229"/>
      <w:bookmarkStart w:id="88" w:name="_Toc3885"/>
      <w:r>
        <w:rPr>
          <w:rFonts w:hint="eastAsia"/>
          <w:b/>
          <w:bCs w:val="0"/>
          <w:sz w:val="44"/>
          <w:szCs w:val="44"/>
        </w:rPr>
        <w:t>第六章  响应文件编制格式</w:t>
      </w:r>
      <w:bookmarkEnd w:id="86"/>
      <w:bookmarkEnd w:id="87"/>
      <w:bookmarkEnd w:id="88"/>
    </w:p>
    <w:p>
      <w:pPr>
        <w:spacing w:line="480" w:lineRule="exact"/>
        <w:ind w:firstLine="551" w:firstLineChars="196"/>
        <w:rPr>
          <w:rFonts w:hint="eastAsia" w:ascii="宋体" w:hAnsi="宋体" w:cs="宋体"/>
          <w:color w:val="auto"/>
          <w:sz w:val="28"/>
          <w:szCs w:val="28"/>
        </w:rPr>
      </w:pPr>
      <w:r>
        <w:rPr>
          <w:rFonts w:hint="eastAsia" w:ascii="宋体" w:hAnsi="宋体" w:cs="宋体"/>
          <w:b/>
          <w:bCs/>
          <w:color w:val="auto"/>
          <w:sz w:val="28"/>
          <w:szCs w:val="28"/>
        </w:rPr>
        <w:t>为了便于磋商小组评审，供应商编制并提交的响应文件应该按照以下要求和顺序进行制作装订,响应文件应编写页码顺序号</w:t>
      </w:r>
      <w:r>
        <w:rPr>
          <w:rFonts w:hint="eastAsia" w:ascii="宋体" w:hAnsi="宋体" w:cs="宋体"/>
          <w:bCs/>
          <w:color w:val="auto"/>
          <w:sz w:val="28"/>
          <w:szCs w:val="28"/>
        </w:rPr>
        <w:t>。</w:t>
      </w:r>
      <w:r>
        <w:rPr>
          <w:rFonts w:hint="eastAsia" w:ascii="宋体" w:hAnsi="宋体" w:cs="宋体"/>
          <w:color w:val="auto"/>
          <w:sz w:val="28"/>
          <w:szCs w:val="28"/>
        </w:rPr>
        <w:t>否则，可能导致扣分。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磋商申请人携带与本次招标有关的所有相关证件，以供现场备查。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1.响应文件目录</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2.响应文件封面（式样见附件1）</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3.磋商申请书（式样见附件2）</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4.法定代表人身份证明（式样见附件3）、法定代表人授权书（式样见附件</w:t>
      </w:r>
      <w:r>
        <w:rPr>
          <w:rFonts w:hint="eastAsia" w:ascii="宋体" w:hAnsi="宋体" w:cs="宋体"/>
          <w:color w:val="auto"/>
          <w:sz w:val="28"/>
          <w:szCs w:val="28"/>
          <w:lang w:val="en-US" w:eastAsia="zh-CN"/>
        </w:rPr>
        <w:t>4</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5.参加政府采购活动前3年内，在经营活动中没有重大违法记录的书面声明原件（式样见附件</w:t>
      </w:r>
      <w:r>
        <w:rPr>
          <w:rFonts w:hint="eastAsia" w:ascii="宋体" w:hAnsi="宋体" w:cs="宋体"/>
          <w:color w:val="auto"/>
          <w:sz w:val="28"/>
          <w:szCs w:val="28"/>
          <w:lang w:val="en-US" w:eastAsia="zh-CN"/>
        </w:rPr>
        <w:t>5</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6.技术参数响应偏离说明表</w:t>
      </w:r>
      <w:r>
        <w:rPr>
          <w:rFonts w:hint="eastAsia" w:ascii="宋体" w:hAnsi="宋体" w:cs="宋体"/>
          <w:color w:val="auto"/>
          <w:sz w:val="28"/>
          <w:szCs w:val="28"/>
        </w:rPr>
        <w:t>（式样见附件6）</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 商务评议所需的资料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 技术评议所需的资料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9. 磋商报价（式样见附件</w:t>
      </w:r>
      <w:r>
        <w:rPr>
          <w:rFonts w:hint="eastAsia" w:ascii="宋体" w:hAnsi="宋体" w:cs="宋体"/>
          <w:color w:val="auto"/>
          <w:sz w:val="28"/>
          <w:szCs w:val="28"/>
          <w:lang w:val="en-US" w:eastAsia="zh-CN"/>
        </w:rPr>
        <w:t>7</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10.明细报价</w:t>
      </w:r>
      <w:r>
        <w:rPr>
          <w:rFonts w:hint="eastAsia" w:ascii="宋体" w:hAnsi="宋体" w:cs="宋体"/>
          <w:color w:val="auto"/>
          <w:sz w:val="28"/>
          <w:szCs w:val="28"/>
        </w:rPr>
        <w:t>（式样见附件</w:t>
      </w:r>
      <w:r>
        <w:rPr>
          <w:rFonts w:hint="eastAsia" w:ascii="宋体" w:hAnsi="宋体" w:cs="宋体"/>
          <w:color w:val="auto"/>
          <w:sz w:val="28"/>
          <w:szCs w:val="28"/>
          <w:lang w:val="en-US" w:eastAsia="zh-CN"/>
        </w:rPr>
        <w:t>8</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1</w:t>
      </w:r>
      <w:r>
        <w:rPr>
          <w:rFonts w:hint="eastAsia" w:ascii="宋体" w:hAnsi="宋体" w:cs="宋体"/>
          <w:color w:val="auto"/>
          <w:sz w:val="28"/>
          <w:szCs w:val="28"/>
        </w:rPr>
        <w:t>.供应商认为需提供的其他资料</w:t>
      </w:r>
    </w:p>
    <w:p>
      <w:pPr>
        <w:spacing w:line="480" w:lineRule="exact"/>
        <w:ind w:firstLine="548" w:firstLineChars="196"/>
        <w:rPr>
          <w:rFonts w:hint="eastAsia" w:ascii="宋体" w:hAnsi="宋体" w:cs="宋体"/>
          <w:color w:val="auto"/>
          <w:sz w:val="28"/>
          <w:szCs w:val="28"/>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附件1：</w:t>
      </w:r>
    </w:p>
    <w:p>
      <w:pPr>
        <w:jc w:val="right"/>
        <w:rPr>
          <w:rFonts w:hint="eastAsia"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0</wp:posOffset>
                </wp:positionV>
                <wp:extent cx="1021715" cy="742315"/>
                <wp:effectExtent l="4445" t="5080" r="21590" b="14605"/>
                <wp:wrapNone/>
                <wp:docPr id="2" name="矩形 2"/>
                <wp:cNvGraphicFramePr/>
                <a:graphic xmlns:a="http://schemas.openxmlformats.org/drawingml/2006/main">
                  <a:graphicData uri="http://schemas.microsoft.com/office/word/2010/wordprocessingShape">
                    <wps:wsp>
                      <wps:cNvSpPr/>
                      <wps:spPr>
                        <a:xfrm>
                          <a:off x="0" y="0"/>
                          <a:ext cx="102171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wps:txbx>
                      <wps:bodyPr upright="1"/>
                    </wps:wsp>
                  </a:graphicData>
                </a:graphic>
              </wp:anchor>
            </w:drawing>
          </mc:Choice>
          <mc:Fallback>
            <w:pict>
              <v:rect id="_x0000_s1026" o:spid="_x0000_s1026" o:spt="1" style="position:absolute;left:0pt;margin-left:333pt;margin-top:0pt;height:58.45pt;width:80.45pt;z-index:251660288;mso-width-relative:page;mso-height-relative:page;" fillcolor="#FFFFFF" filled="t" stroked="t" coordsize="21600,21600" o:gfxdata="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gdnzWAAAACAEAAA8AAAAAAAAAAQAgAAAAIgAAAGRycy9kb3ducmV2&#10;LnhtbFBLAQIUABQAAAAIAIdO4kDuinvu/gEAACkEAAAOAAAAAAAAAAEAIAAAACUBAABkcnMvZTJv&#10;RG9jLnhtbFBLBQYAAAAABgAGAFkBAACVBQAAAAA=&#10;">
                <v:fill on="t" focussize="0,0"/>
                <v:stroke color="#000000" joinstyle="miter"/>
                <v:imagedata o:title=""/>
                <o:lock v:ext="edit" aspectratio="f"/>
                <v:textbo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v:textbox>
              </v:rect>
            </w:pict>
          </mc:Fallback>
        </mc:AlternateContent>
      </w:r>
    </w:p>
    <w:p>
      <w:pPr>
        <w:jc w:val="right"/>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r>
        <w:rPr>
          <w:rFonts w:hint="eastAsia" w:ascii="宋体" w:hAnsi="宋体" w:cs="宋体"/>
          <w:b/>
          <w:color w:val="auto"/>
          <w:sz w:val="32"/>
          <w:szCs w:val="32"/>
        </w:rPr>
        <w:t>XXXXXXXXXXXXXX项目</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32"/>
          <w:szCs w:val="32"/>
        </w:rPr>
      </w:pPr>
      <w:r>
        <w:rPr>
          <w:rFonts w:hint="eastAsia" w:ascii="宋体" w:hAnsi="宋体" w:cs="宋体"/>
          <w:b/>
          <w:color w:val="auto"/>
          <w:sz w:val="32"/>
          <w:szCs w:val="32"/>
        </w:rPr>
        <w:t>磋商响应文件</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项目编号：XXXXXXXXXXXXXX</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（可用于添加供应商宣传画面）</w:t>
      </w: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供应商（公章）：XXXXXXXXXXX</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递交时间：XXXX年XX月XX日</w:t>
      </w: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ascii="宋体" w:hAnsi="宋体" w:cs="宋体"/>
          <w:b/>
          <w:sz w:val="32"/>
          <w:szCs w:val="32"/>
        </w:rPr>
      </w:pPr>
      <w:r>
        <w:rPr>
          <w:rFonts w:hint="eastAsia" w:ascii="宋体" w:hAnsi="宋体" w:cs="宋体"/>
          <w:b/>
          <w:sz w:val="32"/>
          <w:szCs w:val="32"/>
        </w:rPr>
        <w:t>附件2：</w:t>
      </w:r>
    </w:p>
    <w:p>
      <w:pPr>
        <w:tabs>
          <w:tab w:val="left" w:pos="990"/>
        </w:tabs>
        <w:jc w:val="center"/>
        <w:rPr>
          <w:rFonts w:ascii="宋体" w:hAnsi="宋体" w:cs="宋体"/>
          <w:b/>
          <w:bCs/>
          <w:sz w:val="32"/>
          <w:szCs w:val="32"/>
        </w:rPr>
      </w:pPr>
      <w:r>
        <w:rPr>
          <w:rFonts w:hint="eastAsia" w:ascii="宋体" w:hAnsi="宋体" w:cs="宋体"/>
          <w:b/>
          <w:bCs/>
          <w:sz w:val="32"/>
          <w:szCs w:val="32"/>
        </w:rPr>
        <w:t>磋商申请书（式样）</w:t>
      </w:r>
    </w:p>
    <w:p>
      <w:pPr>
        <w:tabs>
          <w:tab w:val="left" w:pos="1080"/>
        </w:tabs>
        <w:spacing w:line="480" w:lineRule="exact"/>
        <w:rPr>
          <w:rFonts w:ascii="宋体" w:hAnsi="宋体" w:cs="宋体"/>
          <w:sz w:val="28"/>
          <w:szCs w:val="28"/>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我是XXXXX，系XXXXXX法定代表人，依据贵方XXXXXXXXX项目采购XXXXXXX邀请函,现正式授权XXX代表我单位提交XXX项目的XX文件正本一份，副本XX份。在此，我方宣布同意如下:</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1.我方将按照磋商文件的规定，履行合同责任和义务。</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2.我方已详细阅读了磋商文件内容，包括修改文件（如果有的话）以及全部资料和有关附件，我们完全理解并同意放弃对这方面有不明确及误解的权利。</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3.磋商文件自开启之日起60日内有效。</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4.磋商活动后如果成交，我方同意满足磋商文件的一切要求，若贵方发现我方提供虚假资料，同意贵方取消成交供应商资格。</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5.与本磋商活动有关的一切正式往来通讯请寄：地址XX，邮编XXX,电话XXXX,传真：XXXXXXX。</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供应商（公章）：  </w:t>
      </w: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法定代表人或授权代表（签字或盖章）:  </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ind w:firstLine="3780" w:firstLineChars="1350"/>
        <w:rPr>
          <w:rFonts w:ascii="宋体" w:hAnsi="宋体" w:cs="宋体"/>
          <w:sz w:val="28"/>
          <w:szCs w:val="28"/>
        </w:rPr>
      </w:pPr>
      <w:r>
        <w:rPr>
          <w:rFonts w:hint="eastAsia" w:ascii="宋体" w:hAnsi="宋体" w:cs="宋体"/>
          <w:sz w:val="28"/>
          <w:szCs w:val="28"/>
        </w:rPr>
        <w:t>日期:XXXX年XX月XX日</w:t>
      </w: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r>
        <w:rPr>
          <w:rFonts w:hint="eastAsia" w:ascii="宋体" w:hAnsi="宋体" w:cs="宋体"/>
          <w:b/>
          <w:bCs/>
          <w:sz w:val="32"/>
        </w:rPr>
        <w:t>附件3：</w:t>
      </w:r>
    </w:p>
    <w:p>
      <w:pPr>
        <w:jc w:val="center"/>
        <w:rPr>
          <w:rFonts w:ascii="仿宋_GB2312" w:hAnsi="宋体" w:eastAsia="仿宋_GB2312"/>
          <w:b/>
          <w:bCs/>
          <w:sz w:val="32"/>
          <w:szCs w:val="32"/>
        </w:rPr>
      </w:pPr>
      <w:r>
        <w:rPr>
          <w:rFonts w:hint="eastAsia" w:ascii="宋体" w:hAnsi="宋体" w:cs="宋体"/>
          <w:b/>
          <w:spacing w:val="20"/>
          <w:sz w:val="32"/>
          <w:szCs w:val="32"/>
        </w:rPr>
        <w:t>法定代表人身份证明</w:t>
      </w:r>
      <w:r>
        <w:rPr>
          <w:rFonts w:hint="eastAsia" w:ascii="宋体" w:hAnsi="宋体" w:cs="宋体"/>
          <w:b/>
          <w:sz w:val="32"/>
          <w:szCs w:val="32"/>
        </w:rPr>
        <w:t>（式样）</w:t>
      </w:r>
    </w:p>
    <w:p>
      <w:pPr>
        <w:jc w:val="center"/>
        <w:rPr>
          <w:rFonts w:ascii="仿宋_GB2312" w:hAnsi="宋体" w:eastAsia="仿宋_GB2312"/>
          <w:b/>
          <w:bCs/>
          <w:sz w:val="36"/>
        </w:rPr>
      </w:pPr>
    </w:p>
    <w:p>
      <w:pPr>
        <w:jc w:val="center"/>
        <w:rPr>
          <w:rFonts w:ascii="仿宋_GB2312" w:hAnsi="宋体" w:eastAsia="仿宋_GB2312"/>
          <w:b/>
          <w:bCs/>
          <w:sz w:val="36"/>
        </w:rPr>
      </w:pPr>
    </w:p>
    <w:p>
      <w:pPr>
        <w:rPr>
          <w:rFonts w:ascii="宋体" w:hAnsi="宋体" w:cs="宋体"/>
          <w:bCs/>
          <w:spacing w:val="20"/>
          <w:sz w:val="28"/>
          <w:szCs w:val="28"/>
          <w:u w:val="single"/>
        </w:rPr>
      </w:pPr>
      <w:r>
        <w:rPr>
          <w:rFonts w:hint="eastAsia" w:ascii="宋体" w:hAnsi="宋体" w:cs="宋体"/>
          <w:bCs/>
          <w:spacing w:val="20"/>
          <w:sz w:val="28"/>
          <w:szCs w:val="28"/>
        </w:rPr>
        <w:t>供应商名称：</w:t>
      </w:r>
    </w:p>
    <w:p>
      <w:pPr>
        <w:rPr>
          <w:rFonts w:ascii="宋体" w:hAnsi="宋体" w:cs="宋体"/>
          <w:sz w:val="28"/>
          <w:szCs w:val="28"/>
          <w:u w:val="single"/>
        </w:rPr>
      </w:pPr>
      <w:r>
        <w:rPr>
          <w:rFonts w:hint="eastAsia" w:ascii="宋体" w:hAnsi="宋体" w:cs="宋体"/>
          <w:sz w:val="28"/>
          <w:szCs w:val="28"/>
        </w:rPr>
        <w:t>单位性质：</w:t>
      </w:r>
    </w:p>
    <w:p>
      <w:pPr>
        <w:rPr>
          <w:rFonts w:ascii="宋体" w:hAnsi="宋体" w:cs="宋体"/>
          <w:sz w:val="28"/>
          <w:szCs w:val="28"/>
          <w:u w:val="single"/>
        </w:rPr>
      </w:pPr>
      <w:r>
        <w:rPr>
          <w:rFonts w:hint="eastAsia" w:ascii="宋体" w:hAnsi="宋体" w:cs="宋体"/>
          <w:sz w:val="28"/>
          <w:szCs w:val="28"/>
        </w:rPr>
        <w:t>地址：</w:t>
      </w:r>
    </w:p>
    <w:p>
      <w:pPr>
        <w:rPr>
          <w:rFonts w:ascii="宋体" w:hAnsi="宋体" w:cs="宋体"/>
          <w:sz w:val="28"/>
          <w:szCs w:val="28"/>
          <w:u w:val="single"/>
        </w:rPr>
      </w:pPr>
      <w:r>
        <w:rPr>
          <w:rFonts w:hint="eastAsia" w:ascii="宋体" w:hAnsi="宋体" w:cs="宋体"/>
          <w:sz w:val="28"/>
          <w:szCs w:val="28"/>
        </w:rPr>
        <w:t>成立时间：</w:t>
      </w:r>
    </w:p>
    <w:p>
      <w:pPr>
        <w:rPr>
          <w:rFonts w:ascii="宋体" w:hAnsi="宋体" w:cs="宋体"/>
          <w:sz w:val="28"/>
          <w:szCs w:val="28"/>
          <w:u w:val="single"/>
        </w:rPr>
      </w:pPr>
      <w:r>
        <w:rPr>
          <w:rFonts w:hint="eastAsia" w:ascii="宋体" w:hAnsi="宋体" w:cs="宋体"/>
          <w:sz w:val="28"/>
          <w:szCs w:val="28"/>
        </w:rPr>
        <w:t>经营期限：</w:t>
      </w:r>
    </w:p>
    <w:p>
      <w:pPr>
        <w:rPr>
          <w:rFonts w:ascii="宋体" w:hAnsi="宋体" w:cs="宋体"/>
          <w:sz w:val="28"/>
          <w:szCs w:val="28"/>
          <w:u w:val="single"/>
        </w:rPr>
      </w:pPr>
      <w:r>
        <w:rPr>
          <w:rFonts w:hint="eastAsia" w:ascii="宋体" w:hAnsi="宋体" w:cs="宋体"/>
          <w:sz w:val="28"/>
          <w:szCs w:val="28"/>
        </w:rPr>
        <w:t>姓名：性别：年龄：职务：</w:t>
      </w:r>
    </w:p>
    <w:p>
      <w:pPr>
        <w:rPr>
          <w:rFonts w:ascii="宋体" w:hAnsi="宋体" w:cs="宋体"/>
          <w:sz w:val="28"/>
          <w:szCs w:val="28"/>
        </w:rPr>
      </w:pPr>
      <w:r>
        <w:rPr>
          <w:rFonts w:hint="eastAsia" w:ascii="宋体" w:hAnsi="宋体" w:cs="宋体"/>
          <w:sz w:val="28"/>
          <w:szCs w:val="28"/>
        </w:rPr>
        <w:t>系（供应商名称）的法定代表人。</w:t>
      </w:r>
    </w:p>
    <w:p>
      <w:pPr>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特此证明。</w:t>
      </w:r>
    </w:p>
    <w:p>
      <w:pPr>
        <w:ind w:firstLine="435"/>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 xml:space="preserve">                        供应商（公章）：</w:t>
      </w:r>
    </w:p>
    <w:p>
      <w:pPr>
        <w:rPr>
          <w:rFonts w:ascii="宋体" w:hAnsi="宋体" w:cs="宋体"/>
          <w:sz w:val="28"/>
          <w:szCs w:val="28"/>
        </w:rPr>
      </w:pPr>
      <w:r>
        <w:rPr>
          <w:rFonts w:hint="eastAsia" w:ascii="宋体" w:hAnsi="宋体" w:cs="宋体"/>
          <w:sz w:val="28"/>
          <w:szCs w:val="28"/>
        </w:rPr>
        <w:t>年月日</w:t>
      </w:r>
    </w:p>
    <w:p>
      <w:pPr>
        <w:rPr>
          <w:rFonts w:ascii="宋体" w:hAnsi="宋体" w:cs="宋体"/>
          <w:sz w:val="28"/>
          <w:szCs w:val="28"/>
        </w:rPr>
      </w:pPr>
    </w:p>
    <w:p>
      <w:pPr>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178435</wp:posOffset>
                </wp:positionV>
                <wp:extent cx="2707640" cy="1623060"/>
                <wp:effectExtent l="4445" t="4445" r="5715" b="10795"/>
                <wp:wrapNone/>
                <wp:docPr id="6" name="文本框 6"/>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64384;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kitI2gAAAAoBAAAPAAAA&#10;AAAAAAEAIAAAACIAAABkcnMvZG93bnJldi54bWxQSwECFAAUAAAACACHTuJAdWA9pBMCAABFBAAA&#10;DgAAAAAAAAABACAAAAApAQAAZHJzL2Uyb0RvYy54bWxQSwUGAAAAAAYABgBZAQAArgUAAAAA&#10;">
                <v:fill on="t" focussize="0,0"/>
                <v:stroke color="#000000" joinstyle="miter"/>
                <v:imagedata o:title=""/>
                <o:lock v:ext="edit" aspectratio="f"/>
                <v:textbox>
                  <w:txbxContent>
                    <w:p>
                      <w:pPr>
                        <w:rPr>
                          <w:rFonts w:ascii="宋体"/>
                          <w:sz w:val="28"/>
                          <w:szCs w:val="28"/>
                        </w:rPr>
                      </w:pPr>
                      <w:r>
                        <w:rPr>
                          <w:rFonts w:hint="eastAsia" w:ascii="宋体"/>
                          <w:sz w:val="28"/>
                          <w:szCs w:val="28"/>
                        </w:rPr>
                        <w:t>法定代表人身份证复印件（反面)</w:t>
                      </w:r>
                    </w:p>
                    <w:p/>
                  </w:txbxContent>
                </v:textbox>
              </v:shape>
            </w:pict>
          </mc:Fallback>
        </mc:AlternateContent>
      </w:r>
    </w:p>
    <w:p>
      <w:pPr>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9525</wp:posOffset>
                </wp:positionV>
                <wp:extent cx="2745740" cy="1604010"/>
                <wp:effectExtent l="4445" t="4445" r="5715" b="1714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63360;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v:textbox>
              </v:shape>
            </w:pict>
          </mc:Fallback>
        </mc:AlternateConten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sectPr>
          <w:footerReference r:id="rId6" w:type="default"/>
          <w:pgSz w:w="11906" w:h="16838"/>
          <w:pgMar w:top="1040" w:right="1286" w:bottom="1098" w:left="1800" w:header="851" w:footer="992" w:gutter="0"/>
          <w:pgNumType w:start="1"/>
          <w:cols w:space="720" w:num="1"/>
          <w:docGrid w:linePitch="312" w:charSpace="0"/>
        </w:sectPr>
      </w:pPr>
      <w:r>
        <w:rPr>
          <w:rFonts w:hint="eastAsia" w:ascii="宋体" w:hAnsi="宋体" w:cs="宋体"/>
          <w:sz w:val="28"/>
          <w:szCs w:val="28"/>
        </w:rPr>
        <w:t>注：此处所述“法定代表人”须与供应商“营业执照”上的内容一致</w:t>
      </w:r>
    </w:p>
    <w:p>
      <w:pPr>
        <w:tabs>
          <w:tab w:val="left" w:pos="990"/>
        </w:tabs>
        <w:rPr>
          <w:rFonts w:ascii="宋体" w:hAnsi="宋体" w:cs="宋体"/>
          <w:b/>
          <w:bCs/>
          <w:sz w:val="32"/>
        </w:rPr>
      </w:pPr>
      <w:r>
        <w:rPr>
          <w:rFonts w:hint="eastAsia" w:ascii="宋体" w:hAnsi="宋体" w:cs="宋体"/>
          <w:b/>
          <w:bCs/>
          <w:sz w:val="32"/>
        </w:rPr>
        <w:t>附件4：</w:t>
      </w:r>
    </w:p>
    <w:p>
      <w:pPr>
        <w:jc w:val="center"/>
        <w:rPr>
          <w:rFonts w:ascii="宋体" w:hAnsi="宋体" w:cs="宋体"/>
          <w:b/>
          <w:sz w:val="44"/>
          <w:szCs w:val="44"/>
        </w:rPr>
      </w:pPr>
    </w:p>
    <w:p>
      <w:pPr>
        <w:jc w:val="center"/>
        <w:rPr>
          <w:rFonts w:ascii="宋体" w:hAnsi="宋体" w:cs="宋体"/>
          <w:b/>
          <w:bCs/>
          <w:sz w:val="32"/>
          <w:szCs w:val="32"/>
        </w:rPr>
      </w:pPr>
      <w:r>
        <w:rPr>
          <w:rFonts w:hint="eastAsia" w:ascii="宋体" w:hAnsi="宋体" w:cs="宋体"/>
          <w:b/>
          <w:sz w:val="32"/>
          <w:szCs w:val="32"/>
        </w:rPr>
        <w:t>法定代表人授权书（式样）</w:t>
      </w:r>
    </w:p>
    <w:p>
      <w:pPr>
        <w:spacing w:line="480" w:lineRule="exact"/>
        <w:jc w:val="left"/>
        <w:rPr>
          <w:rFonts w:ascii="宋体" w:hAnsi="宋体" w:cs="宋体"/>
          <w:b/>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spacing w:line="360" w:lineRule="auto"/>
        <w:ind w:firstLine="560" w:firstLineChars="200"/>
        <w:rPr>
          <w:rFonts w:ascii="宋体" w:hAnsi="宋体" w:cs="宋体"/>
          <w:sz w:val="28"/>
          <w:szCs w:val="28"/>
        </w:rPr>
      </w:pPr>
      <w:r>
        <w:rPr>
          <w:rFonts w:hint="eastAsia" w:ascii="宋体" w:hAnsi="宋体" w:cs="宋体"/>
          <w:sz w:val="28"/>
          <w:szCs w:val="28"/>
        </w:rPr>
        <w:t>代理人无权转让委托权，特此委托！</w:t>
      </w:r>
    </w:p>
    <w:p>
      <w:pPr>
        <w:spacing w:line="360" w:lineRule="auto"/>
        <w:ind w:firstLine="560" w:firstLineChars="200"/>
        <w:rPr>
          <w:rFonts w:ascii="宋体" w:hAnsi="宋体" w:cs="宋体"/>
          <w:sz w:val="28"/>
          <w:szCs w:val="28"/>
        </w:rPr>
      </w:pPr>
      <w:r>
        <w:rPr>
          <w:rFonts w:ascii="宋体" w:hAnsi="宋体" w:cs="宋体"/>
          <w:sz w:val="28"/>
          <w:szCs w:val="28"/>
        </w:rPr>
        <mc:AlternateContent>
          <mc:Choice Requires="wps">
            <w:drawing>
              <wp:anchor distT="0" distB="0" distL="114300" distR="114300" simplePos="0" relativeHeight="251662336" behindDoc="1" locked="0" layoutInCell="1" allowOverlap="1">
                <wp:simplePos x="0" y="0"/>
                <wp:positionH relativeFrom="column">
                  <wp:posOffset>2743200</wp:posOffset>
                </wp:positionH>
                <wp:positionV relativeFrom="paragraph">
                  <wp:posOffset>571500</wp:posOffset>
                </wp:positionV>
                <wp:extent cx="2971800" cy="1684020"/>
                <wp:effectExtent l="4445" t="4445" r="8255" b="1333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4144;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ascii="宋体" w:hAnsi="宋体" w:cs="宋体"/>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571500</wp:posOffset>
                </wp:positionV>
                <wp:extent cx="2971800" cy="1684020"/>
                <wp:effectExtent l="4445" t="4445" r="8255" b="1333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5168;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ascii="宋体" w:hAnsi="宋体" w:cs="宋体"/>
          <w:sz w:val="28"/>
          <w:szCs w:val="28"/>
        </w:rPr>
      </w:pP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供应商(公章)：XXXXXXXXXX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法定代表人或授权代表(签字或盖章):XXXXX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日  期:XXXXXX年XXXX月XXX日</w:t>
      </w:r>
    </w:p>
    <w:p>
      <w:pPr>
        <w:tabs>
          <w:tab w:val="left" w:pos="4680"/>
        </w:tabs>
        <w:spacing w:line="480" w:lineRule="auto"/>
        <w:rPr>
          <w:rFonts w:ascii="宋体" w:hAnsi="宋体" w:cs="宋体"/>
          <w:sz w:val="28"/>
          <w:szCs w:val="28"/>
        </w:rPr>
      </w:pPr>
    </w:p>
    <w:p>
      <w:pPr>
        <w:tabs>
          <w:tab w:val="left" w:pos="4680"/>
        </w:tabs>
        <w:spacing w:line="480" w:lineRule="auto"/>
        <w:rPr>
          <w:rFonts w:ascii="宋体" w:hAnsi="宋体" w:cs="宋体"/>
          <w:sz w:val="28"/>
          <w:szCs w:val="28"/>
        </w:rPr>
      </w:pPr>
    </w:p>
    <w:p>
      <w:pPr>
        <w:spacing w:line="520" w:lineRule="exact"/>
        <w:ind w:left="1083" w:hanging="1083" w:hangingChars="337"/>
        <w:rPr>
          <w:rFonts w:ascii="宋体" w:hAnsi="宋体" w:cs="宋体"/>
          <w:b/>
          <w:sz w:val="32"/>
          <w:szCs w:val="32"/>
        </w:rPr>
        <w:sectPr>
          <w:footerReference r:id="rId8" w:type="first"/>
          <w:footerReference r:id="rId7" w:type="default"/>
          <w:pgSz w:w="11906" w:h="16838"/>
          <w:pgMar w:top="1440" w:right="1800" w:bottom="1091" w:left="1800" w:header="851" w:footer="992" w:gutter="0"/>
          <w:cols w:space="720" w:num="1"/>
          <w:titlePg/>
          <w:docGrid w:type="lines" w:linePitch="312" w:charSpace="0"/>
        </w:sectPr>
      </w:pPr>
    </w:p>
    <w:p>
      <w:pPr>
        <w:spacing w:line="520" w:lineRule="exact"/>
        <w:ind w:left="1083" w:hanging="1083" w:hangingChars="337"/>
        <w:rPr>
          <w:rFonts w:ascii="宋体" w:hAnsi="宋体" w:cs="宋体"/>
          <w:b/>
          <w:sz w:val="32"/>
          <w:szCs w:val="32"/>
        </w:rPr>
      </w:pPr>
      <w:r>
        <w:rPr>
          <w:rFonts w:hint="eastAsia" w:ascii="宋体" w:hAnsi="宋体" w:cs="宋体"/>
          <w:b/>
          <w:sz w:val="32"/>
          <w:szCs w:val="32"/>
        </w:rPr>
        <w:t>附件5：</w:t>
      </w:r>
    </w:p>
    <w:p>
      <w:pPr>
        <w:spacing w:line="520" w:lineRule="exact"/>
        <w:ind w:left="1078" w:hanging="1078" w:hangingChars="337"/>
        <w:rPr>
          <w:rFonts w:ascii="宋体" w:hAnsi="宋体" w:cs="宋体"/>
          <w:sz w:val="32"/>
          <w:szCs w:val="32"/>
        </w:rPr>
      </w:pPr>
    </w:p>
    <w:p>
      <w:pPr>
        <w:spacing w:line="520" w:lineRule="exact"/>
        <w:ind w:left="1083" w:hanging="1083" w:hangingChars="337"/>
        <w:jc w:val="center"/>
        <w:rPr>
          <w:rFonts w:ascii="宋体" w:hAnsi="宋体" w:cs="宋体"/>
          <w:b/>
          <w:sz w:val="32"/>
          <w:szCs w:val="32"/>
        </w:rPr>
      </w:pPr>
      <w:r>
        <w:rPr>
          <w:rFonts w:hint="eastAsia" w:ascii="宋体" w:hAnsi="宋体" w:cs="宋体"/>
          <w:b/>
          <w:sz w:val="32"/>
          <w:szCs w:val="32"/>
        </w:rPr>
        <w:t>声   明</w:t>
      </w:r>
      <w:r>
        <w:rPr>
          <w:rFonts w:hint="eastAsia" w:ascii="宋体" w:hAnsi="宋体" w:cs="宋体"/>
          <w:b/>
          <w:bCs/>
          <w:sz w:val="32"/>
          <w:szCs w:val="32"/>
        </w:rPr>
        <w:t>（式样）</w:t>
      </w:r>
    </w:p>
    <w:p>
      <w:pPr>
        <w:spacing w:line="520" w:lineRule="exact"/>
        <w:ind w:left="1078" w:hanging="1078" w:hangingChars="337"/>
        <w:rPr>
          <w:rFonts w:ascii="宋体" w:hAnsi="宋体" w:cs="宋体"/>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645"/>
        <w:rPr>
          <w:rFonts w:ascii="宋体" w:hAnsi="宋体" w:cs="宋体"/>
          <w:sz w:val="28"/>
          <w:szCs w:val="28"/>
        </w:rPr>
      </w:pPr>
      <w:r>
        <w:rPr>
          <w:rFonts w:hint="eastAsia" w:ascii="宋体" w:hAnsi="宋体" w:cs="宋体"/>
          <w:sz w:val="28"/>
          <w:szCs w:val="28"/>
        </w:rPr>
        <w:t>我单位是XXXXXXX，在参与XXXXXX项目（编号XXXX）的XXX活动中，本单位慎重声明如下:</w:t>
      </w:r>
    </w:p>
    <w:p>
      <w:pPr>
        <w:spacing w:line="520" w:lineRule="exact"/>
        <w:ind w:firstLine="645"/>
        <w:rPr>
          <w:rFonts w:ascii="宋体" w:hAnsi="宋体" w:cs="宋体"/>
          <w:sz w:val="28"/>
          <w:szCs w:val="28"/>
        </w:rPr>
      </w:pPr>
      <w:r>
        <w:rPr>
          <w:rFonts w:hint="eastAsia" w:ascii="宋体" w:hAnsi="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cs="宋体"/>
          <w:sz w:val="28"/>
          <w:szCs w:val="28"/>
        </w:rPr>
      </w:pPr>
      <w:r>
        <w:rPr>
          <w:rFonts w:hint="eastAsia" w:ascii="宋体" w:hAnsi="宋体" w:cs="宋体"/>
          <w:sz w:val="28"/>
          <w:szCs w:val="28"/>
        </w:rPr>
        <w:t>本单位承诺，在本次活动中，若贵单位发现或其他利害关系人举报我单位有不诚信记录档案，同意贵单位取消我单位资格。</w:t>
      </w:r>
    </w:p>
    <w:p>
      <w:pPr>
        <w:spacing w:line="520" w:lineRule="exact"/>
        <w:ind w:firstLine="645"/>
        <w:rPr>
          <w:rFonts w:ascii="宋体" w:hAnsi="宋体" w:cs="宋体"/>
          <w:sz w:val="28"/>
          <w:szCs w:val="28"/>
        </w:rPr>
      </w:pP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供应商（公章）：XXXXXXXXXXXXXXXX</w:t>
      </w: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法定代表人或授权代表签字：XXXXXXXXX</w:t>
      </w:r>
    </w:p>
    <w:p>
      <w:pPr>
        <w:spacing w:line="520" w:lineRule="exact"/>
        <w:ind w:firstLine="645"/>
        <w:rPr>
          <w:rFonts w:ascii="宋体" w:hAnsi="宋体" w:cs="宋体"/>
          <w:sz w:val="28"/>
          <w:szCs w:val="28"/>
        </w:rPr>
      </w:pPr>
    </w:p>
    <w:p>
      <w:pPr>
        <w:spacing w:line="520" w:lineRule="exact"/>
        <w:ind w:firstLine="3360" w:firstLineChars="1200"/>
        <w:rPr>
          <w:rFonts w:ascii="宋体" w:hAnsi="宋体" w:cs="宋体"/>
          <w:sz w:val="28"/>
          <w:szCs w:val="28"/>
        </w:rPr>
      </w:pPr>
      <w:r>
        <w:rPr>
          <w:rFonts w:hint="eastAsia" w:ascii="宋体" w:hAnsi="宋体" w:cs="宋体"/>
          <w:sz w:val="28"/>
          <w:szCs w:val="28"/>
        </w:rPr>
        <w:t>XXXX年XX月XX日</w:t>
      </w: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jc w:val="left"/>
        <w:rPr>
          <w:rFonts w:ascii="宋体" w:hAnsi="宋体" w:cs="宋体"/>
          <w:b/>
          <w:bCs/>
          <w:sz w:val="32"/>
        </w:rPr>
      </w:pPr>
      <w:r>
        <w:rPr>
          <w:rFonts w:hint="eastAsia" w:ascii="宋体" w:hAnsi="宋体" w:cs="宋体"/>
          <w:b/>
          <w:bCs/>
          <w:sz w:val="32"/>
        </w:rPr>
        <w:t>附件6：</w:t>
      </w:r>
    </w:p>
    <w:p>
      <w:pPr>
        <w:tabs>
          <w:tab w:val="left" w:pos="990"/>
        </w:tabs>
        <w:jc w:val="center"/>
        <w:rPr>
          <w:rFonts w:hint="default" w:ascii="宋体" w:hAnsi="Cambria" w:eastAsia="宋体"/>
          <w:b/>
          <w:sz w:val="32"/>
          <w:lang w:val="en-US" w:eastAsia="zh-CN"/>
        </w:rPr>
      </w:pPr>
      <w:r>
        <w:rPr>
          <w:rFonts w:hint="eastAsia" w:ascii="宋体" w:hAnsi="宋体"/>
          <w:b/>
          <w:sz w:val="32"/>
        </w:rPr>
        <w:t>技术</w:t>
      </w:r>
      <w:r>
        <w:rPr>
          <w:rFonts w:hint="eastAsia" w:ascii="宋体" w:hAnsi="宋体"/>
          <w:b/>
          <w:sz w:val="32"/>
          <w:lang w:val="en-US" w:eastAsia="zh-CN"/>
        </w:rPr>
        <w:t>参数响应偏离说明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19"/>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blPrEx>
          <w:tblCellMar>
            <w:top w:w="0" w:type="dxa"/>
            <w:left w:w="0" w:type="dxa"/>
            <w:bottom w:w="0" w:type="dxa"/>
            <w:right w:w="0" w:type="dxa"/>
          </w:tblCellMar>
        </w:tblPrEx>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ind w:left="-37" w:right="-48"/>
              <w:jc w:val="center"/>
              <w:rPr>
                <w:rFonts w:ascii="宋体" w:hAnsi="Times New Roman"/>
                <w:sz w:val="24"/>
              </w:rPr>
            </w:pPr>
            <w:r>
              <w:rPr>
                <w:rFonts w:hint="eastAsia" w:ascii="宋体" w:hAnsi="宋体"/>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jc w:val="center"/>
              <w:rPr>
                <w:rFonts w:ascii="宋体" w:hAnsi="Times New Roman"/>
                <w:sz w:val="24"/>
              </w:rPr>
            </w:pPr>
            <w:r>
              <w:rPr>
                <w:rFonts w:hint="eastAsia" w:ascii="宋体" w:hAnsi="宋体"/>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bl>
    <w:p>
      <w:pPr>
        <w:spacing w:line="360" w:lineRule="auto"/>
        <w:ind w:left="1092" w:hanging="1092"/>
        <w:jc w:val="left"/>
        <w:rPr>
          <w:rFonts w:hint="default" w:ascii="宋体" w:hAnsi="Times New Roman" w:eastAsia="宋体"/>
          <w:sz w:val="24"/>
          <w:highlight w:val="none"/>
          <w:lang w:val="en-US" w:eastAsia="zh-CN"/>
        </w:rPr>
      </w:pPr>
      <w:r>
        <w:rPr>
          <w:rFonts w:hint="eastAsia" w:ascii="宋体" w:hAnsi="宋体"/>
          <w:sz w:val="24"/>
        </w:rPr>
        <w:t>说</w:t>
      </w:r>
      <w:r>
        <w:rPr>
          <w:rFonts w:hint="eastAsia" w:ascii="宋体" w:hAnsi="宋体"/>
          <w:sz w:val="24"/>
          <w:highlight w:val="none"/>
        </w:rPr>
        <w:t>明：</w:t>
      </w:r>
      <w:r>
        <w:rPr>
          <w:rFonts w:ascii="宋体" w:hAnsi="宋体"/>
          <w:sz w:val="24"/>
          <w:highlight w:val="none"/>
        </w:rPr>
        <w:t>1</w:t>
      </w:r>
      <w:r>
        <w:rPr>
          <w:rFonts w:hint="eastAsia" w:ascii="宋体" w:hAnsi="宋体"/>
          <w:sz w:val="24"/>
          <w:highlight w:val="none"/>
        </w:rPr>
        <w:t>．供应商应按磋商文件第</w:t>
      </w:r>
      <w:r>
        <w:rPr>
          <w:rFonts w:hint="eastAsia" w:ascii="宋体" w:hAnsi="宋体"/>
          <w:sz w:val="24"/>
          <w:highlight w:val="none"/>
          <w:lang w:val="en-US" w:eastAsia="zh-CN"/>
        </w:rPr>
        <w:t>二</w:t>
      </w:r>
      <w:r>
        <w:rPr>
          <w:rFonts w:hint="eastAsia" w:ascii="宋体" w:hAnsi="宋体"/>
          <w:sz w:val="24"/>
          <w:highlight w:val="none"/>
        </w:rPr>
        <w:t>章“</w:t>
      </w:r>
      <w:r>
        <w:rPr>
          <w:rFonts w:hint="eastAsia" w:ascii="宋体" w:hAnsi="宋体"/>
          <w:sz w:val="24"/>
          <w:highlight w:val="none"/>
          <w:lang w:val="en-US" w:eastAsia="zh-CN"/>
        </w:rPr>
        <w:t>采购需求</w:t>
      </w:r>
      <w:r>
        <w:rPr>
          <w:rFonts w:hint="eastAsia" w:ascii="宋体" w:hAnsi="宋体"/>
          <w:sz w:val="24"/>
          <w:highlight w:val="none"/>
        </w:rPr>
        <w:t>”中“采购货物</w:t>
      </w:r>
      <w:r>
        <w:rPr>
          <w:rFonts w:hint="eastAsia" w:ascii="宋体" w:hAnsi="宋体"/>
          <w:sz w:val="24"/>
          <w:highlight w:val="none"/>
          <w:lang w:val="en-US" w:eastAsia="zh-CN"/>
        </w:rPr>
        <w:t>数量及</w:t>
      </w:r>
      <w:r>
        <w:rPr>
          <w:rFonts w:hint="eastAsia" w:ascii="宋体" w:hAnsi="宋体"/>
          <w:sz w:val="24"/>
          <w:highlight w:val="none"/>
        </w:rPr>
        <w:t>规格参数”的</w:t>
      </w:r>
      <w:r>
        <w:rPr>
          <w:rFonts w:hint="eastAsia" w:ascii="宋体" w:hAnsi="宋体"/>
          <w:sz w:val="24"/>
          <w:highlight w:val="none"/>
          <w:lang w:val="en-US" w:eastAsia="zh-CN"/>
        </w:rPr>
        <w:t>参数</w:t>
      </w:r>
      <w:r>
        <w:rPr>
          <w:rFonts w:hint="eastAsia" w:ascii="宋体" w:hAnsi="宋体"/>
          <w:sz w:val="24"/>
          <w:highlight w:val="none"/>
        </w:rPr>
        <w:t>标准逐项说明是否满足要求，如有偏离</w:t>
      </w:r>
      <w:r>
        <w:rPr>
          <w:rFonts w:ascii="宋体" w:hAnsi="Times New Roman"/>
          <w:sz w:val="24"/>
          <w:highlight w:val="none"/>
        </w:rPr>
        <w:t>,</w:t>
      </w:r>
      <w:r>
        <w:rPr>
          <w:rFonts w:hint="eastAsia" w:ascii="宋体" w:hAnsi="宋体"/>
          <w:sz w:val="24"/>
          <w:highlight w:val="none"/>
        </w:rPr>
        <w:t>供应商应详细说明。未按照要求填写此表的，导致的后果由供应商自行承担。</w:t>
      </w:r>
      <w:r>
        <w:rPr>
          <w:rFonts w:hint="eastAsia" w:ascii="宋体" w:hAnsi="宋体"/>
          <w:b/>
          <w:bCs/>
          <w:sz w:val="24"/>
          <w:highlight w:val="none"/>
          <w:lang w:val="en-US" w:eastAsia="zh-CN"/>
        </w:rPr>
        <w:t>供应商应辅助以官方证明材料佐证，参数优于的须提供说明或相关官方手册加以说明</w:t>
      </w:r>
      <w:r>
        <w:rPr>
          <w:rFonts w:hint="eastAsia" w:ascii="宋体"/>
          <w:b/>
          <w:bCs/>
          <w:sz w:val="24"/>
          <w:szCs w:val="24"/>
          <w:highlight w:val="none"/>
          <w:lang w:val="en-US" w:eastAsia="zh-CN"/>
        </w:rPr>
        <w:t>。</w:t>
      </w:r>
    </w:p>
    <w:p>
      <w:pPr>
        <w:spacing w:line="360" w:lineRule="auto"/>
        <w:ind w:left="1006" w:hanging="364"/>
        <w:jc w:val="left"/>
        <w:rPr>
          <w:rFonts w:ascii="宋体" w:hAnsi="Times New Roman"/>
          <w:sz w:val="24"/>
        </w:rPr>
      </w:pPr>
      <w:r>
        <w:rPr>
          <w:rFonts w:hint="eastAsia" w:ascii="宋体" w:hAnsi="宋体"/>
          <w:sz w:val="24"/>
          <w:highlight w:val="none"/>
        </w:rPr>
        <w:t>2．供应商提供的相关证明文件对应的页码填写到上表“投标文件对应的页码”中。如未提供页码或内容页码完全不一致的，导致的后果由供应商自行承担</w:t>
      </w:r>
      <w:r>
        <w:rPr>
          <w:rFonts w:hint="eastAsia" w:ascii="宋体" w:hAnsi="宋体"/>
          <w:sz w:val="24"/>
        </w:rPr>
        <w:t>。</w:t>
      </w:r>
    </w:p>
    <w:p>
      <w:pPr>
        <w:spacing w:before="100" w:beforeAutospacing="1" w:after="100" w:afterAutospacing="1" w:line="360" w:lineRule="auto"/>
        <w:ind w:firstLine="3316"/>
        <w:rPr>
          <w:rFonts w:ascii="Times New Roman" w:hAnsi="宋体"/>
          <w:b/>
          <w:sz w:val="24"/>
          <w:u w:val="single"/>
        </w:rPr>
      </w:pPr>
      <w:r>
        <w:rPr>
          <w:rFonts w:hint="eastAsia" w:ascii="Times New Roman" w:hAnsi="宋体"/>
          <w:b/>
          <w:sz w:val="24"/>
        </w:rPr>
        <w:t>供应商（公章）：</w:t>
      </w:r>
    </w:p>
    <w:p>
      <w:pPr>
        <w:spacing w:before="100" w:beforeAutospacing="1" w:after="100" w:afterAutospacing="1" w:line="360" w:lineRule="auto"/>
        <w:ind w:firstLine="3316"/>
        <w:rPr>
          <w:rFonts w:ascii="Times New Roman" w:hAnsi="宋体"/>
          <w:b/>
          <w:sz w:val="24"/>
          <w:u w:val="single"/>
        </w:rPr>
      </w:pPr>
      <w:r>
        <w:rPr>
          <w:rFonts w:hint="eastAsia" w:ascii="宋体" w:hAnsi="宋体"/>
          <w:b/>
          <w:sz w:val="24"/>
        </w:rPr>
        <w:t>供应商</w:t>
      </w:r>
      <w:r>
        <w:rPr>
          <w:rFonts w:hint="eastAsia" w:ascii="Times New Roman" w:hAnsi="宋体"/>
          <w:b/>
          <w:sz w:val="24"/>
        </w:rPr>
        <w:t>授权代表（签字）：</w:t>
      </w:r>
    </w:p>
    <w:p>
      <w:pPr>
        <w:spacing w:before="100" w:beforeAutospacing="1" w:after="100" w:afterAutospacing="1" w:line="360" w:lineRule="auto"/>
        <w:ind w:firstLine="3316"/>
        <w:rPr>
          <w:rFonts w:ascii="Times New Roman" w:hAnsi="Times New Roman"/>
        </w:rPr>
      </w:pPr>
      <w:r>
        <w:rPr>
          <w:rFonts w:hint="eastAsia" w:ascii="宋体" w:hAnsi="宋体"/>
          <w:b/>
          <w:sz w:val="24"/>
        </w:rPr>
        <w:t>投标</w:t>
      </w:r>
      <w:r>
        <w:rPr>
          <w:rFonts w:hint="eastAsia" w:ascii="Times New Roman" w:hAnsi="宋体"/>
          <w:b/>
          <w:sz w:val="24"/>
        </w:rPr>
        <w:t>时间：</w:t>
      </w: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7</w:t>
      </w:r>
      <w:r>
        <w:rPr>
          <w:rFonts w:hint="eastAsia" w:ascii="宋体" w:hAnsi="宋体" w:cs="宋体"/>
          <w:b/>
          <w:bCs/>
          <w:sz w:val="28"/>
          <w:szCs w:val="28"/>
        </w:rPr>
        <w:t>：</w:t>
      </w:r>
    </w:p>
    <w:p>
      <w:pPr>
        <w:spacing w:line="360" w:lineRule="auto"/>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建始县黄土坎易地扶贫搬迁集镇安置小区配套标准化厂房（绝缘材料厂房）</w:t>
      </w:r>
      <w:r>
        <w:rPr>
          <w:rFonts w:hint="eastAsia" w:ascii="宋体" w:hAnsi="宋体" w:eastAsia="宋体" w:cs="宋体"/>
          <w:b/>
          <w:bCs/>
          <w:color w:val="auto"/>
          <w:sz w:val="28"/>
          <w:szCs w:val="28"/>
          <w:lang w:val="en-US" w:eastAsia="zh-CN"/>
        </w:rPr>
        <w:t xml:space="preserve"> 建设项目（电梯采购及安装）</w:t>
      </w:r>
    </w:p>
    <w:p>
      <w:pPr>
        <w:spacing w:line="460" w:lineRule="exact"/>
        <w:jc w:val="center"/>
        <w:rPr>
          <w:rFonts w:ascii="宋体" w:hAnsi="宋体" w:cs="宋体"/>
          <w:b/>
          <w:bCs/>
          <w:sz w:val="28"/>
          <w:szCs w:val="28"/>
        </w:rPr>
      </w:pPr>
      <w:r>
        <w:rPr>
          <w:rFonts w:hint="eastAsia" w:ascii="宋体" w:hAnsi="宋体" w:cs="宋体"/>
          <w:b/>
          <w:bCs/>
          <w:sz w:val="28"/>
          <w:szCs w:val="28"/>
        </w:rPr>
        <w:t>报价表</w:t>
      </w:r>
    </w:p>
    <w:p>
      <w:pPr>
        <w:pStyle w:val="12"/>
        <w:spacing w:line="520" w:lineRule="exact"/>
        <w:ind w:left="279" w:firstLine="6860" w:firstLineChars="2450"/>
        <w:rPr>
          <w:rFonts w:cs="宋体"/>
          <w:szCs w:val="28"/>
        </w:rPr>
      </w:pPr>
      <w:r>
        <w:rPr>
          <w:rFonts w:hint="eastAsia" w:cs="宋体"/>
          <w:szCs w:val="28"/>
        </w:rPr>
        <w:t>单位：元</w:t>
      </w:r>
    </w:p>
    <w:tbl>
      <w:tblPr>
        <w:tblStyle w:val="1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903"/>
        <w:gridCol w:w="936"/>
        <w:gridCol w:w="900"/>
        <w:gridCol w:w="220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787"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903"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金额</w:t>
            </w: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shd w:val="clear" w:color="auto" w:fill="FFFFFF"/>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787" w:type="dxa"/>
            <w:tcBorders>
              <w:top w:val="single" w:color="auto" w:sz="4" w:space="0"/>
              <w:left w:val="single" w:color="auto" w:sz="4" w:space="0"/>
              <w:bottom w:val="single" w:color="auto" w:sz="4" w:space="0"/>
              <w:right w:val="single" w:color="auto" w:sz="4" w:space="0"/>
            </w:tcBorders>
            <w:noWrap/>
            <w:vAlign w:val="top"/>
          </w:tcPr>
          <w:p>
            <w:pPr>
              <w:spacing w:line="360" w:lineRule="auto"/>
              <w:jc w:val="center"/>
              <w:rPr>
                <w:rFonts w:hint="eastAsia" w:ascii="宋体" w:hAnsi="宋体" w:eastAsia="宋体" w:cs="宋体"/>
                <w:sz w:val="28"/>
                <w:szCs w:val="28"/>
                <w:lang w:eastAsia="zh-CN"/>
              </w:rPr>
            </w:pPr>
            <w:r>
              <w:rPr>
                <w:rFonts w:hint="eastAsia" w:ascii="宋体" w:hAnsi="宋体" w:eastAsia="宋体" w:cs="宋体"/>
                <w:color w:val="auto"/>
                <w:sz w:val="28"/>
                <w:szCs w:val="28"/>
                <w:lang w:eastAsia="zh-CN"/>
              </w:rPr>
              <w:t>建始县黄土坎易地扶贫搬迁集镇安置小区配套标准化厂房（绝缘材料厂房）</w:t>
            </w:r>
            <w:r>
              <w:rPr>
                <w:rFonts w:hint="eastAsia" w:ascii="宋体" w:hAnsi="宋体" w:eastAsia="宋体" w:cs="宋体"/>
                <w:color w:val="auto"/>
                <w:sz w:val="28"/>
                <w:szCs w:val="28"/>
                <w:lang w:val="en-US" w:eastAsia="zh-CN"/>
              </w:rPr>
              <w:t xml:space="preserve"> 建设项目（电梯采购及安装）</w:t>
            </w:r>
          </w:p>
        </w:tc>
        <w:tc>
          <w:tcPr>
            <w:tcW w:w="903" w:type="dxa"/>
            <w:tcBorders>
              <w:top w:val="single" w:color="auto" w:sz="4" w:space="0"/>
              <w:left w:val="single" w:color="auto" w:sz="4" w:space="0"/>
              <w:bottom w:val="single" w:color="auto" w:sz="4" w:space="0"/>
              <w:right w:val="single" w:color="auto" w:sz="4" w:space="0"/>
            </w:tcBorders>
            <w:noWrap/>
            <w:vAlign w:val="center"/>
          </w:tcPr>
          <w:p>
            <w:pPr>
              <w:bidi w:val="0"/>
              <w:jc w:val="center"/>
              <w:rPr>
                <w:rFonts w:cs="宋体"/>
                <w:szCs w:val="28"/>
              </w:rPr>
            </w:pPr>
            <w:r>
              <w:rPr>
                <w:rFonts w:hint="eastAsia"/>
                <w:sz w:val="28"/>
                <w:szCs w:val="36"/>
              </w:rPr>
              <w:t>磋商项目要求</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1</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8</w:t>
      </w:r>
      <w:r>
        <w:rPr>
          <w:rFonts w:hint="eastAsia" w:ascii="宋体" w:hAnsi="宋体" w:cs="宋体"/>
          <w:b/>
          <w:bCs/>
          <w:sz w:val="28"/>
          <w:szCs w:val="28"/>
        </w:rPr>
        <w:t>：</w:t>
      </w:r>
    </w:p>
    <w:p>
      <w:pPr>
        <w:pStyle w:val="41"/>
      </w:pPr>
      <w:bookmarkStart w:id="89" w:name="_Toc4522"/>
      <w:bookmarkStart w:id="90" w:name="_Toc20769"/>
      <w:r>
        <w:rPr>
          <w:rFonts w:hint="eastAsia"/>
        </w:rPr>
        <w:t>分项报价明细表</w:t>
      </w:r>
      <w:bookmarkEnd w:id="89"/>
      <w:bookmarkEnd w:id="90"/>
    </w:p>
    <w:p>
      <w:pPr>
        <w:pStyle w:val="42"/>
        <w:adjustRightInd w:val="0"/>
        <w:snapToGrid w:val="0"/>
        <w:spacing w:line="500" w:lineRule="exact"/>
        <w:rPr>
          <w:rFonts w:ascii="宋体" w:hAnsi="宋体"/>
          <w:sz w:val="28"/>
          <w:szCs w:val="28"/>
        </w:rPr>
      </w:pPr>
      <w:r>
        <w:rPr>
          <w:rFonts w:hint="eastAsia" w:ascii="宋体" w:hAnsi="宋体"/>
          <w:sz w:val="28"/>
          <w:szCs w:val="28"/>
        </w:rPr>
        <w:t>采购项目编号：</w:t>
      </w:r>
    </w:p>
    <w:p>
      <w:pPr>
        <w:pStyle w:val="42"/>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19"/>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205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名称</w:t>
            </w:r>
          </w:p>
        </w:tc>
        <w:tc>
          <w:tcPr>
            <w:tcW w:w="13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制造商名称/地区</w:t>
            </w:r>
          </w:p>
        </w:tc>
        <w:tc>
          <w:tcPr>
            <w:tcW w:w="9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单位</w:t>
            </w:r>
          </w:p>
        </w:tc>
        <w:tc>
          <w:tcPr>
            <w:tcW w:w="939"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数量</w:t>
            </w:r>
          </w:p>
        </w:tc>
        <w:tc>
          <w:tcPr>
            <w:tcW w:w="99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单价</w:t>
            </w:r>
          </w:p>
        </w:tc>
        <w:tc>
          <w:tcPr>
            <w:tcW w:w="1035" w:type="dxa"/>
            <w:tcBorders>
              <w:top w:val="single" w:color="auto" w:sz="4"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rPr>
              <w:t>…</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firstLine="525" w:firstLineChars="250"/>
              <w:rPr>
                <w:rFonts w:ascii="宋体" w:hAnsi="宋体"/>
                <w:sz w:val="28"/>
                <w:szCs w:val="28"/>
              </w:rPr>
            </w:pPr>
            <w:r>
              <w:rPr>
                <w:rFonts w:hint="eastAsia" w:ascii="宋体" w:hAnsi="宋体"/>
              </w:rPr>
              <w:t>…</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ign w:val="center"/>
          </w:tcPr>
          <w:p>
            <w:pPr>
              <w:pStyle w:val="42"/>
              <w:adjustRightInd w:val="0"/>
              <w:snapToGrid w:val="0"/>
              <w:spacing w:line="500" w:lineRule="exact"/>
              <w:rPr>
                <w:rFonts w:ascii="宋体" w:hAnsi="宋体"/>
                <w:sz w:val="28"/>
                <w:szCs w:val="28"/>
              </w:rPr>
            </w:pPr>
            <w:r>
              <w:rPr>
                <w:rFonts w:hint="eastAsia" w:ascii="宋体" w:hAnsi="宋体"/>
                <w:sz w:val="28"/>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ign w:val="center"/>
          </w:tcPr>
          <w:p>
            <w:pPr>
              <w:pStyle w:val="42"/>
              <w:adjustRightInd w:val="0"/>
              <w:snapToGrid w:val="0"/>
              <w:spacing w:line="500" w:lineRule="exact"/>
              <w:rPr>
                <w:rFonts w:ascii="宋体" w:hAnsi="宋体"/>
                <w:sz w:val="28"/>
                <w:szCs w:val="28"/>
              </w:rPr>
            </w:pPr>
            <w:r>
              <w:rPr>
                <w:rFonts w:ascii="宋体" w:hAnsi="宋体"/>
                <w:sz w:val="28"/>
                <w:szCs w:val="30"/>
              </w:rPr>
              <w:t>¥</w:t>
            </w:r>
            <w:r>
              <w:rPr>
                <w:rFonts w:hint="eastAsia" w:ascii="宋体" w:hAnsi="宋体"/>
                <w:sz w:val="28"/>
                <w:szCs w:val="30"/>
              </w:rPr>
              <w:t>：</w:t>
            </w:r>
          </w:p>
        </w:tc>
      </w:tr>
    </w:tbl>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pStyle w:val="42"/>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 分项报价总计价格必须与《报价表》报价一致。</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3. 如果不提供详细的分项报价表将被视为没有实质性响应磋商文件。</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4．供应商必须按此表格式中的对应栏目内容填写，若需增加栏目，请在栏目“其它”中填写，并作详细说明。</w:t>
      </w:r>
    </w:p>
    <w:p>
      <w:pPr>
        <w:spacing w:line="460" w:lineRule="exact"/>
        <w:jc w:val="center"/>
        <w:rPr>
          <w:rFonts w:ascii="宋体" w:hAnsi="宋体" w:cs="宋体"/>
          <w:b/>
          <w:bCs/>
          <w:sz w:val="28"/>
          <w:szCs w:val="28"/>
        </w:rPr>
      </w:pPr>
    </w:p>
    <w:p>
      <w:pPr>
        <w:pStyle w:val="18"/>
        <w:tabs>
          <w:tab w:val="left" w:pos="615"/>
        </w:tabs>
        <w:ind w:firstLine="562"/>
        <w:rPr>
          <w:rFonts w:ascii="宋体" w:hAnsi="宋体" w:cs="宋体"/>
          <w:b/>
          <w:bCs/>
          <w:sz w:val="28"/>
          <w:szCs w:val="28"/>
        </w:rPr>
      </w:pPr>
    </w:p>
    <w:p>
      <w:pPr>
        <w:pStyle w:val="18"/>
        <w:tabs>
          <w:tab w:val="left" w:pos="615"/>
        </w:tabs>
        <w:ind w:firstLine="562"/>
        <w:rPr>
          <w:rFonts w:ascii="宋体" w:hAnsi="宋体" w:cs="宋体"/>
          <w:b/>
          <w:bCs/>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rPr>
          <w:rFonts w:hint="eastAsia" w:ascii="宋体" w:hAnsi="宋体" w:cs="宋体"/>
          <w:b/>
          <w:bCs/>
          <w:sz w:val="28"/>
          <w:szCs w:val="28"/>
          <w:lang w:eastAsia="zh-CN"/>
        </w:rPr>
      </w:pPr>
      <w:r>
        <w:rPr>
          <w:rFonts w:hint="eastAsia" w:ascii="宋体" w:hAnsi="宋体" w:cs="宋体"/>
          <w:b/>
          <w:bCs/>
          <w:sz w:val="28"/>
          <w:szCs w:val="28"/>
          <w:lang w:eastAsia="zh-CN"/>
        </w:rPr>
        <w:br w:type="page"/>
      </w:r>
    </w:p>
    <w:p>
      <w:pPr>
        <w:spacing w:line="360" w:lineRule="auto"/>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建始县黄土坎易地扶贫搬迁集镇安置小区配套标准化厂房（绝缘材料厂房）</w:t>
      </w:r>
      <w:r>
        <w:rPr>
          <w:rFonts w:hint="eastAsia" w:ascii="宋体" w:hAnsi="宋体" w:eastAsia="宋体" w:cs="宋体"/>
          <w:b/>
          <w:bCs/>
          <w:color w:val="auto"/>
          <w:sz w:val="28"/>
          <w:szCs w:val="28"/>
          <w:lang w:val="en-US" w:eastAsia="zh-CN"/>
        </w:rPr>
        <w:t xml:space="preserve"> 建设项目（电梯采购及安装）</w:t>
      </w:r>
    </w:p>
    <w:p>
      <w:pPr>
        <w:spacing w:line="460" w:lineRule="exact"/>
        <w:jc w:val="center"/>
        <w:rPr>
          <w:rFonts w:ascii="宋体" w:hAnsi="宋体" w:cs="宋体"/>
          <w:b/>
          <w:bCs/>
          <w:sz w:val="28"/>
          <w:szCs w:val="28"/>
        </w:rPr>
      </w:pPr>
      <w:r>
        <w:rPr>
          <w:rFonts w:hint="eastAsia" w:ascii="宋体" w:hAnsi="宋体" w:cs="宋体"/>
          <w:b/>
          <w:bCs/>
          <w:sz w:val="28"/>
          <w:szCs w:val="28"/>
        </w:rPr>
        <w:t>最后报价表</w:t>
      </w:r>
    </w:p>
    <w:tbl>
      <w:tblPr>
        <w:tblStyle w:val="19"/>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020"/>
        <w:gridCol w:w="855"/>
        <w:gridCol w:w="840"/>
        <w:gridCol w:w="210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79"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金额</w:t>
            </w: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779" w:type="dxa"/>
            <w:tcBorders>
              <w:top w:val="single" w:color="auto" w:sz="4" w:space="0"/>
              <w:left w:val="single" w:color="auto" w:sz="4" w:space="0"/>
              <w:bottom w:val="single" w:color="auto" w:sz="4" w:space="0"/>
              <w:right w:val="single" w:color="auto" w:sz="4" w:space="0"/>
            </w:tcBorders>
            <w:noWrap/>
            <w:vAlign w:val="top"/>
          </w:tcPr>
          <w:p>
            <w:pPr>
              <w:bidi w:val="0"/>
              <w:jc w:val="center"/>
              <w:rPr>
                <w:rFonts w:hint="eastAsia" w:ascii="宋体" w:hAnsi="宋体" w:eastAsia="宋体" w:cs="宋体"/>
                <w:szCs w:val="28"/>
                <w:lang w:eastAsia="zh-CN"/>
              </w:rPr>
            </w:pPr>
            <w:r>
              <w:rPr>
                <w:rFonts w:hint="eastAsia"/>
                <w:sz w:val="28"/>
                <w:szCs w:val="36"/>
                <w:lang w:eastAsia="zh-CN"/>
              </w:rPr>
              <w:t>建始县黄土坎易地扶贫搬迁集镇安置小区配套标准化厂房（绝缘材料厂房）</w:t>
            </w:r>
            <w:r>
              <w:rPr>
                <w:rFonts w:hint="eastAsia"/>
                <w:sz w:val="28"/>
                <w:szCs w:val="36"/>
                <w:lang w:val="en-US" w:eastAsia="zh-CN"/>
              </w:rPr>
              <w:t xml:space="preserve"> 建设项目（电梯采购及安装）</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sz w:val="28"/>
                <w:szCs w:val="36"/>
              </w:rPr>
              <w:t>磋商项目要求</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项</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1</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highlight w:val="red"/>
              </w:rPr>
            </w:pP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pStyle w:val="42"/>
        <w:autoSpaceDE w:val="0"/>
        <w:autoSpaceDN w:val="0"/>
        <w:adjustRightInd w:val="0"/>
        <w:spacing w:line="500" w:lineRule="exact"/>
        <w:jc w:val="center"/>
        <w:outlineLvl w:val="2"/>
        <w:rPr>
          <w:rFonts w:hint="eastAsia" w:ascii="宋体" w:hAnsi="宋体"/>
          <w:sz w:val="28"/>
          <w:szCs w:val="28"/>
        </w:rPr>
      </w:pPr>
      <w:bookmarkStart w:id="91" w:name="_Toc13502"/>
      <w:bookmarkStart w:id="92" w:name="_Toc20998"/>
      <w:r>
        <w:rPr>
          <w:rFonts w:hint="eastAsia" w:ascii="宋体" w:hAnsi="宋体"/>
          <w:b/>
          <w:bCs/>
          <w:sz w:val="28"/>
          <w:szCs w:val="28"/>
        </w:rPr>
        <w:t>供应商</w:t>
      </w:r>
      <w:r>
        <w:rPr>
          <w:rFonts w:hint="eastAsia" w:ascii="宋体" w:hAnsi="宋体"/>
          <w:b/>
          <w:bCs/>
          <w:sz w:val="28"/>
          <w:szCs w:val="28"/>
          <w:lang w:val="en-US" w:eastAsia="zh-CN"/>
        </w:rPr>
        <w:t>本表可不装在文件中，</w:t>
      </w:r>
      <w:r>
        <w:rPr>
          <w:rFonts w:hint="eastAsia" w:ascii="宋体" w:hAnsi="宋体"/>
          <w:b/>
          <w:bCs/>
          <w:sz w:val="28"/>
          <w:szCs w:val="28"/>
        </w:rPr>
        <w:t>应单独携带几份此报价表，不填数据，只盖章（或携带公章），现场填写。</w:t>
      </w:r>
      <w:bookmarkEnd w:id="91"/>
      <w:bookmarkEnd w:id="92"/>
    </w:p>
    <w:p>
      <w:pPr>
        <w:pStyle w:val="12"/>
        <w:spacing w:line="520" w:lineRule="exact"/>
        <w:ind w:left="279" w:firstLine="6860" w:firstLineChars="2450"/>
        <w:rPr>
          <w:rFonts w:cs="宋体"/>
          <w:szCs w:val="28"/>
        </w:rPr>
      </w:pPr>
    </w:p>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500" w:lineRule="exact"/>
        <w:jc w:val="center"/>
        <w:outlineLvl w:val="1"/>
        <w:rPr>
          <w:rFonts w:hint="eastAsia" w:ascii="宋体" w:hAnsi="宋体" w:cs="宋体"/>
          <w:b/>
          <w:bCs/>
          <w:sz w:val="28"/>
          <w:szCs w:val="28"/>
          <w:lang w:val="zh-CN" w:bidi="zh-CN"/>
        </w:rPr>
      </w:pPr>
      <w:r>
        <w:rPr>
          <w:rFonts w:hint="eastAsia" w:ascii="宋体" w:hAnsi="宋体" w:cs="宋体"/>
          <w:b/>
          <w:bCs/>
          <w:sz w:val="28"/>
          <w:szCs w:val="28"/>
          <w:lang w:val="zh-CN" w:bidi="zh-CN"/>
        </w:rPr>
        <w:br w:type="page"/>
      </w:r>
    </w:p>
    <w:p>
      <w:pPr>
        <w:spacing w:line="500" w:lineRule="exact"/>
        <w:jc w:val="center"/>
        <w:outlineLvl w:val="1"/>
        <w:rPr>
          <w:rFonts w:ascii="宋体" w:hAnsi="宋体" w:cs="宋体"/>
          <w:bCs/>
          <w:color w:val="000000"/>
          <w:szCs w:val="28"/>
        </w:rPr>
      </w:pPr>
      <w:bookmarkStart w:id="93" w:name="_Toc26502"/>
      <w:bookmarkStart w:id="94" w:name="_Toc23495"/>
      <w:r>
        <w:rPr>
          <w:rFonts w:hint="eastAsia" w:ascii="宋体" w:hAnsi="宋体" w:cs="宋体"/>
          <w:b/>
          <w:bCs/>
          <w:sz w:val="28"/>
          <w:szCs w:val="28"/>
          <w:lang w:val="zh-CN" w:bidi="zh-CN"/>
        </w:rPr>
        <w:t>政府采购促进中小企业发展声明函</w:t>
      </w:r>
      <w:bookmarkEnd w:id="93"/>
      <w:bookmarkEnd w:id="94"/>
    </w:p>
    <w:p>
      <w:pPr>
        <w:tabs>
          <w:tab w:val="left" w:pos="7665"/>
        </w:tabs>
        <w:jc w:val="center"/>
        <w:outlineLvl w:val="2"/>
        <w:rPr>
          <w:rFonts w:hint="eastAsia" w:ascii="宋体" w:hAnsi="宋体" w:eastAsia="宋体" w:cs="宋体"/>
          <w:b/>
          <w:color w:val="000000"/>
          <w:sz w:val="28"/>
          <w:szCs w:val="28"/>
          <w:lang w:eastAsia="zh-CN"/>
        </w:rPr>
      </w:pPr>
      <w:bookmarkStart w:id="95" w:name="_Toc5466"/>
      <w:bookmarkStart w:id="96" w:name="_Toc27842"/>
      <w:bookmarkStart w:id="97" w:name="_Toc9424"/>
      <w:bookmarkStart w:id="98" w:name="_Toc13107"/>
      <w:bookmarkStart w:id="99" w:name="_Toc5524"/>
      <w:bookmarkStart w:id="100" w:name="_Toc14119"/>
      <w:r>
        <w:rPr>
          <w:rFonts w:hint="eastAsia" w:ascii="宋体" w:hAnsi="宋体" w:cs="宋体"/>
          <w:b/>
          <w:color w:val="000000"/>
          <w:sz w:val="28"/>
          <w:szCs w:val="28"/>
        </w:rPr>
        <w:t>（一）中小企业声明函</w:t>
      </w:r>
      <w:bookmarkEnd w:id="95"/>
      <w:bookmarkEnd w:id="96"/>
      <w:bookmarkEnd w:id="97"/>
      <w:bookmarkEnd w:id="98"/>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99"/>
      <w:bookmarkEnd w:id="100"/>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42"/>
        <w:spacing w:line="360" w:lineRule="auto"/>
        <w:ind w:left="666"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default" w:ascii="宋体" w:hAnsi="宋体"/>
          <w:sz w:val="24"/>
          <w:szCs w:val="21"/>
          <w:u w:val="single"/>
          <w:vertAlign w:val="superscript"/>
          <w:lang w:val="en-US" w:eastAsia="zh-CN"/>
        </w:rPr>
      </w:pPr>
      <w:r>
        <w:rPr>
          <w:rFonts w:hint="eastAsia" w:ascii="宋体" w:hAnsi="宋体"/>
          <w:sz w:val="24"/>
          <w:szCs w:val="21"/>
          <w:u w:val="single"/>
          <w:vertAlign w:val="superscript"/>
          <w:lang w:val="en-US" w:eastAsia="zh-CN"/>
        </w:rPr>
        <w:t xml:space="preserve">                                                   </w:t>
      </w: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42"/>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44"/>
        <w:rPr>
          <w:highlight w:val="yellow"/>
        </w:rPr>
      </w:pPr>
    </w:p>
    <w:p>
      <w:pPr>
        <w:tabs>
          <w:tab w:val="left" w:pos="7665"/>
        </w:tabs>
        <w:jc w:val="center"/>
        <w:outlineLvl w:val="2"/>
        <w:rPr>
          <w:rFonts w:hint="eastAsia" w:ascii="宋体" w:hAnsi="宋体" w:cs="宋体"/>
          <w:b/>
          <w:color w:val="000000"/>
          <w:sz w:val="28"/>
          <w:szCs w:val="28"/>
        </w:rPr>
      </w:pPr>
      <w:bookmarkStart w:id="101" w:name="_Toc18022"/>
      <w:bookmarkStart w:id="102" w:name="_Toc27876"/>
      <w:bookmarkStart w:id="103" w:name="_Toc10846"/>
      <w:bookmarkStart w:id="104" w:name="_Toc9"/>
      <w:bookmarkStart w:id="105" w:name="_Toc10477"/>
      <w:bookmarkStart w:id="106" w:name="_Toc8524"/>
      <w:r>
        <w:rPr>
          <w:rFonts w:hint="eastAsia" w:ascii="宋体" w:hAnsi="宋体" w:cs="宋体"/>
          <w:b/>
          <w:color w:val="000000"/>
          <w:sz w:val="28"/>
          <w:szCs w:val="28"/>
        </w:rPr>
        <w:t>（二）残疾人福利性单位声明函</w:t>
      </w:r>
      <w:bookmarkEnd w:id="101"/>
      <w:bookmarkEnd w:id="102"/>
      <w:bookmarkEnd w:id="103"/>
      <w:bookmarkEnd w:id="104"/>
      <w:bookmarkEnd w:id="105"/>
      <w:bookmarkEnd w:id="106"/>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w:t>
      </w:r>
    </w:p>
    <w:p>
      <w:pPr>
        <w:tabs>
          <w:tab w:val="left" w:pos="7665"/>
        </w:tabs>
        <w:rPr>
          <w:rFonts w:ascii="宋体" w:hAnsi="宋体"/>
          <w:bCs/>
          <w:color w:val="000000"/>
          <w:sz w:val="28"/>
          <w:szCs w:val="28"/>
        </w:rPr>
      </w:pPr>
      <w:r>
        <w:rPr>
          <w:rFonts w:hint="eastAsia" w:ascii="宋体" w:hAnsi="宋体"/>
          <w:bCs/>
          <w:color w:val="000000"/>
          <w:sz w:val="28"/>
          <w:szCs w:val="28"/>
        </w:rPr>
        <w:t>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107" w:name="_Toc24921"/>
      <w:bookmarkStart w:id="108" w:name="_Toc32284"/>
      <w:bookmarkStart w:id="109" w:name="_Toc6169"/>
      <w:bookmarkStart w:id="110" w:name="_Toc1952"/>
      <w:bookmarkStart w:id="111" w:name="_Toc1096"/>
      <w:bookmarkStart w:id="112" w:name="_Toc31614"/>
      <w:r>
        <w:rPr>
          <w:rFonts w:hint="eastAsia" w:ascii="宋体" w:hAnsi="宋体" w:cs="宋体"/>
          <w:b/>
          <w:color w:val="000000"/>
          <w:sz w:val="28"/>
          <w:szCs w:val="28"/>
        </w:rPr>
        <w:t>（三）省级以上监狱管理局、戒毒管理局（含新疆生产建设兵团）</w:t>
      </w:r>
      <w:bookmarkEnd w:id="107"/>
      <w:bookmarkEnd w:id="108"/>
      <w:bookmarkEnd w:id="109"/>
      <w:bookmarkEnd w:id="110"/>
      <w:bookmarkEnd w:id="111"/>
      <w:bookmarkEnd w:id="112"/>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0" w:type="first"/>
          <w:footerReference r:id="rId9" w:type="default"/>
          <w:pgSz w:w="11906" w:h="16838"/>
          <w:pgMar w:top="1440" w:right="1800" w:bottom="1091" w:left="1800" w:header="851" w:footer="992" w:gutter="0"/>
          <w:pgNumType w:start="31"/>
          <w:cols w:space="720" w:num="1"/>
          <w:titlePg/>
          <w:docGrid w:type="lines" w:linePitch="312" w:charSpace="0"/>
        </w:sectPr>
      </w:pPr>
    </w:p>
    <w:p>
      <w:pPr>
        <w:tabs>
          <w:tab w:val="left" w:pos="7665"/>
        </w:tabs>
        <w:jc w:val="center"/>
        <w:outlineLvl w:val="2"/>
        <w:rPr>
          <w:rFonts w:ascii="宋体" w:hAnsi="宋体" w:cs="宋体"/>
          <w:b/>
          <w:sz w:val="28"/>
          <w:szCs w:val="28"/>
        </w:rPr>
      </w:pPr>
      <w:bookmarkStart w:id="113" w:name="_Toc15027"/>
      <w:bookmarkStart w:id="114" w:name="_Toc10289"/>
      <w:r>
        <w:rPr>
          <w:rFonts w:hint="eastAsia" w:ascii="宋体" w:hAnsi="宋体" w:cs="宋体"/>
          <w:b/>
          <w:sz w:val="28"/>
          <w:szCs w:val="28"/>
        </w:rPr>
        <w:t>（四）中小企业划型标准</w:t>
      </w:r>
      <w:bookmarkEnd w:id="113"/>
      <w:bookmarkEnd w:id="114"/>
    </w:p>
    <w:tbl>
      <w:tblPr>
        <w:tblStyle w:val="19"/>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序号</w:t>
            </w:r>
          </w:p>
        </w:tc>
        <w:tc>
          <w:tcPr>
            <w:tcW w:w="1700" w:type="dxa"/>
            <w:vMerge w:val="restart"/>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行业</w:t>
            </w:r>
          </w:p>
        </w:tc>
        <w:tc>
          <w:tcPr>
            <w:tcW w:w="3432"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大型企业</w:t>
            </w:r>
          </w:p>
        </w:tc>
        <w:tc>
          <w:tcPr>
            <w:tcW w:w="2974"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中型企业</w:t>
            </w:r>
          </w:p>
        </w:tc>
        <w:tc>
          <w:tcPr>
            <w:tcW w:w="2859"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小型企业</w:t>
            </w:r>
          </w:p>
        </w:tc>
        <w:tc>
          <w:tcPr>
            <w:tcW w:w="3550" w:type="dxa"/>
            <w:gridSpan w:val="3"/>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spacing w:line="240" w:lineRule="exact"/>
              <w:jc w:val="center"/>
              <w:rPr>
                <w:rFonts w:ascii="宋体" w:hAnsi="宋体" w:cs="宋体"/>
                <w:kern w:val="0"/>
                <w:sz w:val="18"/>
                <w:szCs w:val="18"/>
              </w:rPr>
            </w:pPr>
          </w:p>
        </w:tc>
        <w:tc>
          <w:tcPr>
            <w:tcW w:w="1700" w:type="dxa"/>
            <w:vMerge w:val="continue"/>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营业收入（万元）</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从业人员（人）</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农、林、牧、渔业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700" w:type="dxa"/>
            <w:noWrap w:val="0"/>
            <w:vAlign w:val="center"/>
          </w:tcPr>
          <w:p>
            <w:pPr>
              <w:spacing w:line="240" w:lineRule="exact"/>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工业</w:t>
            </w:r>
            <w:r>
              <w:rPr>
                <w:rFonts w:hint="eastAsia" w:ascii="宋体" w:hAnsi="宋体" w:cs="宋体"/>
                <w:b/>
                <w:bCs/>
                <w:kern w:val="0"/>
                <w:sz w:val="18"/>
                <w:szCs w:val="18"/>
                <w:lang w:eastAsia="zh-CN"/>
              </w:rPr>
              <w:t>（</w:t>
            </w:r>
            <w:r>
              <w:rPr>
                <w:rFonts w:hint="eastAsia" w:ascii="宋体" w:hAnsi="宋体" w:cs="宋体"/>
                <w:b/>
                <w:bCs/>
                <w:kern w:val="0"/>
                <w:sz w:val="18"/>
                <w:szCs w:val="18"/>
                <w:lang w:val="en-US" w:eastAsia="zh-CN"/>
              </w:rPr>
              <w:t>本项目适用</w:t>
            </w:r>
            <w:r>
              <w:rPr>
                <w:rFonts w:hint="eastAsia" w:ascii="宋体" w:hAnsi="宋体" w:cs="宋体"/>
                <w:b/>
                <w:bCs/>
                <w:kern w:val="0"/>
                <w:sz w:val="18"/>
                <w:szCs w:val="18"/>
                <w:lang w:eastAsia="zh-CN"/>
              </w:rPr>
              <w:t>）</w:t>
            </w:r>
          </w:p>
        </w:tc>
        <w:tc>
          <w:tcPr>
            <w:tcW w:w="1144" w:type="dxa"/>
            <w:noWrap w:val="0"/>
            <w:vAlign w:val="center"/>
          </w:tcPr>
          <w:p>
            <w:pPr>
              <w:spacing w:line="240" w:lineRule="exact"/>
              <w:jc w:val="center"/>
              <w:rPr>
                <w:rFonts w:ascii="宋体" w:hAnsi="宋体" w:cs="宋体"/>
                <w:b/>
                <w:bCs/>
                <w:kern w:val="0"/>
                <w:sz w:val="18"/>
                <w:szCs w:val="18"/>
              </w:rPr>
            </w:pPr>
            <w:r>
              <w:rPr>
                <w:rFonts w:hint="eastAsia" w:ascii="宋体" w:hAnsi="宋体" w:cs="宋体"/>
                <w:b/>
                <w:bCs/>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建筑业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批发业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零售业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交通运输业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仓储业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邮政业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住宿业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餐饮业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信息传输业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软件和信息技术服务业</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房地产开发经验</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≥200000</w:t>
            </w:r>
          </w:p>
        </w:tc>
        <w:tc>
          <w:tcPr>
            <w:tcW w:w="1143" w:type="dxa"/>
            <w:noWrap w:val="0"/>
            <w:vAlign w:val="center"/>
          </w:tcPr>
          <w:p>
            <w:pPr>
              <w:spacing w:line="240" w:lineRule="exact"/>
              <w:jc w:val="center"/>
              <w:rPr>
                <w:rFonts w:ascii="宋体" w:hAnsi="宋体" w:cs="宋体"/>
                <w:kern w:val="0"/>
                <w:sz w:val="18"/>
                <w:szCs w:val="18"/>
              </w:rPr>
            </w:pP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或，≥10000</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且，≥5000</w:t>
            </w: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07" w:type="dxa"/>
            <w:noWrap w:val="0"/>
            <w:vAlign w:val="center"/>
          </w:tcPr>
          <w:p>
            <w:pPr>
              <w:spacing w:line="240" w:lineRule="exact"/>
              <w:jc w:val="center"/>
              <w:rPr>
                <w:rFonts w:ascii="宋体" w:hAnsi="宋体" w:cs="宋体"/>
                <w:kern w:val="0"/>
                <w:sz w:val="18"/>
                <w:szCs w:val="18"/>
              </w:rPr>
            </w:pP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且，≥2000</w:t>
            </w: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3" w:type="dxa"/>
            <w:noWrap w:val="0"/>
            <w:vAlign w:val="center"/>
          </w:tcPr>
          <w:p>
            <w:pPr>
              <w:spacing w:line="240" w:lineRule="exact"/>
              <w:jc w:val="center"/>
              <w:rPr>
                <w:rFonts w:ascii="宋体" w:hAnsi="宋体" w:cs="宋体"/>
                <w:kern w:val="0"/>
                <w:sz w:val="18"/>
                <w:szCs w:val="18"/>
              </w:rPr>
            </w:pP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14</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物业管理</w:t>
            </w: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≥5000</w:t>
            </w: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＜500</w:t>
            </w: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585" w:type="dxa"/>
            <w:noWrap w:val="0"/>
            <w:vAlign w:val="center"/>
          </w:tcPr>
          <w:p>
            <w:pPr>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租赁和商务服务业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或，≥120000</w:t>
            </w: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且，≥8000</w:t>
            </w: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且，≥100</w:t>
            </w: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16</w:t>
            </w:r>
          </w:p>
        </w:tc>
        <w:tc>
          <w:tcPr>
            <w:tcW w:w="1700"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其他未列明行业</w:t>
            </w:r>
          </w:p>
        </w:tc>
        <w:tc>
          <w:tcPr>
            <w:tcW w:w="1144" w:type="dxa"/>
            <w:noWrap w:val="0"/>
            <w:vAlign w:val="center"/>
          </w:tcPr>
          <w:p>
            <w:pPr>
              <w:spacing w:line="240" w:lineRule="exact"/>
              <w:jc w:val="center"/>
              <w:rPr>
                <w:rFonts w:ascii="宋体" w:hAnsi="宋体" w:cs="宋体"/>
                <w:kern w:val="0"/>
                <w:sz w:val="18"/>
                <w:szCs w:val="18"/>
              </w:rPr>
            </w:pPr>
          </w:p>
        </w:tc>
        <w:tc>
          <w:tcPr>
            <w:tcW w:w="114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≥300</w:t>
            </w:r>
          </w:p>
        </w:tc>
        <w:tc>
          <w:tcPr>
            <w:tcW w:w="1145" w:type="dxa"/>
            <w:noWrap w:val="0"/>
            <w:vAlign w:val="center"/>
          </w:tcPr>
          <w:p>
            <w:pPr>
              <w:spacing w:line="240" w:lineRule="exact"/>
              <w:jc w:val="center"/>
              <w:rPr>
                <w:rFonts w:ascii="宋体" w:hAnsi="宋体" w:cs="宋体"/>
                <w:kern w:val="0"/>
                <w:sz w:val="18"/>
                <w:szCs w:val="18"/>
              </w:rPr>
            </w:pPr>
          </w:p>
        </w:tc>
        <w:tc>
          <w:tcPr>
            <w:tcW w:w="1144" w:type="dxa"/>
            <w:noWrap w:val="0"/>
            <w:vAlign w:val="center"/>
          </w:tcPr>
          <w:p>
            <w:pPr>
              <w:spacing w:line="240" w:lineRule="exact"/>
              <w:jc w:val="center"/>
              <w:rPr>
                <w:rFonts w:ascii="宋体" w:hAnsi="宋体" w:cs="宋体"/>
                <w:kern w:val="0"/>
                <w:sz w:val="18"/>
                <w:szCs w:val="18"/>
              </w:rPr>
            </w:pPr>
          </w:p>
        </w:tc>
        <w:tc>
          <w:tcPr>
            <w:tcW w:w="91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917" w:type="dxa"/>
            <w:noWrap w:val="0"/>
            <w:vAlign w:val="center"/>
          </w:tcPr>
          <w:p>
            <w:pPr>
              <w:spacing w:line="240" w:lineRule="exact"/>
              <w:jc w:val="center"/>
              <w:rPr>
                <w:rFonts w:ascii="宋体" w:hAnsi="宋体" w:cs="宋体"/>
                <w:kern w:val="0"/>
                <w:sz w:val="18"/>
                <w:szCs w:val="18"/>
              </w:rPr>
            </w:pPr>
          </w:p>
        </w:tc>
        <w:tc>
          <w:tcPr>
            <w:tcW w:w="967" w:type="dxa"/>
            <w:noWrap w:val="0"/>
            <w:vAlign w:val="center"/>
          </w:tcPr>
          <w:p>
            <w:pPr>
              <w:spacing w:line="240" w:lineRule="exact"/>
              <w:jc w:val="center"/>
              <w:rPr>
                <w:rFonts w:ascii="宋体" w:hAnsi="宋体" w:cs="宋体"/>
                <w:kern w:val="0"/>
                <w:sz w:val="18"/>
                <w:szCs w:val="18"/>
              </w:rPr>
            </w:pPr>
          </w:p>
        </w:tc>
        <w:tc>
          <w:tcPr>
            <w:tcW w:w="907"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85" w:type="dxa"/>
            <w:noWrap w:val="0"/>
            <w:vAlign w:val="center"/>
          </w:tcPr>
          <w:p>
            <w:pPr>
              <w:spacing w:line="240" w:lineRule="exact"/>
              <w:jc w:val="center"/>
              <w:rPr>
                <w:rFonts w:ascii="宋体" w:hAnsi="宋体" w:cs="宋体"/>
                <w:kern w:val="0"/>
                <w:sz w:val="18"/>
                <w:szCs w:val="18"/>
              </w:rPr>
            </w:pPr>
          </w:p>
        </w:tc>
        <w:tc>
          <w:tcPr>
            <w:tcW w:w="982" w:type="dxa"/>
            <w:noWrap w:val="0"/>
            <w:vAlign w:val="center"/>
          </w:tcPr>
          <w:p>
            <w:pPr>
              <w:spacing w:line="240" w:lineRule="exact"/>
              <w:jc w:val="center"/>
              <w:rPr>
                <w:rFonts w:ascii="宋体" w:hAnsi="宋体" w:cs="宋体"/>
                <w:kern w:val="0"/>
                <w:sz w:val="18"/>
                <w:szCs w:val="18"/>
              </w:rPr>
            </w:pPr>
          </w:p>
        </w:tc>
        <w:tc>
          <w:tcPr>
            <w:tcW w:w="983" w:type="dxa"/>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5" w:type="dxa"/>
            <w:noWrap w:val="0"/>
            <w:vAlign w:val="center"/>
          </w:tcPr>
          <w:p>
            <w:pPr>
              <w:spacing w:line="240" w:lineRule="exact"/>
              <w:jc w:val="center"/>
              <w:rPr>
                <w:rFonts w:ascii="宋体" w:hAnsi="宋体" w:cs="宋体"/>
                <w:kern w:val="0"/>
                <w:sz w:val="18"/>
                <w:szCs w:val="18"/>
              </w:rPr>
            </w:pPr>
          </w:p>
        </w:tc>
      </w:tr>
    </w:tbl>
    <w:p>
      <w:pPr>
        <w:rPr>
          <w:color w:val="auto"/>
        </w:rPr>
      </w:pPr>
    </w:p>
    <w:sectPr>
      <w:footerReference r:id="rId12" w:type="first"/>
      <w:footerReference r:id="rId11" w:type="default"/>
      <w:pgSz w:w="16838" w:h="11906" w:orient="landscape"/>
      <w:pgMar w:top="1800" w:right="1440" w:bottom="1800" w:left="109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Style w:val="23"/>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2"/>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5dF0cd0BAACu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aZCjXAQAAsw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wS4llBm/8/OP7+efv&#10;869vBGMoUO+hxronj5VxeO8GLJ7jgMHEe5DBpD8yIphHeU8XecUQCU+HqlVVlZjimJsdxC+ej/sA&#10;8UE4Q5LR0ID3l2Vlxw8Qx9K5JHWz7l5pne9QW9Ij6k319iafuKQQXdtULPI6TDiJ0zh7suKwGyai&#10;O9eekGePK9FQiy+AEv1oUfG0PbMRZmM3Gwcf1L7DkZe5O/h3h4jD5ZlThxEWuSYH7zKznvYuLcvf&#10;fq56fmu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2mmQo1wEAALMDAAAOAAAAAAAAAAEA&#10;IAAAACIBAABkcnMvZTJvRG9jLnhtbFBLBQYAAAAABgAGAFkBAABr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Cqw+3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19880"/>
    <w:multiLevelType w:val="singleLevel"/>
    <w:tmpl w:val="E231988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3589"/>
    <w:rsid w:val="00031AAC"/>
    <w:rsid w:val="00164796"/>
    <w:rsid w:val="00624D55"/>
    <w:rsid w:val="0072651A"/>
    <w:rsid w:val="00BC1A9F"/>
    <w:rsid w:val="00CF1D9C"/>
    <w:rsid w:val="01212B00"/>
    <w:rsid w:val="013219E6"/>
    <w:rsid w:val="01657BDE"/>
    <w:rsid w:val="016D1546"/>
    <w:rsid w:val="017A3BF9"/>
    <w:rsid w:val="01D36FEC"/>
    <w:rsid w:val="02625AD2"/>
    <w:rsid w:val="029336A2"/>
    <w:rsid w:val="02977078"/>
    <w:rsid w:val="02AC577F"/>
    <w:rsid w:val="02C85DCE"/>
    <w:rsid w:val="02FB4AC5"/>
    <w:rsid w:val="02FD5867"/>
    <w:rsid w:val="03456A58"/>
    <w:rsid w:val="03944DF9"/>
    <w:rsid w:val="03C87C9F"/>
    <w:rsid w:val="042E30EF"/>
    <w:rsid w:val="04A15C83"/>
    <w:rsid w:val="04BA1D7C"/>
    <w:rsid w:val="04CA15C3"/>
    <w:rsid w:val="04E7568B"/>
    <w:rsid w:val="05112128"/>
    <w:rsid w:val="05173C5C"/>
    <w:rsid w:val="05257939"/>
    <w:rsid w:val="05606934"/>
    <w:rsid w:val="05785AE7"/>
    <w:rsid w:val="058C381B"/>
    <w:rsid w:val="05CB49B3"/>
    <w:rsid w:val="05E43091"/>
    <w:rsid w:val="05FD5C48"/>
    <w:rsid w:val="061E3976"/>
    <w:rsid w:val="064459B1"/>
    <w:rsid w:val="06446935"/>
    <w:rsid w:val="06464C46"/>
    <w:rsid w:val="064D26F7"/>
    <w:rsid w:val="06653AF1"/>
    <w:rsid w:val="06A12890"/>
    <w:rsid w:val="06C57924"/>
    <w:rsid w:val="06DB2976"/>
    <w:rsid w:val="07132436"/>
    <w:rsid w:val="07140747"/>
    <w:rsid w:val="0744386D"/>
    <w:rsid w:val="07556EA3"/>
    <w:rsid w:val="07F71B4A"/>
    <w:rsid w:val="08277171"/>
    <w:rsid w:val="08326D66"/>
    <w:rsid w:val="08504206"/>
    <w:rsid w:val="088C6D6E"/>
    <w:rsid w:val="08CA6213"/>
    <w:rsid w:val="08F46243"/>
    <w:rsid w:val="08F727E9"/>
    <w:rsid w:val="09102A90"/>
    <w:rsid w:val="09385880"/>
    <w:rsid w:val="094A1670"/>
    <w:rsid w:val="095E5BBE"/>
    <w:rsid w:val="09A9365D"/>
    <w:rsid w:val="09AD592B"/>
    <w:rsid w:val="09B87BA0"/>
    <w:rsid w:val="09CB6A34"/>
    <w:rsid w:val="09DD046F"/>
    <w:rsid w:val="09FD4F45"/>
    <w:rsid w:val="0A332727"/>
    <w:rsid w:val="0A464AD1"/>
    <w:rsid w:val="0A472C1A"/>
    <w:rsid w:val="0A754156"/>
    <w:rsid w:val="0A762349"/>
    <w:rsid w:val="0A83240F"/>
    <w:rsid w:val="0A86485E"/>
    <w:rsid w:val="0AC75151"/>
    <w:rsid w:val="0AF03977"/>
    <w:rsid w:val="0B116B9E"/>
    <w:rsid w:val="0B3D43F2"/>
    <w:rsid w:val="0B5C67F4"/>
    <w:rsid w:val="0B872466"/>
    <w:rsid w:val="0B8A663F"/>
    <w:rsid w:val="0B9576CF"/>
    <w:rsid w:val="0BC93B97"/>
    <w:rsid w:val="0BD965D9"/>
    <w:rsid w:val="0BE32F72"/>
    <w:rsid w:val="0C5B698B"/>
    <w:rsid w:val="0C5F0CFE"/>
    <w:rsid w:val="0C9849F0"/>
    <w:rsid w:val="0CAF7B66"/>
    <w:rsid w:val="0CCB4634"/>
    <w:rsid w:val="0CE009A7"/>
    <w:rsid w:val="0D5E318B"/>
    <w:rsid w:val="0D68388D"/>
    <w:rsid w:val="0D810E92"/>
    <w:rsid w:val="0E581CD7"/>
    <w:rsid w:val="0E656F3F"/>
    <w:rsid w:val="0E9F6D80"/>
    <w:rsid w:val="0EA41F1F"/>
    <w:rsid w:val="0EC85904"/>
    <w:rsid w:val="0EE86C77"/>
    <w:rsid w:val="0EEC756A"/>
    <w:rsid w:val="0EED20BE"/>
    <w:rsid w:val="0F2842DA"/>
    <w:rsid w:val="0F3B7ACC"/>
    <w:rsid w:val="0F445873"/>
    <w:rsid w:val="0F820542"/>
    <w:rsid w:val="0FB46E1E"/>
    <w:rsid w:val="0FE253EE"/>
    <w:rsid w:val="10302CE7"/>
    <w:rsid w:val="103C2CB4"/>
    <w:rsid w:val="10431CE7"/>
    <w:rsid w:val="1044490D"/>
    <w:rsid w:val="10617384"/>
    <w:rsid w:val="109B2E29"/>
    <w:rsid w:val="10A87554"/>
    <w:rsid w:val="10C66ECA"/>
    <w:rsid w:val="10DA1BEB"/>
    <w:rsid w:val="111705C3"/>
    <w:rsid w:val="114B7AF1"/>
    <w:rsid w:val="11AE2867"/>
    <w:rsid w:val="11B556E2"/>
    <w:rsid w:val="11C5590E"/>
    <w:rsid w:val="11EE0CC3"/>
    <w:rsid w:val="121E4FBE"/>
    <w:rsid w:val="12690028"/>
    <w:rsid w:val="129046E1"/>
    <w:rsid w:val="12AA4032"/>
    <w:rsid w:val="12E150DF"/>
    <w:rsid w:val="131C48D6"/>
    <w:rsid w:val="133A7A2B"/>
    <w:rsid w:val="134F7F52"/>
    <w:rsid w:val="13C3280F"/>
    <w:rsid w:val="13F04474"/>
    <w:rsid w:val="1415073B"/>
    <w:rsid w:val="143B0A6A"/>
    <w:rsid w:val="14765D5B"/>
    <w:rsid w:val="151F67F4"/>
    <w:rsid w:val="154949E4"/>
    <w:rsid w:val="15590007"/>
    <w:rsid w:val="158C7C8F"/>
    <w:rsid w:val="15E51905"/>
    <w:rsid w:val="15F869E6"/>
    <w:rsid w:val="16120E0C"/>
    <w:rsid w:val="16226F91"/>
    <w:rsid w:val="163E275E"/>
    <w:rsid w:val="164350C9"/>
    <w:rsid w:val="169618DE"/>
    <w:rsid w:val="16A10C6C"/>
    <w:rsid w:val="16A430AD"/>
    <w:rsid w:val="16AB71FD"/>
    <w:rsid w:val="16DB2110"/>
    <w:rsid w:val="16E13646"/>
    <w:rsid w:val="16E74EBD"/>
    <w:rsid w:val="171761A5"/>
    <w:rsid w:val="172F47F2"/>
    <w:rsid w:val="17A66349"/>
    <w:rsid w:val="17AD52C1"/>
    <w:rsid w:val="17C134EC"/>
    <w:rsid w:val="17C774DF"/>
    <w:rsid w:val="17EF7DDE"/>
    <w:rsid w:val="1844749E"/>
    <w:rsid w:val="18723F0F"/>
    <w:rsid w:val="187A40D3"/>
    <w:rsid w:val="189D6ADE"/>
    <w:rsid w:val="18AF56DE"/>
    <w:rsid w:val="18C602FF"/>
    <w:rsid w:val="19112778"/>
    <w:rsid w:val="19465D05"/>
    <w:rsid w:val="19CB5E51"/>
    <w:rsid w:val="1A441323"/>
    <w:rsid w:val="1A801F4E"/>
    <w:rsid w:val="1AA73AD0"/>
    <w:rsid w:val="1AC73CB3"/>
    <w:rsid w:val="1ADB3FEA"/>
    <w:rsid w:val="1B1C285F"/>
    <w:rsid w:val="1B230D94"/>
    <w:rsid w:val="1B231155"/>
    <w:rsid w:val="1B823CD7"/>
    <w:rsid w:val="1B993933"/>
    <w:rsid w:val="1C1979BD"/>
    <w:rsid w:val="1C2A1721"/>
    <w:rsid w:val="1C5D6CD2"/>
    <w:rsid w:val="1C892703"/>
    <w:rsid w:val="1C91747C"/>
    <w:rsid w:val="1CA944DA"/>
    <w:rsid w:val="1CB713D9"/>
    <w:rsid w:val="1CE20112"/>
    <w:rsid w:val="1CFF02F0"/>
    <w:rsid w:val="1D0E5290"/>
    <w:rsid w:val="1D751056"/>
    <w:rsid w:val="1D857F4E"/>
    <w:rsid w:val="1DA30295"/>
    <w:rsid w:val="1DF238FC"/>
    <w:rsid w:val="1DF63DDD"/>
    <w:rsid w:val="1DFF472B"/>
    <w:rsid w:val="1E7243D6"/>
    <w:rsid w:val="1E793EE6"/>
    <w:rsid w:val="1EA2536F"/>
    <w:rsid w:val="1EB50777"/>
    <w:rsid w:val="1F0F1A91"/>
    <w:rsid w:val="1FB164D2"/>
    <w:rsid w:val="20AC09C9"/>
    <w:rsid w:val="20B00A13"/>
    <w:rsid w:val="20D172EB"/>
    <w:rsid w:val="20DA41FE"/>
    <w:rsid w:val="20EB3BCC"/>
    <w:rsid w:val="2149539D"/>
    <w:rsid w:val="21550A9E"/>
    <w:rsid w:val="215D5367"/>
    <w:rsid w:val="21815E13"/>
    <w:rsid w:val="21A2240E"/>
    <w:rsid w:val="21D32D71"/>
    <w:rsid w:val="22071DA0"/>
    <w:rsid w:val="222B498F"/>
    <w:rsid w:val="222C7A07"/>
    <w:rsid w:val="225E4D3E"/>
    <w:rsid w:val="22C92AE2"/>
    <w:rsid w:val="22D5764B"/>
    <w:rsid w:val="22EB74ED"/>
    <w:rsid w:val="231B64FF"/>
    <w:rsid w:val="231E5DAA"/>
    <w:rsid w:val="23543364"/>
    <w:rsid w:val="23B32E56"/>
    <w:rsid w:val="23C567E6"/>
    <w:rsid w:val="23CC01C9"/>
    <w:rsid w:val="23D336B7"/>
    <w:rsid w:val="240C2726"/>
    <w:rsid w:val="24266C40"/>
    <w:rsid w:val="246951F0"/>
    <w:rsid w:val="24CD08C8"/>
    <w:rsid w:val="24CE068C"/>
    <w:rsid w:val="25231919"/>
    <w:rsid w:val="25934245"/>
    <w:rsid w:val="25D36AFB"/>
    <w:rsid w:val="25D578EE"/>
    <w:rsid w:val="2654560B"/>
    <w:rsid w:val="26591986"/>
    <w:rsid w:val="26770428"/>
    <w:rsid w:val="267C7494"/>
    <w:rsid w:val="26DA2538"/>
    <w:rsid w:val="26F4463A"/>
    <w:rsid w:val="27176DEC"/>
    <w:rsid w:val="2761203F"/>
    <w:rsid w:val="27735245"/>
    <w:rsid w:val="27767F63"/>
    <w:rsid w:val="27F34668"/>
    <w:rsid w:val="28122323"/>
    <w:rsid w:val="281460FB"/>
    <w:rsid w:val="28451DE5"/>
    <w:rsid w:val="285F7FBD"/>
    <w:rsid w:val="288974E5"/>
    <w:rsid w:val="28DA1D60"/>
    <w:rsid w:val="29000C47"/>
    <w:rsid w:val="2926520E"/>
    <w:rsid w:val="2929587F"/>
    <w:rsid w:val="293515A5"/>
    <w:rsid w:val="297E32DA"/>
    <w:rsid w:val="29977EDF"/>
    <w:rsid w:val="299A7E0F"/>
    <w:rsid w:val="29F31F27"/>
    <w:rsid w:val="2AD07BF4"/>
    <w:rsid w:val="2AD82E44"/>
    <w:rsid w:val="2AE07117"/>
    <w:rsid w:val="2AFB0179"/>
    <w:rsid w:val="2B5255D6"/>
    <w:rsid w:val="2B835015"/>
    <w:rsid w:val="2B9D4686"/>
    <w:rsid w:val="2BB15413"/>
    <w:rsid w:val="2BB66800"/>
    <w:rsid w:val="2BBA3D4A"/>
    <w:rsid w:val="2BE5130F"/>
    <w:rsid w:val="2C2F195E"/>
    <w:rsid w:val="2C545E6C"/>
    <w:rsid w:val="2C680D7F"/>
    <w:rsid w:val="2CB636A9"/>
    <w:rsid w:val="2CED0726"/>
    <w:rsid w:val="2D1446BC"/>
    <w:rsid w:val="2D146F66"/>
    <w:rsid w:val="2D243BA3"/>
    <w:rsid w:val="2D302F2D"/>
    <w:rsid w:val="2D41116F"/>
    <w:rsid w:val="2D882F59"/>
    <w:rsid w:val="2DF5765F"/>
    <w:rsid w:val="2E08764D"/>
    <w:rsid w:val="2E365F80"/>
    <w:rsid w:val="2EB25641"/>
    <w:rsid w:val="2EDE3873"/>
    <w:rsid w:val="2F5F2D47"/>
    <w:rsid w:val="2F9914AB"/>
    <w:rsid w:val="2FDE1504"/>
    <w:rsid w:val="2FF06404"/>
    <w:rsid w:val="2FF1124A"/>
    <w:rsid w:val="300708E7"/>
    <w:rsid w:val="30945F4A"/>
    <w:rsid w:val="30B541F4"/>
    <w:rsid w:val="30B70CFF"/>
    <w:rsid w:val="30CB2D62"/>
    <w:rsid w:val="30FD6745"/>
    <w:rsid w:val="31262C7B"/>
    <w:rsid w:val="31745AB6"/>
    <w:rsid w:val="31C16CE9"/>
    <w:rsid w:val="31F42076"/>
    <w:rsid w:val="31F652EF"/>
    <w:rsid w:val="321C43B0"/>
    <w:rsid w:val="326E05F3"/>
    <w:rsid w:val="32C25DD4"/>
    <w:rsid w:val="32C63E03"/>
    <w:rsid w:val="32CB64CE"/>
    <w:rsid w:val="32E406AD"/>
    <w:rsid w:val="33283DF9"/>
    <w:rsid w:val="333B3984"/>
    <w:rsid w:val="33442FE6"/>
    <w:rsid w:val="339803A8"/>
    <w:rsid w:val="33B27416"/>
    <w:rsid w:val="33B37146"/>
    <w:rsid w:val="341541BD"/>
    <w:rsid w:val="345F1C47"/>
    <w:rsid w:val="34753DAF"/>
    <w:rsid w:val="347712FA"/>
    <w:rsid w:val="34AA0E2E"/>
    <w:rsid w:val="34AA1AD3"/>
    <w:rsid w:val="34F11EE0"/>
    <w:rsid w:val="353B00BD"/>
    <w:rsid w:val="35446E81"/>
    <w:rsid w:val="3554382F"/>
    <w:rsid w:val="35971ABC"/>
    <w:rsid w:val="361B4C87"/>
    <w:rsid w:val="36346CDC"/>
    <w:rsid w:val="366A3877"/>
    <w:rsid w:val="366F1E58"/>
    <w:rsid w:val="36A242E8"/>
    <w:rsid w:val="36B346CE"/>
    <w:rsid w:val="36FB4906"/>
    <w:rsid w:val="37ED5C91"/>
    <w:rsid w:val="37F23B28"/>
    <w:rsid w:val="37FB2306"/>
    <w:rsid w:val="389C63CD"/>
    <w:rsid w:val="38AD2895"/>
    <w:rsid w:val="38BF066E"/>
    <w:rsid w:val="38BF5331"/>
    <w:rsid w:val="38D07946"/>
    <w:rsid w:val="38D20428"/>
    <w:rsid w:val="39295C2F"/>
    <w:rsid w:val="394102E4"/>
    <w:rsid w:val="397F08C3"/>
    <w:rsid w:val="398D6DA8"/>
    <w:rsid w:val="398E66D3"/>
    <w:rsid w:val="39A0435C"/>
    <w:rsid w:val="39C33DA3"/>
    <w:rsid w:val="39E02709"/>
    <w:rsid w:val="39F80074"/>
    <w:rsid w:val="3A5270D5"/>
    <w:rsid w:val="3A765E67"/>
    <w:rsid w:val="3A7D358B"/>
    <w:rsid w:val="3ACF52D8"/>
    <w:rsid w:val="3AE01EEF"/>
    <w:rsid w:val="3AE713D9"/>
    <w:rsid w:val="3AEA1CF4"/>
    <w:rsid w:val="3AF94DAC"/>
    <w:rsid w:val="3B04082A"/>
    <w:rsid w:val="3B630620"/>
    <w:rsid w:val="3B904711"/>
    <w:rsid w:val="3BD10392"/>
    <w:rsid w:val="3BE801FA"/>
    <w:rsid w:val="3BE831DE"/>
    <w:rsid w:val="3C1F180D"/>
    <w:rsid w:val="3C2872DE"/>
    <w:rsid w:val="3C3F5B17"/>
    <w:rsid w:val="3C437703"/>
    <w:rsid w:val="3C4D50BC"/>
    <w:rsid w:val="3C9169E0"/>
    <w:rsid w:val="3CD4277C"/>
    <w:rsid w:val="3CF12F17"/>
    <w:rsid w:val="3CF7019E"/>
    <w:rsid w:val="3D481A11"/>
    <w:rsid w:val="3D656527"/>
    <w:rsid w:val="3D785E03"/>
    <w:rsid w:val="3D8823FF"/>
    <w:rsid w:val="3D970DBB"/>
    <w:rsid w:val="3DF770AB"/>
    <w:rsid w:val="3E387081"/>
    <w:rsid w:val="3E3F4630"/>
    <w:rsid w:val="3E9819C2"/>
    <w:rsid w:val="3EB37122"/>
    <w:rsid w:val="3EBF3ECE"/>
    <w:rsid w:val="3EF72173"/>
    <w:rsid w:val="3F0E7411"/>
    <w:rsid w:val="3F952941"/>
    <w:rsid w:val="3FA340E3"/>
    <w:rsid w:val="3FB3795B"/>
    <w:rsid w:val="3FBB62DA"/>
    <w:rsid w:val="3FC506D7"/>
    <w:rsid w:val="3FED06CB"/>
    <w:rsid w:val="407C7AC9"/>
    <w:rsid w:val="408D3CBB"/>
    <w:rsid w:val="408D6945"/>
    <w:rsid w:val="40995F6B"/>
    <w:rsid w:val="412D1822"/>
    <w:rsid w:val="41643A0C"/>
    <w:rsid w:val="4172677D"/>
    <w:rsid w:val="41A860DC"/>
    <w:rsid w:val="41BD3F67"/>
    <w:rsid w:val="42034A4A"/>
    <w:rsid w:val="423C62A5"/>
    <w:rsid w:val="427E301F"/>
    <w:rsid w:val="42875BB2"/>
    <w:rsid w:val="42D9317A"/>
    <w:rsid w:val="431A2F68"/>
    <w:rsid w:val="43392E6D"/>
    <w:rsid w:val="43673A16"/>
    <w:rsid w:val="43D31F5E"/>
    <w:rsid w:val="440A77E1"/>
    <w:rsid w:val="44333B15"/>
    <w:rsid w:val="444A4EEE"/>
    <w:rsid w:val="445A1083"/>
    <w:rsid w:val="446D6F8F"/>
    <w:rsid w:val="447A4972"/>
    <w:rsid w:val="449E0AF3"/>
    <w:rsid w:val="44A261C9"/>
    <w:rsid w:val="44AE79B1"/>
    <w:rsid w:val="44F4067C"/>
    <w:rsid w:val="45484A63"/>
    <w:rsid w:val="45513F36"/>
    <w:rsid w:val="45A672AB"/>
    <w:rsid w:val="464879EF"/>
    <w:rsid w:val="465D28E0"/>
    <w:rsid w:val="467554BA"/>
    <w:rsid w:val="467A07E7"/>
    <w:rsid w:val="46A145F7"/>
    <w:rsid w:val="46BA2600"/>
    <w:rsid w:val="46BC097E"/>
    <w:rsid w:val="47070514"/>
    <w:rsid w:val="47441BF2"/>
    <w:rsid w:val="476F0758"/>
    <w:rsid w:val="47773B19"/>
    <w:rsid w:val="477D3F83"/>
    <w:rsid w:val="47AD64B0"/>
    <w:rsid w:val="47B23347"/>
    <w:rsid w:val="48160DBF"/>
    <w:rsid w:val="48382B9A"/>
    <w:rsid w:val="48755EC2"/>
    <w:rsid w:val="4885243D"/>
    <w:rsid w:val="49052909"/>
    <w:rsid w:val="494B17DD"/>
    <w:rsid w:val="49631FEA"/>
    <w:rsid w:val="496665B0"/>
    <w:rsid w:val="49681552"/>
    <w:rsid w:val="49706501"/>
    <w:rsid w:val="49853521"/>
    <w:rsid w:val="49920660"/>
    <w:rsid w:val="49A37870"/>
    <w:rsid w:val="49D45E56"/>
    <w:rsid w:val="4A07096D"/>
    <w:rsid w:val="4A177E3E"/>
    <w:rsid w:val="4A38013F"/>
    <w:rsid w:val="4A6A6CA3"/>
    <w:rsid w:val="4A771CBE"/>
    <w:rsid w:val="4A995918"/>
    <w:rsid w:val="4AA4459D"/>
    <w:rsid w:val="4B494A67"/>
    <w:rsid w:val="4B4F3A3E"/>
    <w:rsid w:val="4B7D02E5"/>
    <w:rsid w:val="4C1C15B1"/>
    <w:rsid w:val="4C2568AA"/>
    <w:rsid w:val="4C3175FF"/>
    <w:rsid w:val="4C5869E7"/>
    <w:rsid w:val="4C951120"/>
    <w:rsid w:val="4C9841D9"/>
    <w:rsid w:val="4CD97C0D"/>
    <w:rsid w:val="4D1F1B7A"/>
    <w:rsid w:val="4D5E3E35"/>
    <w:rsid w:val="4D7B7C77"/>
    <w:rsid w:val="4DA6320E"/>
    <w:rsid w:val="4DBB6980"/>
    <w:rsid w:val="4DE94144"/>
    <w:rsid w:val="4DF76C90"/>
    <w:rsid w:val="4E092F5D"/>
    <w:rsid w:val="4E6F1505"/>
    <w:rsid w:val="4E84201A"/>
    <w:rsid w:val="4E895BC3"/>
    <w:rsid w:val="4E97683E"/>
    <w:rsid w:val="4EBE6E51"/>
    <w:rsid w:val="4ECA160E"/>
    <w:rsid w:val="4F661298"/>
    <w:rsid w:val="4F723E3B"/>
    <w:rsid w:val="4FCC71C9"/>
    <w:rsid w:val="4FEB106B"/>
    <w:rsid w:val="50354636"/>
    <w:rsid w:val="5048731D"/>
    <w:rsid w:val="50C55473"/>
    <w:rsid w:val="51071975"/>
    <w:rsid w:val="513004A1"/>
    <w:rsid w:val="517D2370"/>
    <w:rsid w:val="51B40E5D"/>
    <w:rsid w:val="51B7268B"/>
    <w:rsid w:val="51BA5D8B"/>
    <w:rsid w:val="51C67C8F"/>
    <w:rsid w:val="5251272A"/>
    <w:rsid w:val="525A7A4F"/>
    <w:rsid w:val="52A57B1C"/>
    <w:rsid w:val="52A647A3"/>
    <w:rsid w:val="52AF6020"/>
    <w:rsid w:val="52C54373"/>
    <w:rsid w:val="530B05AA"/>
    <w:rsid w:val="531E1676"/>
    <w:rsid w:val="53546088"/>
    <w:rsid w:val="535B6C26"/>
    <w:rsid w:val="5390556E"/>
    <w:rsid w:val="539B13C3"/>
    <w:rsid w:val="53B34288"/>
    <w:rsid w:val="53E63090"/>
    <w:rsid w:val="53E67FC4"/>
    <w:rsid w:val="545329D9"/>
    <w:rsid w:val="549A41D6"/>
    <w:rsid w:val="54BB32D5"/>
    <w:rsid w:val="5545158D"/>
    <w:rsid w:val="55531D96"/>
    <w:rsid w:val="556C6502"/>
    <w:rsid w:val="5586776D"/>
    <w:rsid w:val="558C31FC"/>
    <w:rsid w:val="55933977"/>
    <w:rsid w:val="55E0004B"/>
    <w:rsid w:val="56332265"/>
    <w:rsid w:val="569628C1"/>
    <w:rsid w:val="56CC0D64"/>
    <w:rsid w:val="57257F7C"/>
    <w:rsid w:val="5730713C"/>
    <w:rsid w:val="57423A0A"/>
    <w:rsid w:val="57793726"/>
    <w:rsid w:val="57F51D87"/>
    <w:rsid w:val="580166AF"/>
    <w:rsid w:val="58573797"/>
    <w:rsid w:val="5899150D"/>
    <w:rsid w:val="58D30416"/>
    <w:rsid w:val="58E727EB"/>
    <w:rsid w:val="5946078F"/>
    <w:rsid w:val="59667076"/>
    <w:rsid w:val="596E2325"/>
    <w:rsid w:val="59722488"/>
    <w:rsid w:val="59985EDD"/>
    <w:rsid w:val="59D96DD0"/>
    <w:rsid w:val="59EF4A87"/>
    <w:rsid w:val="59FF0C2B"/>
    <w:rsid w:val="5A465566"/>
    <w:rsid w:val="5A4A6B69"/>
    <w:rsid w:val="5A6C142B"/>
    <w:rsid w:val="5AA72080"/>
    <w:rsid w:val="5AFC7715"/>
    <w:rsid w:val="5B02689A"/>
    <w:rsid w:val="5B19144D"/>
    <w:rsid w:val="5B2A00AF"/>
    <w:rsid w:val="5B626C6E"/>
    <w:rsid w:val="5B8A1CD5"/>
    <w:rsid w:val="5BA93B97"/>
    <w:rsid w:val="5BC13371"/>
    <w:rsid w:val="5BED4690"/>
    <w:rsid w:val="5BF3609F"/>
    <w:rsid w:val="5C021B69"/>
    <w:rsid w:val="5C446E22"/>
    <w:rsid w:val="5C6535DC"/>
    <w:rsid w:val="5C873983"/>
    <w:rsid w:val="5C9824A8"/>
    <w:rsid w:val="5CC83D29"/>
    <w:rsid w:val="5CDE227C"/>
    <w:rsid w:val="5CDE32AE"/>
    <w:rsid w:val="5CF86A29"/>
    <w:rsid w:val="5D1627CF"/>
    <w:rsid w:val="5D1A0F86"/>
    <w:rsid w:val="5D2418D1"/>
    <w:rsid w:val="5D2943F8"/>
    <w:rsid w:val="5D4214DB"/>
    <w:rsid w:val="5D65531E"/>
    <w:rsid w:val="5DAD1182"/>
    <w:rsid w:val="5DCF1F29"/>
    <w:rsid w:val="5E0F188F"/>
    <w:rsid w:val="5E371499"/>
    <w:rsid w:val="5E476F69"/>
    <w:rsid w:val="5E5B5C69"/>
    <w:rsid w:val="5E677C9B"/>
    <w:rsid w:val="5EAC5F6D"/>
    <w:rsid w:val="5ECC0081"/>
    <w:rsid w:val="5FA14560"/>
    <w:rsid w:val="5FB378FE"/>
    <w:rsid w:val="60F408E3"/>
    <w:rsid w:val="61337FC2"/>
    <w:rsid w:val="615570A4"/>
    <w:rsid w:val="61940F8F"/>
    <w:rsid w:val="61D41CA4"/>
    <w:rsid w:val="61E34187"/>
    <w:rsid w:val="61F77FF1"/>
    <w:rsid w:val="625C0E3A"/>
    <w:rsid w:val="627E3589"/>
    <w:rsid w:val="62854D08"/>
    <w:rsid w:val="62E6309C"/>
    <w:rsid w:val="63080E3D"/>
    <w:rsid w:val="631101D6"/>
    <w:rsid w:val="631B7103"/>
    <w:rsid w:val="63327CBD"/>
    <w:rsid w:val="63407EBD"/>
    <w:rsid w:val="634D3B70"/>
    <w:rsid w:val="636E7608"/>
    <w:rsid w:val="639C57A3"/>
    <w:rsid w:val="63AA24D0"/>
    <w:rsid w:val="63E24145"/>
    <w:rsid w:val="63E607FA"/>
    <w:rsid w:val="63F15495"/>
    <w:rsid w:val="642B0837"/>
    <w:rsid w:val="645863FE"/>
    <w:rsid w:val="646C2A3E"/>
    <w:rsid w:val="648275A8"/>
    <w:rsid w:val="64A34F35"/>
    <w:rsid w:val="64B0496E"/>
    <w:rsid w:val="64B17332"/>
    <w:rsid w:val="64B215E4"/>
    <w:rsid w:val="64E63914"/>
    <w:rsid w:val="64F31A91"/>
    <w:rsid w:val="64F701E5"/>
    <w:rsid w:val="652C45C3"/>
    <w:rsid w:val="65AA5856"/>
    <w:rsid w:val="65AC2310"/>
    <w:rsid w:val="65C35DEA"/>
    <w:rsid w:val="65CC6DA6"/>
    <w:rsid w:val="6627666C"/>
    <w:rsid w:val="66573793"/>
    <w:rsid w:val="666717C6"/>
    <w:rsid w:val="66694C67"/>
    <w:rsid w:val="66723B46"/>
    <w:rsid w:val="6692375E"/>
    <w:rsid w:val="66AC7B51"/>
    <w:rsid w:val="66E2436D"/>
    <w:rsid w:val="672D331C"/>
    <w:rsid w:val="672F543E"/>
    <w:rsid w:val="6783387D"/>
    <w:rsid w:val="6788041C"/>
    <w:rsid w:val="67912F1A"/>
    <w:rsid w:val="67B970BE"/>
    <w:rsid w:val="67CB571D"/>
    <w:rsid w:val="67D72BF9"/>
    <w:rsid w:val="68163201"/>
    <w:rsid w:val="685B5F0B"/>
    <w:rsid w:val="68843AC9"/>
    <w:rsid w:val="68917BF8"/>
    <w:rsid w:val="6898024F"/>
    <w:rsid w:val="689821E3"/>
    <w:rsid w:val="68A135F4"/>
    <w:rsid w:val="68A873B5"/>
    <w:rsid w:val="68B06AAB"/>
    <w:rsid w:val="68C07949"/>
    <w:rsid w:val="68DC216B"/>
    <w:rsid w:val="68E0693F"/>
    <w:rsid w:val="68FC5FCE"/>
    <w:rsid w:val="690E47AC"/>
    <w:rsid w:val="691C1CD6"/>
    <w:rsid w:val="69393B4A"/>
    <w:rsid w:val="69B0487F"/>
    <w:rsid w:val="6A1D25FB"/>
    <w:rsid w:val="6A4C014F"/>
    <w:rsid w:val="6A990851"/>
    <w:rsid w:val="6AE40678"/>
    <w:rsid w:val="6AE50CBB"/>
    <w:rsid w:val="6B3C7502"/>
    <w:rsid w:val="6B5576FE"/>
    <w:rsid w:val="6B571383"/>
    <w:rsid w:val="6B9A7114"/>
    <w:rsid w:val="6C0C0CD3"/>
    <w:rsid w:val="6C5B58F6"/>
    <w:rsid w:val="6C8C4507"/>
    <w:rsid w:val="6D1C4391"/>
    <w:rsid w:val="6D1D6801"/>
    <w:rsid w:val="6D2F6E24"/>
    <w:rsid w:val="6D736496"/>
    <w:rsid w:val="6D887838"/>
    <w:rsid w:val="6DA72108"/>
    <w:rsid w:val="6DAC62B3"/>
    <w:rsid w:val="6DB7171F"/>
    <w:rsid w:val="6DE07F7A"/>
    <w:rsid w:val="6DF67DFA"/>
    <w:rsid w:val="6DFF3FF0"/>
    <w:rsid w:val="6E80442F"/>
    <w:rsid w:val="6EB80B5D"/>
    <w:rsid w:val="6EC62DBD"/>
    <w:rsid w:val="6F206110"/>
    <w:rsid w:val="6F71242F"/>
    <w:rsid w:val="6F9E52D7"/>
    <w:rsid w:val="6FBD5419"/>
    <w:rsid w:val="6FCE23C6"/>
    <w:rsid w:val="700D38B6"/>
    <w:rsid w:val="701F101B"/>
    <w:rsid w:val="70372973"/>
    <w:rsid w:val="70446A7E"/>
    <w:rsid w:val="704F08DF"/>
    <w:rsid w:val="70711349"/>
    <w:rsid w:val="707F58FB"/>
    <w:rsid w:val="70811695"/>
    <w:rsid w:val="70AF6834"/>
    <w:rsid w:val="70BD4226"/>
    <w:rsid w:val="70F15814"/>
    <w:rsid w:val="71175B95"/>
    <w:rsid w:val="712449F7"/>
    <w:rsid w:val="712D24E1"/>
    <w:rsid w:val="713A37F2"/>
    <w:rsid w:val="71C57542"/>
    <w:rsid w:val="71EA3B7E"/>
    <w:rsid w:val="71FD6DF7"/>
    <w:rsid w:val="720C1C38"/>
    <w:rsid w:val="721F572E"/>
    <w:rsid w:val="72595DE6"/>
    <w:rsid w:val="727B3CD2"/>
    <w:rsid w:val="73075E16"/>
    <w:rsid w:val="7309570F"/>
    <w:rsid w:val="735955C8"/>
    <w:rsid w:val="736B5A8D"/>
    <w:rsid w:val="73BF7B4C"/>
    <w:rsid w:val="73D47685"/>
    <w:rsid w:val="73FD772B"/>
    <w:rsid w:val="742A6A8E"/>
    <w:rsid w:val="747669D2"/>
    <w:rsid w:val="74773E7E"/>
    <w:rsid w:val="748370BA"/>
    <w:rsid w:val="74851958"/>
    <w:rsid w:val="74CF5E65"/>
    <w:rsid w:val="7505035F"/>
    <w:rsid w:val="75273499"/>
    <w:rsid w:val="752B70AC"/>
    <w:rsid w:val="75533BEC"/>
    <w:rsid w:val="7588279D"/>
    <w:rsid w:val="75C476B7"/>
    <w:rsid w:val="75D10C92"/>
    <w:rsid w:val="75DF12D7"/>
    <w:rsid w:val="75E12757"/>
    <w:rsid w:val="75EE14EF"/>
    <w:rsid w:val="76933C8C"/>
    <w:rsid w:val="76BD5290"/>
    <w:rsid w:val="76DD6598"/>
    <w:rsid w:val="76EC01B0"/>
    <w:rsid w:val="76EC4F33"/>
    <w:rsid w:val="77114265"/>
    <w:rsid w:val="77244ED0"/>
    <w:rsid w:val="775A224B"/>
    <w:rsid w:val="778B7E42"/>
    <w:rsid w:val="77CD1EC5"/>
    <w:rsid w:val="781E3329"/>
    <w:rsid w:val="78214A46"/>
    <w:rsid w:val="784F2DD4"/>
    <w:rsid w:val="787A1F4D"/>
    <w:rsid w:val="789E2078"/>
    <w:rsid w:val="78BF1084"/>
    <w:rsid w:val="78DB02C0"/>
    <w:rsid w:val="79265B07"/>
    <w:rsid w:val="7929675C"/>
    <w:rsid w:val="795F3C3D"/>
    <w:rsid w:val="79922768"/>
    <w:rsid w:val="79D874E5"/>
    <w:rsid w:val="79FA28B0"/>
    <w:rsid w:val="7A583E11"/>
    <w:rsid w:val="7A755B8E"/>
    <w:rsid w:val="7A926C48"/>
    <w:rsid w:val="7A9D1D75"/>
    <w:rsid w:val="7AA80C4F"/>
    <w:rsid w:val="7AAB2FC3"/>
    <w:rsid w:val="7AAC0953"/>
    <w:rsid w:val="7AC62498"/>
    <w:rsid w:val="7AE36F37"/>
    <w:rsid w:val="7AED71B3"/>
    <w:rsid w:val="7B3D3B74"/>
    <w:rsid w:val="7B4B412A"/>
    <w:rsid w:val="7B5D5389"/>
    <w:rsid w:val="7B6E0463"/>
    <w:rsid w:val="7B8567F1"/>
    <w:rsid w:val="7BB00F1D"/>
    <w:rsid w:val="7BD27226"/>
    <w:rsid w:val="7BE01711"/>
    <w:rsid w:val="7BE57FC6"/>
    <w:rsid w:val="7BEA62A6"/>
    <w:rsid w:val="7C256B5F"/>
    <w:rsid w:val="7C34345B"/>
    <w:rsid w:val="7C3905E0"/>
    <w:rsid w:val="7C6319BA"/>
    <w:rsid w:val="7CD77A7F"/>
    <w:rsid w:val="7D506A30"/>
    <w:rsid w:val="7D5E3B9A"/>
    <w:rsid w:val="7D7158E1"/>
    <w:rsid w:val="7D9C769A"/>
    <w:rsid w:val="7DA41BC8"/>
    <w:rsid w:val="7DC33DD0"/>
    <w:rsid w:val="7DE35939"/>
    <w:rsid w:val="7DF43E95"/>
    <w:rsid w:val="7E0D3213"/>
    <w:rsid w:val="7E3910AC"/>
    <w:rsid w:val="7E406163"/>
    <w:rsid w:val="7E5A1DF9"/>
    <w:rsid w:val="7E7027C2"/>
    <w:rsid w:val="7E7A55EE"/>
    <w:rsid w:val="7EAF74B3"/>
    <w:rsid w:val="7EB119E2"/>
    <w:rsid w:val="7EC77F3D"/>
    <w:rsid w:val="7EEA7EED"/>
    <w:rsid w:val="7F1A6313"/>
    <w:rsid w:val="7F1C080F"/>
    <w:rsid w:val="7F387D67"/>
    <w:rsid w:val="7F5F44DF"/>
    <w:rsid w:val="7F98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4">
    <w:name w:val="heading 2"/>
    <w:basedOn w:val="1"/>
    <w:next w:val="1"/>
    <w:link w:val="48"/>
    <w:qFormat/>
    <w:uiPriority w:val="0"/>
    <w:pPr>
      <w:keepNext/>
      <w:keepLines/>
      <w:tabs>
        <w:tab w:val="left" w:pos="1080"/>
      </w:tabs>
      <w:spacing w:line="360" w:lineRule="auto"/>
      <w:outlineLvl w:val="1"/>
    </w:pPr>
    <w:rPr>
      <w:rFonts w:ascii="宋体" w:hAnsi="宋体"/>
      <w:bCs/>
      <w:kern w:val="24"/>
      <w:sz w:val="24"/>
    </w:rPr>
  </w:style>
  <w:style w:type="character" w:default="1" w:styleId="21">
    <w:name w:val="Default Paragraph Font"/>
    <w:link w:val="22"/>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annotation text"/>
    <w:basedOn w:val="1"/>
    <w:qFormat/>
    <w:uiPriority w:val="0"/>
    <w:pPr>
      <w:spacing w:line="400" w:lineRule="exact"/>
      <w:jc w:val="left"/>
    </w:pPr>
    <w:rPr>
      <w:rFonts w:eastAsia="Times New Roman"/>
      <w:kern w:val="0"/>
      <w:sz w:val="20"/>
    </w:rPr>
  </w:style>
  <w:style w:type="paragraph" w:styleId="6">
    <w:name w:val="Body Text"/>
    <w:basedOn w:val="1"/>
    <w:next w:val="7"/>
    <w:qFormat/>
    <w:uiPriority w:val="0"/>
    <w:pPr>
      <w:spacing w:after="120"/>
    </w:pPr>
    <w:rPr>
      <w:sz w:val="24"/>
      <w:szCs w:val="24"/>
    </w:rPr>
  </w:style>
  <w:style w:type="paragraph" w:styleId="7">
    <w:name w:val="Body Text First Indent"/>
    <w:basedOn w:val="6"/>
    <w:next w:val="8"/>
    <w:qFormat/>
    <w:uiPriority w:val="0"/>
    <w:pPr>
      <w:ind w:firstLine="976" w:firstLineChars="200"/>
    </w:pPr>
  </w:style>
  <w:style w:type="paragraph" w:styleId="8">
    <w:name w:val="toc 6"/>
    <w:basedOn w:val="1"/>
    <w:next w:val="1"/>
    <w:qFormat/>
    <w:uiPriority w:val="0"/>
    <w:pPr>
      <w:spacing w:line="360" w:lineRule="auto"/>
      <w:ind w:left="960" w:firstLine="200" w:firstLineChars="200"/>
      <w:jc w:val="left"/>
    </w:pPr>
    <w:rPr>
      <w:rFonts w:ascii="Calibri" w:hAnsi="Calibri"/>
      <w:sz w:val="20"/>
      <w:szCs w:val="20"/>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toc 3"/>
    <w:basedOn w:val="1"/>
    <w:next w:val="1"/>
    <w:uiPriority w:val="0"/>
    <w:pPr>
      <w:ind w:left="840" w:leftChars="400"/>
    </w:pPr>
  </w:style>
  <w:style w:type="paragraph" w:styleId="11">
    <w:name w:val="Plain Text"/>
    <w:basedOn w:val="1"/>
    <w:qFormat/>
    <w:uiPriority w:val="0"/>
    <w:pPr>
      <w:spacing w:line="400" w:lineRule="exact"/>
    </w:pPr>
    <w:rPr>
      <w:rFonts w:ascii="宋体" w:hAnsi="Courier New" w:cs="Courier New"/>
      <w:szCs w:val="21"/>
    </w:rPr>
  </w:style>
  <w:style w:type="paragraph" w:styleId="12">
    <w:name w:val="Body Text Indent 2"/>
    <w:basedOn w:val="1"/>
    <w:qFormat/>
    <w:uiPriority w:val="0"/>
    <w:pPr>
      <w:spacing w:line="480" w:lineRule="atLeast"/>
      <w:ind w:leftChars="133" w:firstLine="560" w:firstLineChars="200"/>
    </w:pPr>
    <w:rPr>
      <w:rFonts w:ascii="宋体" w:hAnsi="宋体"/>
      <w:sz w:val="28"/>
    </w:rPr>
  </w:style>
  <w:style w:type="paragraph" w:styleId="13">
    <w:name w:val="header"/>
    <w:basedOn w:val="1"/>
    <w:qFormat/>
    <w:uiPriority w:val="0"/>
    <w:pPr>
      <w:pBdr>
        <w:bottom w:val="single" w:color="auto" w:sz="6" w:space="1"/>
      </w:pBdr>
      <w:tabs>
        <w:tab w:val="center" w:pos="4153"/>
        <w:tab w:val="right" w:pos="8306"/>
      </w:tabs>
      <w:snapToGrid w:val="0"/>
      <w:spacing w:line="400" w:lineRule="exact"/>
      <w:jc w:val="center"/>
    </w:pPr>
    <w:rPr>
      <w:sz w:val="18"/>
      <w:szCs w:val="18"/>
    </w:rPr>
  </w:style>
  <w:style w:type="paragraph" w:styleId="14">
    <w:name w:val="toc 1"/>
    <w:basedOn w:val="1"/>
    <w:next w:val="1"/>
    <w:qFormat/>
    <w:uiPriority w:val="39"/>
    <w:pPr>
      <w:spacing w:line="400" w:lineRule="exact"/>
    </w:pPr>
  </w:style>
  <w:style w:type="paragraph" w:styleId="15">
    <w:name w:val="toc 2"/>
    <w:basedOn w:val="1"/>
    <w:next w:val="1"/>
    <w:qFormat/>
    <w:uiPriority w:val="39"/>
    <w:pPr>
      <w:spacing w:line="400" w:lineRule="exact"/>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Body Text First Indent 2"/>
    <w:basedOn w:val="9"/>
    <w:qFormat/>
    <w:uiPriority w:val="0"/>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Char Char Char Char Char Char Char"/>
    <w:basedOn w:val="1"/>
    <w:link w:val="21"/>
    <w:qFormat/>
    <w:uiPriority w:val="0"/>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ascii="monospace" w:hAnsi="monospace" w:eastAsia="monospace" w:cs="monospace"/>
    </w:rPr>
  </w:style>
  <w:style w:type="character" w:customStyle="1" w:styleId="35">
    <w:name w:val=" Char22"/>
    <w:link w:val="3"/>
    <w:qFormat/>
    <w:uiPriority w:val="0"/>
    <w:rPr>
      <w:rFonts w:ascii="Times New Roman" w:hAnsi="Times New Roman" w:eastAsia="仿宋"/>
      <w:b/>
      <w:bCs/>
      <w:kern w:val="44"/>
      <w:sz w:val="44"/>
      <w:szCs w:val="44"/>
    </w:rPr>
  </w:style>
  <w:style w:type="paragraph" w:customStyle="1" w:styleId="36">
    <w:name w:val="样式 标题 2 + (中文) 黑体 四号 黑色"/>
    <w:basedOn w:val="4"/>
    <w:qFormat/>
    <w:uiPriority w:val="0"/>
    <w:pPr>
      <w:tabs>
        <w:tab w:val="clear" w:pos="1080"/>
      </w:tabs>
      <w:spacing w:before="260" w:after="260" w:line="520" w:lineRule="exact"/>
      <w:jc w:val="left"/>
    </w:pPr>
    <w:rPr>
      <w:rFonts w:ascii="Arial" w:hAnsi="Arial" w:eastAsia="黑体"/>
      <w:b/>
      <w:color w:val="000000"/>
      <w:sz w:val="32"/>
      <w:szCs w:val="20"/>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标题 1 字符"/>
    <w:link w:val="3"/>
    <w:qFormat/>
    <w:uiPriority w:val="0"/>
    <w:rPr>
      <w:rFonts w:ascii="Times New Roman" w:hAnsi="Times New Roman" w:eastAsia="宋体"/>
      <w:b/>
      <w:bCs/>
      <w:kern w:val="44"/>
      <w:sz w:val="36"/>
      <w:szCs w:val="44"/>
    </w:rPr>
  </w:style>
  <w:style w:type="paragraph" w:customStyle="1" w:styleId="39">
    <w:name w:val="Body text|1"/>
    <w:basedOn w:val="1"/>
    <w:qFormat/>
    <w:uiPriority w:val="0"/>
    <w:pPr>
      <w:spacing w:line="480" w:lineRule="auto"/>
      <w:ind w:firstLine="390"/>
    </w:pPr>
    <w:rPr>
      <w:rFonts w:ascii="宋体" w:hAnsi="宋体" w:cs="宋体"/>
      <w:color w:val="0000FF"/>
      <w:sz w:val="20"/>
      <w:szCs w:val="20"/>
      <w:lang w:val="zh-TW" w:eastAsia="zh-TW" w:bidi="zh-TW"/>
    </w:rPr>
  </w:style>
  <w:style w:type="paragraph" w:customStyle="1" w:styleId="40">
    <w:name w:val="Heading #1|1"/>
    <w:basedOn w:val="1"/>
    <w:qFormat/>
    <w:uiPriority w:val="0"/>
    <w:pPr>
      <w:spacing w:line="468" w:lineRule="exact"/>
      <w:outlineLvl w:val="0"/>
    </w:pPr>
    <w:rPr>
      <w:rFonts w:ascii="宋体" w:hAnsi="宋体" w:cs="宋体"/>
      <w:b/>
      <w:bCs/>
      <w:lang w:val="zh-TW" w:eastAsia="zh-TW" w:bidi="zh-TW"/>
    </w:rPr>
  </w:style>
  <w:style w:type="paragraph" w:customStyle="1" w:styleId="41">
    <w:name w:val="标题 3_0"/>
    <w:basedOn w:val="42"/>
    <w:next w:val="4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2">
    <w:name w:val="正文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2_1"/>
    <w:basedOn w:val="42"/>
    <w:next w:val="42"/>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4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5">
    <w:name w:val="正文_0_1"/>
    <w:qFormat/>
    <w:uiPriority w:val="0"/>
    <w:pPr>
      <w:widowControl w:val="0"/>
      <w:jc w:val="both"/>
    </w:pPr>
    <w:rPr>
      <w:rFonts w:ascii="Calibri" w:hAnsi="Calibri" w:eastAsia="宋体" w:cs="Times New Roman"/>
      <w:kern w:val="2"/>
      <w:sz w:val="28"/>
      <w:szCs w:val="22"/>
      <w:lang w:val="en-US" w:eastAsia="zh-CN" w:bidi="ar-SA"/>
    </w:rPr>
  </w:style>
  <w:style w:type="paragraph" w:styleId="46">
    <w:name w:val="Quote"/>
    <w:basedOn w:val="1"/>
    <w:next w:val="1"/>
    <w:qFormat/>
    <w:uiPriority w:val="0"/>
    <w:rPr>
      <w:i/>
      <w:iCs/>
      <w:color w:val="000000"/>
    </w:rPr>
  </w:style>
  <w:style w:type="paragraph" w:customStyle="1" w:styleId="47">
    <w:name w:val="Table Paragraph"/>
    <w:basedOn w:val="1"/>
    <w:qFormat/>
    <w:uiPriority w:val="1"/>
    <w:rPr>
      <w:rFonts w:ascii="宋体" w:hAnsi="宋体" w:cs="宋体"/>
      <w:lang w:val="zh-CN" w:bidi="zh-CN"/>
    </w:rPr>
  </w:style>
  <w:style w:type="character" w:customStyle="1" w:styleId="48">
    <w:name w:val="标题 2 Char"/>
    <w:link w:val="4"/>
    <w:uiPriority w:val="0"/>
    <w:rPr>
      <w:rFonts w:ascii="宋体" w:hAnsi="宋体"/>
      <w:bCs/>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2019-01-18T09:42:00Z</dcterms:created>
  <dc:creator>珊妞</dc:creator>
  <cp:lastModifiedBy>H。</cp:lastModifiedBy>
  <cp:lastPrinted>2021-12-22T02:39:00Z</cp:lastPrinted>
  <dcterms:modified xsi:type="dcterms:W3CDTF">2022-03-04T02:43:02Z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9E20F899818742C285C71CE4234D69A0</vt:lpwstr>
  </property>
</Properties>
</file>