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300"/>
        <w:jc w:val="center"/>
        <w:rPr>
          <w:rFonts w:hint="eastAsia" w:ascii="宋体" w:hAnsi="宋体" w:eastAsia="宋体" w:cs="宋体"/>
          <w:color w:val="000000"/>
          <w:sz w:val="44"/>
          <w:szCs w:val="44"/>
        </w:rPr>
      </w:pPr>
    </w:p>
    <w:p>
      <w:pPr>
        <w:pStyle w:val="6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52"/>
          <w:szCs w:val="52"/>
        </w:rPr>
      </w:pPr>
      <w:r>
        <w:rPr>
          <w:b/>
          <w:bCs/>
          <w:sz w:val="52"/>
          <w:szCs w:val="52"/>
          <w:shd w:val="clear" w:fill="FFFFFF"/>
        </w:rPr>
        <w:t>建始县中等职业技术学校汽车运用与维修实训设备采购</w:t>
      </w:r>
    </w:p>
    <w:p>
      <w:pPr>
        <w:pStyle w:val="8"/>
        <w:rPr>
          <w:rFonts w:hint="eastAsia"/>
          <w:b/>
          <w:bCs/>
          <w:sz w:val="52"/>
          <w:szCs w:val="52"/>
        </w:rPr>
      </w:pPr>
    </w:p>
    <w:p>
      <w:pPr>
        <w:spacing w:after="936" w:afterLines="300"/>
        <w:jc w:val="center"/>
        <w:rPr>
          <w:rFonts w:hint="eastAsia" w:ascii="宋体" w:hAnsi="宋体" w:eastAsia="宋体" w:cs="宋体"/>
          <w:b/>
          <w:bCs/>
          <w:sz w:val="56"/>
          <w:szCs w:val="56"/>
        </w:rPr>
      </w:pPr>
      <w:r>
        <w:rPr>
          <w:rFonts w:hint="eastAsia" w:ascii="宋体" w:hAnsi="宋体" w:eastAsia="宋体" w:cs="宋体"/>
          <w:b/>
          <w:bCs/>
          <w:sz w:val="56"/>
          <w:szCs w:val="56"/>
        </w:rPr>
        <w:t>竞争性磋商文件</w:t>
      </w:r>
    </w:p>
    <w:p>
      <w:pPr>
        <w:spacing w:after="936" w:afterLines="300"/>
        <w:jc w:val="center"/>
        <w:rPr>
          <w:rFonts w:hint="default" w:ascii="宋体" w:hAnsi="宋体" w:eastAsia="宋体" w:cs="宋体"/>
          <w:sz w:val="32"/>
          <w:szCs w:val="32"/>
          <w:lang w:val="en-US"/>
        </w:rPr>
      </w:pPr>
      <w:r>
        <w:rPr>
          <w:rFonts w:hint="eastAsia" w:ascii="宋体" w:hAnsi="宋体" w:eastAsia="宋体" w:cs="宋体"/>
          <w:b/>
          <w:bCs/>
          <w:color w:val="000000"/>
          <w:sz w:val="32"/>
          <w:szCs w:val="32"/>
          <w:lang w:val="zh-CN"/>
        </w:rPr>
        <w:t>项目编号</w:t>
      </w:r>
      <w:r>
        <w:rPr>
          <w:rFonts w:hint="eastAsia" w:ascii="宋体" w:hAnsi="宋体" w:eastAsia="宋体" w:cs="宋体"/>
          <w:b/>
          <w:bCs/>
          <w:color w:val="000000"/>
          <w:sz w:val="32"/>
          <w:szCs w:val="32"/>
          <w:lang w:val="en-US" w:eastAsia="zh-CN"/>
        </w:rPr>
        <w:t>:</w:t>
      </w:r>
      <w:r>
        <w:rPr>
          <w:rFonts w:hint="eastAsia" w:ascii="宋体" w:hAnsi="宋体" w:eastAsia="宋体" w:cs="宋体"/>
          <w:b/>
          <w:bCs/>
          <w:color w:val="000000"/>
          <w:sz w:val="32"/>
          <w:szCs w:val="32"/>
          <w:lang w:val="en-US" w:eastAsia="zh-CN"/>
        </w:rPr>
        <w:tab/>
      </w:r>
      <w:r>
        <w:rPr>
          <w:rFonts w:hint="eastAsia" w:ascii="宋体" w:hAnsi="宋体" w:eastAsia="宋体" w:cs="宋体"/>
          <w:b/>
          <w:bCs/>
          <w:color w:val="000000"/>
          <w:sz w:val="32"/>
          <w:szCs w:val="32"/>
          <w:lang w:val="en-US" w:eastAsia="zh-CN"/>
        </w:rPr>
        <w:t>HBPTCS-202</w:t>
      </w:r>
      <w:r>
        <w:rPr>
          <w:rFonts w:hint="eastAsia" w:ascii="宋体" w:hAnsi="宋体" w:cs="宋体"/>
          <w:b/>
          <w:bCs/>
          <w:color w:val="000000"/>
          <w:sz w:val="32"/>
          <w:szCs w:val="32"/>
          <w:lang w:val="en-US" w:eastAsia="zh-CN"/>
        </w:rPr>
        <w:t>2001</w:t>
      </w:r>
    </w:p>
    <w:p>
      <w:pPr>
        <w:tabs>
          <w:tab w:val="left" w:pos="7939"/>
        </w:tabs>
        <w:spacing w:line="360" w:lineRule="auto"/>
        <w:jc w:val="center"/>
        <w:rPr>
          <w:rFonts w:hint="eastAsia" w:ascii="宋体" w:hAnsi="宋体" w:eastAsia="宋体" w:cs="宋体"/>
          <w:b/>
          <w:bCs/>
          <w:sz w:val="44"/>
          <w:szCs w:val="44"/>
        </w:rPr>
      </w:pPr>
    </w:p>
    <w:p>
      <w:pPr>
        <w:tabs>
          <w:tab w:val="left" w:pos="7939"/>
        </w:tabs>
        <w:spacing w:line="360" w:lineRule="auto"/>
        <w:jc w:val="center"/>
        <w:rPr>
          <w:rFonts w:hint="eastAsia" w:ascii="宋体" w:hAnsi="宋体" w:eastAsia="宋体" w:cs="宋体"/>
          <w:b/>
          <w:bCs/>
          <w:sz w:val="44"/>
          <w:szCs w:val="44"/>
        </w:rPr>
      </w:pPr>
    </w:p>
    <w:p>
      <w:pPr>
        <w:tabs>
          <w:tab w:val="left" w:pos="7939"/>
        </w:tabs>
        <w:spacing w:line="360" w:lineRule="auto"/>
        <w:ind w:firstLine="3360" w:firstLineChars="1200"/>
        <w:jc w:val="both"/>
        <w:rPr>
          <w:rFonts w:hint="eastAsia" w:ascii="宋体" w:hAnsi="宋体" w:eastAsia="宋体" w:cs="宋体"/>
          <w:b w:val="0"/>
          <w:bCs/>
          <w:sz w:val="28"/>
          <w:szCs w:val="28"/>
          <w:lang w:val="en-US" w:eastAsia="zh-CN"/>
        </w:rPr>
      </w:pPr>
    </w:p>
    <w:p>
      <w:pPr>
        <w:pStyle w:val="21"/>
        <w:keepNext w:val="0"/>
        <w:keepLines w:val="0"/>
        <w:widowControl/>
        <w:suppressLineNumbers w:val="0"/>
        <w:spacing w:before="0" w:beforeAutospacing="0" w:after="0" w:afterAutospacing="0" w:line="450" w:lineRule="atLeast"/>
        <w:ind w:right="0"/>
        <w:jc w:val="center"/>
        <w:rPr>
          <w:b/>
          <w:bCs/>
          <w:sz w:val="32"/>
          <w:szCs w:val="32"/>
        </w:rPr>
      </w:pPr>
      <w:r>
        <w:rPr>
          <w:rFonts w:hint="eastAsia" w:ascii="宋体" w:hAnsi="宋体" w:eastAsia="宋体" w:cs="宋体"/>
          <w:b/>
          <w:bCs/>
          <w:color w:val="333333"/>
          <w:sz w:val="32"/>
          <w:szCs w:val="32"/>
          <w:shd w:val="clear" w:fill="FFFFFF"/>
        </w:rPr>
        <w:t>湖北省建始县中等职业技术学校</w:t>
      </w:r>
    </w:p>
    <w:p>
      <w:pPr>
        <w:tabs>
          <w:tab w:val="left" w:pos="7939"/>
        </w:tabs>
        <w:spacing w:line="360" w:lineRule="auto"/>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湖北普泰工程咨询有限公司</w:t>
      </w:r>
    </w:p>
    <w:p>
      <w:pPr>
        <w:jc w:val="center"/>
        <w:rPr>
          <w:rFonts w:hint="eastAsia" w:ascii="宋体" w:hAnsi="宋体" w:eastAsia="宋体" w:cs="宋体"/>
          <w:b/>
          <w:bCs w:val="0"/>
          <w:sz w:val="32"/>
          <w:szCs w:val="32"/>
        </w:rPr>
      </w:pPr>
      <w:r>
        <w:rPr>
          <w:rFonts w:hint="eastAsia" w:ascii="宋体" w:hAnsi="宋体" w:eastAsia="宋体" w:cs="宋体"/>
          <w:b/>
          <w:bCs w:val="0"/>
          <w:sz w:val="32"/>
          <w:szCs w:val="32"/>
        </w:rPr>
        <w:t>二0</w:t>
      </w:r>
      <w:r>
        <w:rPr>
          <w:rFonts w:hint="eastAsia" w:ascii="宋体" w:hAnsi="宋体" w:eastAsia="宋体" w:cs="宋体"/>
          <w:b/>
          <w:bCs w:val="0"/>
          <w:sz w:val="32"/>
          <w:szCs w:val="32"/>
          <w:lang w:val="en-US" w:eastAsia="zh-CN"/>
        </w:rPr>
        <w:t>二</w:t>
      </w:r>
      <w:r>
        <w:rPr>
          <w:rFonts w:hint="eastAsia" w:ascii="宋体" w:hAnsi="宋体" w:cs="宋体"/>
          <w:b/>
          <w:bCs w:val="0"/>
          <w:sz w:val="32"/>
          <w:szCs w:val="32"/>
          <w:lang w:val="en-US" w:eastAsia="zh-CN"/>
        </w:rPr>
        <w:t>二</w:t>
      </w:r>
      <w:r>
        <w:rPr>
          <w:rFonts w:hint="eastAsia" w:ascii="宋体" w:hAnsi="宋体" w:eastAsia="宋体" w:cs="宋体"/>
          <w:b/>
          <w:bCs w:val="0"/>
          <w:sz w:val="32"/>
          <w:szCs w:val="32"/>
        </w:rPr>
        <w:t>年</w:t>
      </w:r>
      <w:r>
        <w:rPr>
          <w:rFonts w:hint="eastAsia" w:ascii="宋体" w:hAnsi="宋体" w:cs="宋体"/>
          <w:b/>
          <w:bCs w:val="0"/>
          <w:sz w:val="32"/>
          <w:szCs w:val="32"/>
          <w:lang w:eastAsia="zh-CN"/>
        </w:rPr>
        <w:t>一</w:t>
      </w:r>
      <w:r>
        <w:rPr>
          <w:rFonts w:hint="eastAsia" w:ascii="宋体" w:hAnsi="宋体" w:eastAsia="宋体" w:cs="宋体"/>
          <w:b/>
          <w:bCs w:val="0"/>
          <w:sz w:val="32"/>
          <w:szCs w:val="32"/>
        </w:rPr>
        <w:t>月</w:t>
      </w:r>
    </w:p>
    <w:p>
      <w:pPr>
        <w:rPr>
          <w:rFonts w:hint="eastAsia" w:ascii="宋体" w:hAnsi="宋体" w:eastAsia="宋体" w:cs="宋体"/>
          <w:b w:val="0"/>
          <w:bCs/>
          <w:sz w:val="28"/>
          <w:szCs w:val="28"/>
        </w:rPr>
        <w:sectPr>
          <w:headerReference r:id="rId3" w:type="default"/>
          <w:footerReference r:id="rId5" w:type="default"/>
          <w:headerReference r:id="rId4" w:type="even"/>
          <w:footerReference r:id="rId6" w:type="even"/>
          <w:pgSz w:w="11906" w:h="16838"/>
          <w:pgMar w:top="1440" w:right="1800" w:bottom="1440" w:left="1800" w:header="851" w:footer="737" w:gutter="0"/>
          <w:pgNumType w:fmt="decimal"/>
          <w:cols w:space="720" w:num="1"/>
          <w:docGrid w:type="lines" w:linePitch="312" w:charSpace="0"/>
        </w:sectPr>
      </w:pPr>
    </w:p>
    <w:sdt>
      <w:sdtPr>
        <w:rPr>
          <w:rFonts w:ascii="宋体" w:hAnsi="宋体" w:eastAsia="宋体" w:cs="Calibri"/>
          <w:b/>
          <w:bCs/>
          <w:kern w:val="2"/>
          <w:sz w:val="28"/>
          <w:szCs w:val="28"/>
          <w:lang w:val="en-US" w:eastAsia="zh-CN" w:bidi="ar-SA"/>
        </w:rPr>
        <w:id w:val="147483471"/>
        <w15:color w:val="DBDBDB"/>
        <w:docPartObj>
          <w:docPartGallery w:val="Table of Contents"/>
          <w:docPartUnique/>
        </w:docPartObj>
      </w:sdtPr>
      <w:sdtEndPr>
        <w:rPr>
          <w:rFonts w:ascii="Calibri" w:hAnsi="Calibri" w:eastAsia="宋体" w:cs="Calibri"/>
          <w:b/>
          <w:bCs/>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17"/>
            <w:tabs>
              <w:tab w:val="right" w:leader="dot" w:pos="8306"/>
            </w:tabs>
            <w:spacing w:line="36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_Toc3156 </w:instrText>
          </w:r>
          <w:r>
            <w:rPr>
              <w:rFonts w:hint="eastAsia" w:ascii="宋体" w:hAnsi="宋体" w:eastAsia="宋体" w:cs="宋体"/>
              <w:sz w:val="30"/>
              <w:szCs w:val="30"/>
            </w:rPr>
            <w:fldChar w:fldCharType="separate"/>
          </w:r>
          <w:r>
            <w:rPr>
              <w:rFonts w:hint="eastAsia" w:ascii="宋体" w:hAnsi="宋体" w:eastAsia="宋体" w:cs="宋体"/>
              <w:sz w:val="30"/>
              <w:szCs w:val="30"/>
            </w:rPr>
            <w:t>第一</w:t>
          </w:r>
          <w:r>
            <w:rPr>
              <w:rFonts w:hint="eastAsia" w:ascii="宋体" w:hAnsi="宋体" w:eastAsia="宋体" w:cs="宋体"/>
              <w:sz w:val="30"/>
              <w:szCs w:val="30"/>
              <w:lang w:eastAsia="zh-CN"/>
            </w:rPr>
            <w:t>章</w:t>
          </w:r>
          <w:r>
            <w:rPr>
              <w:rFonts w:hint="eastAsia" w:ascii="宋体" w:hAnsi="宋体" w:eastAsia="宋体" w:cs="宋体"/>
              <w:sz w:val="30"/>
              <w:szCs w:val="30"/>
            </w:rPr>
            <w:t xml:space="preserve">  竞争性磋商邀请函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_Toc3156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7"/>
            <w:tabs>
              <w:tab w:val="right" w:leader="dot" w:pos="8306"/>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_Toc18642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 xml:space="preserve">第二章  </w:t>
          </w:r>
          <w:r>
            <w:rPr>
              <w:rFonts w:hint="eastAsia" w:ascii="宋体" w:hAnsi="宋体" w:eastAsia="宋体" w:cs="宋体"/>
              <w:sz w:val="30"/>
              <w:szCs w:val="30"/>
            </w:rPr>
            <w:t>磋商须知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_Toc18642 \h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7"/>
            <w:tabs>
              <w:tab w:val="right" w:leader="dot" w:pos="8306"/>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_Toc852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 xml:space="preserve">第三章  </w:t>
          </w:r>
          <w:r>
            <w:rPr>
              <w:rFonts w:hint="eastAsia" w:ascii="宋体" w:hAnsi="宋体" w:eastAsia="宋体" w:cs="宋体"/>
              <w:sz w:val="30"/>
              <w:szCs w:val="30"/>
            </w:rPr>
            <w:t>项目技术、服务及商务要求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_Toc852 \h </w:instrText>
          </w:r>
          <w:r>
            <w:rPr>
              <w:rFonts w:hint="eastAsia" w:ascii="宋体" w:hAnsi="宋体" w:eastAsia="宋体" w:cs="宋体"/>
              <w:sz w:val="30"/>
              <w:szCs w:val="30"/>
            </w:rPr>
            <w:fldChar w:fldCharType="separate"/>
          </w:r>
          <w:r>
            <w:rPr>
              <w:rFonts w:hint="eastAsia" w:ascii="宋体" w:hAnsi="宋体" w:eastAsia="宋体" w:cs="宋体"/>
              <w:sz w:val="30"/>
              <w:szCs w:val="30"/>
            </w:rPr>
            <w:t>16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7"/>
            <w:tabs>
              <w:tab w:val="right" w:leader="dot" w:pos="8306"/>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_Toc32628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 xml:space="preserve">第四章  </w:t>
          </w:r>
          <w:r>
            <w:rPr>
              <w:rFonts w:hint="eastAsia" w:ascii="宋体" w:hAnsi="宋体" w:eastAsia="宋体" w:cs="宋体"/>
              <w:sz w:val="30"/>
              <w:szCs w:val="30"/>
            </w:rPr>
            <w:t>评审办法及评分标准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_Toc32628 \h </w:instrText>
          </w:r>
          <w:r>
            <w:rPr>
              <w:rFonts w:hint="eastAsia" w:ascii="宋体" w:hAnsi="宋体" w:eastAsia="宋体" w:cs="宋体"/>
              <w:sz w:val="30"/>
              <w:szCs w:val="30"/>
            </w:rPr>
            <w:fldChar w:fldCharType="separate"/>
          </w:r>
          <w:r>
            <w:rPr>
              <w:rFonts w:hint="eastAsia" w:ascii="宋体" w:hAnsi="宋体" w:eastAsia="宋体" w:cs="宋体"/>
              <w:sz w:val="30"/>
              <w:szCs w:val="30"/>
            </w:rPr>
            <w:t>26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7"/>
            <w:tabs>
              <w:tab w:val="right" w:leader="dot" w:pos="8306"/>
            </w:tabs>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_Toc31358 </w:instrText>
          </w:r>
          <w:r>
            <w:rPr>
              <w:rFonts w:hint="eastAsia" w:ascii="宋体" w:hAnsi="宋体" w:eastAsia="宋体" w:cs="宋体"/>
              <w:sz w:val="30"/>
              <w:szCs w:val="30"/>
            </w:rPr>
            <w:fldChar w:fldCharType="separate"/>
          </w:r>
          <w:r>
            <w:rPr>
              <w:rFonts w:hint="eastAsia" w:ascii="宋体" w:hAnsi="宋体" w:eastAsia="宋体" w:cs="宋体"/>
              <w:sz w:val="30"/>
              <w:szCs w:val="30"/>
            </w:rPr>
            <w:t>第五章  合同书（格式）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_Toc31358 \h </w:instrText>
          </w:r>
          <w:r>
            <w:rPr>
              <w:rFonts w:hint="eastAsia" w:ascii="宋体" w:hAnsi="宋体" w:eastAsia="宋体" w:cs="宋体"/>
              <w:sz w:val="30"/>
              <w:szCs w:val="30"/>
            </w:rPr>
            <w:fldChar w:fldCharType="separate"/>
          </w:r>
          <w:r>
            <w:rPr>
              <w:rFonts w:hint="eastAsia" w:ascii="宋体" w:hAnsi="宋体" w:eastAsia="宋体" w:cs="宋体"/>
              <w:sz w:val="30"/>
              <w:szCs w:val="30"/>
            </w:rPr>
            <w:t>30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17"/>
            <w:tabs>
              <w:tab w:val="right" w:leader="dot" w:pos="8306"/>
            </w:tabs>
            <w:spacing w:line="360" w:lineRule="auto"/>
            <w:rPr>
              <w:rFonts w:hint="eastAsia" w:ascii="宋体" w:hAnsi="宋体" w:eastAsia="宋体" w:cs="宋体"/>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_Toc20811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第六章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_Toc20811 \h </w:instrText>
          </w:r>
          <w:r>
            <w:rPr>
              <w:rFonts w:hint="eastAsia" w:ascii="宋体" w:hAnsi="宋体" w:eastAsia="宋体" w:cs="宋体"/>
              <w:sz w:val="30"/>
              <w:szCs w:val="30"/>
            </w:rPr>
            <w:fldChar w:fldCharType="separate"/>
          </w:r>
          <w:r>
            <w:rPr>
              <w:rFonts w:hint="eastAsia" w:ascii="宋体" w:hAnsi="宋体" w:eastAsia="宋体" w:cs="宋体"/>
              <w:sz w:val="30"/>
              <w:szCs w:val="30"/>
            </w:rPr>
            <w:t>32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spacing w:line="360" w:lineRule="auto"/>
          </w:pPr>
          <w:r>
            <w:rPr>
              <w:rFonts w:hint="eastAsia" w:ascii="宋体" w:hAnsi="宋体" w:eastAsia="宋体" w:cs="宋体"/>
            </w:rPr>
            <w:fldChar w:fldCharType="end"/>
          </w:r>
        </w:p>
      </w:sdtContent>
    </w:sdt>
    <w:p>
      <w:pPr>
        <w:tabs>
          <w:tab w:val="center" w:pos="4762"/>
        </w:tabs>
        <w:jc w:val="left"/>
        <w:rPr>
          <w:rFonts w:hint="default" w:eastAsia="宋体"/>
          <w:lang w:val="en-US" w:eastAsia="zh-CN"/>
        </w:rPr>
        <w:sectPr>
          <w:headerReference r:id="rId7" w:type="default"/>
          <w:footerReference r:id="rId9" w:type="default"/>
          <w:headerReference r:id="rId8" w:type="even"/>
          <w:footerReference r:id="rId10" w:type="even"/>
          <w:pgSz w:w="11906" w:h="16838"/>
          <w:pgMar w:top="1440" w:right="1800" w:bottom="1440" w:left="1800" w:header="851" w:footer="737" w:gutter="0"/>
          <w:pgNumType w:fmt="decimal"/>
          <w:cols w:space="0" w:num="1"/>
          <w:titlePg/>
          <w:docGrid w:type="lines" w:linePitch="312" w:charSpace="0"/>
        </w:sectPr>
      </w:pPr>
      <w:r>
        <w:rPr>
          <w:rFonts w:hint="eastAsia"/>
          <w:lang w:val="en-US" w:eastAsia="zh-CN"/>
        </w:rPr>
        <w:t xml:space="preserve">  </w:t>
      </w:r>
    </w:p>
    <w:p>
      <w:pPr>
        <w:pStyle w:val="4"/>
        <w:jc w:val="center"/>
      </w:pPr>
      <w:bookmarkStart w:id="0" w:name="_Toc26933"/>
      <w:bookmarkStart w:id="1" w:name="_Toc3156"/>
      <w:r>
        <w:rPr>
          <w:rFonts w:hint="eastAsia"/>
        </w:rPr>
        <w:t>第一</w:t>
      </w:r>
      <w:r>
        <w:rPr>
          <w:rFonts w:hint="eastAsia"/>
          <w:lang w:eastAsia="zh-CN"/>
        </w:rPr>
        <w:t>章</w:t>
      </w:r>
      <w:r>
        <w:rPr>
          <w:rFonts w:hint="eastAsia"/>
        </w:rPr>
        <w:t xml:space="preserve">  竞争性磋商邀请函</w:t>
      </w:r>
      <w:bookmarkEnd w:id="0"/>
      <w:bookmarkEnd w:id="1"/>
    </w:p>
    <w:p>
      <w:pPr>
        <w:bidi w:val="0"/>
        <w:rPr>
          <w:rFonts w:hint="eastAsia" w:ascii="宋体" w:hAnsi="宋体" w:eastAsia="宋体" w:cs="宋体"/>
          <w:sz w:val="28"/>
          <w:szCs w:val="28"/>
        </w:rPr>
      </w:pPr>
      <w:bookmarkStart w:id="2" w:name="_Toc12745"/>
      <w:r>
        <w:rPr>
          <w:rFonts w:hint="eastAsia" w:ascii="宋体" w:hAnsi="宋体" w:eastAsia="宋体" w:cs="宋体"/>
          <w:sz w:val="28"/>
          <w:szCs w:val="28"/>
        </w:rPr>
        <w:t>【项目概况】建始县中等职业技术学校汽车运用与维修实训设备采购的潜在供应商应在建始县建始大道璞玉岛9号门面一楼湖北普泰工程咨询有限公司获取采购文件，并于202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 xml:space="preserve">日09点00分（北京时间）前提交响应文件。 </w:t>
      </w:r>
    </w:p>
    <w:p>
      <w:pPr>
        <w:bidi w:val="0"/>
        <w:rPr>
          <w:rFonts w:hint="eastAsia" w:ascii="宋体" w:hAnsi="宋体" w:eastAsia="宋体" w:cs="宋体"/>
          <w:sz w:val="28"/>
          <w:szCs w:val="28"/>
        </w:rPr>
      </w:pPr>
      <w:r>
        <w:rPr>
          <w:rFonts w:hint="eastAsia" w:ascii="宋体" w:hAnsi="宋体" w:eastAsia="宋体" w:cs="宋体"/>
          <w:sz w:val="28"/>
          <w:szCs w:val="28"/>
        </w:rPr>
        <w:t>一、项目基本情况</w:t>
      </w: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eastAsia="宋体" w:cs="宋体"/>
          <w:sz w:val="28"/>
          <w:szCs w:val="28"/>
          <w:lang w:val="en-US" w:eastAsia="zh-CN"/>
        </w:rPr>
        <w:t>HBPTCS-2022001</w:t>
      </w: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2、采购计划备案号：</w:t>
      </w:r>
      <w:r>
        <w:rPr>
          <w:rFonts w:hint="eastAsia" w:ascii="宋体" w:hAnsi="宋体" w:eastAsia="宋体" w:cs="宋体"/>
          <w:sz w:val="28"/>
          <w:szCs w:val="28"/>
          <w:lang w:eastAsia="zh-CN"/>
        </w:rPr>
        <w:t>无</w:t>
      </w:r>
    </w:p>
    <w:p>
      <w:pPr>
        <w:bidi w:val="0"/>
        <w:rPr>
          <w:rFonts w:hint="eastAsia" w:ascii="宋体" w:hAnsi="宋体" w:eastAsia="宋体" w:cs="宋体"/>
          <w:sz w:val="28"/>
          <w:szCs w:val="28"/>
        </w:rPr>
      </w:pPr>
      <w:r>
        <w:rPr>
          <w:rFonts w:hint="eastAsia" w:ascii="宋体" w:hAnsi="宋体" w:eastAsia="宋体" w:cs="宋体"/>
          <w:sz w:val="28"/>
          <w:szCs w:val="28"/>
        </w:rPr>
        <w:t>3、项目名称：建始县中等职业技术学校汽车运用与维修实训设备采购</w:t>
      </w:r>
    </w:p>
    <w:p>
      <w:pPr>
        <w:bidi w:val="0"/>
        <w:rPr>
          <w:rFonts w:hint="eastAsia" w:ascii="宋体" w:hAnsi="宋体" w:eastAsia="宋体" w:cs="宋体"/>
          <w:sz w:val="28"/>
          <w:szCs w:val="28"/>
        </w:rPr>
      </w:pPr>
      <w:r>
        <w:rPr>
          <w:rFonts w:hint="eastAsia" w:ascii="宋体" w:hAnsi="宋体" w:eastAsia="宋体" w:cs="宋体"/>
          <w:sz w:val="28"/>
          <w:szCs w:val="28"/>
        </w:rPr>
        <w:t xml:space="preserve">4、采购方式：竞争性磋商 </w:t>
      </w:r>
    </w:p>
    <w:p>
      <w:pPr>
        <w:bidi w:val="0"/>
        <w:rPr>
          <w:rFonts w:hint="eastAsia" w:ascii="宋体" w:hAnsi="宋体" w:eastAsia="宋体" w:cs="宋体"/>
          <w:sz w:val="28"/>
          <w:szCs w:val="28"/>
        </w:rPr>
      </w:pPr>
      <w:r>
        <w:rPr>
          <w:rFonts w:hint="eastAsia" w:ascii="宋体" w:hAnsi="宋体" w:eastAsia="宋体" w:cs="宋体"/>
          <w:sz w:val="28"/>
          <w:szCs w:val="28"/>
        </w:rPr>
        <w:t>5、预算金额：</w:t>
      </w:r>
      <w:r>
        <w:rPr>
          <w:rFonts w:hint="eastAsia" w:ascii="宋体" w:hAnsi="宋体" w:eastAsia="宋体" w:cs="宋体"/>
          <w:sz w:val="28"/>
          <w:szCs w:val="28"/>
          <w:lang w:val="en-US" w:eastAsia="zh-CN"/>
        </w:rPr>
        <w:t>33.00</w:t>
      </w:r>
      <w:r>
        <w:rPr>
          <w:rFonts w:hint="eastAsia" w:ascii="宋体" w:hAnsi="宋体" w:eastAsia="宋体" w:cs="宋体"/>
          <w:sz w:val="28"/>
          <w:szCs w:val="28"/>
        </w:rPr>
        <w:t>(万元)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33.00</w:t>
      </w:r>
      <w:r>
        <w:rPr>
          <w:rFonts w:hint="eastAsia" w:ascii="宋体" w:hAnsi="宋体" w:eastAsia="宋体" w:cs="宋体"/>
          <w:sz w:val="28"/>
          <w:szCs w:val="28"/>
        </w:rPr>
        <w:t>(万元)</w:t>
      </w:r>
    </w:p>
    <w:p>
      <w:pPr>
        <w:bidi w:val="0"/>
        <w:rPr>
          <w:rFonts w:hint="eastAsia" w:ascii="宋体" w:hAnsi="宋体" w:eastAsia="宋体" w:cs="宋体"/>
          <w:sz w:val="28"/>
          <w:szCs w:val="28"/>
          <w:lang w:eastAsia="zh-CN"/>
        </w:rPr>
      </w:pPr>
      <w:r>
        <w:rPr>
          <w:rFonts w:hint="eastAsia" w:ascii="宋体" w:hAnsi="宋体" w:eastAsia="宋体" w:cs="宋体"/>
          <w:sz w:val="28"/>
          <w:szCs w:val="28"/>
        </w:rPr>
        <w:t>7、采购需求：</w:t>
      </w:r>
      <w:r>
        <w:rPr>
          <w:rFonts w:hint="eastAsia" w:ascii="宋体" w:hAnsi="宋体" w:eastAsia="宋体" w:cs="宋体"/>
          <w:sz w:val="28"/>
          <w:szCs w:val="28"/>
          <w:lang w:eastAsia="zh-CN"/>
        </w:rPr>
        <w:t>见磋商文件</w:t>
      </w:r>
    </w:p>
    <w:p>
      <w:pPr>
        <w:bidi w:val="0"/>
        <w:rPr>
          <w:rFonts w:hint="eastAsia" w:ascii="宋体" w:hAnsi="宋体" w:eastAsia="宋体" w:cs="宋体"/>
          <w:sz w:val="28"/>
          <w:szCs w:val="28"/>
        </w:rPr>
      </w:pPr>
      <w:r>
        <w:rPr>
          <w:rFonts w:hint="eastAsia" w:ascii="宋体" w:hAnsi="宋体" w:eastAsia="宋体" w:cs="宋体"/>
          <w:sz w:val="28"/>
          <w:szCs w:val="28"/>
        </w:rPr>
        <w:t>8、合同履行期限：</w:t>
      </w:r>
      <w:r>
        <w:rPr>
          <w:rFonts w:hint="eastAsia" w:ascii="宋体" w:hAnsi="宋体" w:eastAsia="宋体" w:cs="宋体"/>
          <w:sz w:val="28"/>
          <w:szCs w:val="28"/>
          <w:lang w:val="en-US" w:eastAsia="zh-CN"/>
        </w:rPr>
        <w:t>30</w:t>
      </w:r>
      <w:r>
        <w:rPr>
          <w:rFonts w:hint="eastAsia" w:ascii="宋体" w:hAnsi="宋体" w:eastAsia="宋体" w:cs="宋体"/>
          <w:sz w:val="28"/>
          <w:szCs w:val="28"/>
        </w:rPr>
        <w:t>日历天</w:t>
      </w:r>
    </w:p>
    <w:p>
      <w:pPr>
        <w:bidi w:val="0"/>
        <w:rPr>
          <w:rFonts w:hint="eastAsia" w:ascii="宋体" w:hAnsi="宋体" w:eastAsia="宋体" w:cs="宋体"/>
          <w:sz w:val="28"/>
          <w:szCs w:val="28"/>
        </w:rPr>
      </w:pPr>
      <w:r>
        <w:rPr>
          <w:rFonts w:hint="eastAsia" w:ascii="宋体" w:hAnsi="宋体" w:eastAsia="宋体" w:cs="宋体"/>
          <w:sz w:val="28"/>
          <w:szCs w:val="28"/>
        </w:rPr>
        <w:t xml:space="preserve">9、本项目（是/否）接受联合体投标：否 </w:t>
      </w:r>
    </w:p>
    <w:p>
      <w:pPr>
        <w:bidi w:val="0"/>
        <w:rPr>
          <w:rFonts w:hint="eastAsia" w:ascii="宋体" w:hAnsi="宋体" w:eastAsia="宋体" w:cs="宋体"/>
          <w:sz w:val="28"/>
          <w:szCs w:val="28"/>
        </w:rPr>
      </w:pPr>
      <w:r>
        <w:rPr>
          <w:rFonts w:hint="eastAsia" w:ascii="宋体" w:hAnsi="宋体" w:eastAsia="宋体" w:cs="宋体"/>
          <w:sz w:val="28"/>
          <w:szCs w:val="28"/>
        </w:rPr>
        <w:t xml:space="preserve">10、是否可采购进口产品：否 </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11、本项目是否专门面向中小微企业采购：否</w:t>
      </w:r>
    </w:p>
    <w:p>
      <w:pPr>
        <w:bidi w:val="0"/>
        <w:rPr>
          <w:rFonts w:hint="eastAsia" w:ascii="宋体" w:hAnsi="宋体" w:eastAsia="宋体" w:cs="宋体"/>
          <w:sz w:val="28"/>
          <w:szCs w:val="28"/>
        </w:rPr>
      </w:pPr>
      <w:r>
        <w:rPr>
          <w:rFonts w:hint="eastAsia" w:ascii="宋体" w:hAnsi="宋体" w:eastAsia="宋体" w:cs="宋体"/>
          <w:sz w:val="28"/>
          <w:szCs w:val="28"/>
        </w:rPr>
        <w:t>二、申请人的资格要求</w:t>
      </w:r>
    </w:p>
    <w:p>
      <w:pPr>
        <w:bidi w:val="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1、满足《中华人民共和国政府采购法》第二十二条规定，即：</w:t>
      </w:r>
    </w:p>
    <w:p>
      <w:pPr>
        <w:bidi w:val="0"/>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bidi w:val="0"/>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bidi w:val="0"/>
        <w:rPr>
          <w:rFonts w:hint="eastAsia" w:ascii="宋体" w:hAnsi="宋体" w:eastAsia="宋体" w:cs="宋体"/>
          <w:sz w:val="28"/>
          <w:szCs w:val="28"/>
        </w:rPr>
      </w:pPr>
      <w:r>
        <w:rPr>
          <w:rFonts w:hint="eastAsia" w:ascii="宋体" w:hAnsi="宋体" w:eastAsia="宋体" w:cs="宋体"/>
          <w:sz w:val="28"/>
          <w:szCs w:val="28"/>
        </w:rPr>
        <w:t>（3）具有履行合同所必需的设备和专业技术能力；</w:t>
      </w:r>
    </w:p>
    <w:p>
      <w:pPr>
        <w:bidi w:val="0"/>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pPr>
        <w:bidi w:val="0"/>
        <w:rPr>
          <w:rFonts w:hint="eastAsia"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pPr>
        <w:bidi w:val="0"/>
        <w:rPr>
          <w:rFonts w:hint="eastAsia" w:ascii="宋体" w:hAnsi="宋体" w:eastAsia="宋体" w:cs="宋体"/>
          <w:sz w:val="28"/>
          <w:szCs w:val="28"/>
        </w:rPr>
      </w:pPr>
      <w:r>
        <w:rPr>
          <w:rFonts w:hint="eastAsia" w:ascii="宋体" w:hAnsi="宋体" w:eastAsia="宋体" w:cs="宋体"/>
          <w:sz w:val="28"/>
          <w:szCs w:val="28"/>
        </w:rPr>
        <w:t>（6）法律、行政法规规定的其他条件。</w:t>
      </w:r>
    </w:p>
    <w:p>
      <w:pPr>
        <w:bidi w:val="0"/>
        <w:rPr>
          <w:rFonts w:hint="eastAsia" w:ascii="宋体" w:hAnsi="宋体" w:eastAsia="宋体" w:cs="宋体"/>
          <w:sz w:val="28"/>
          <w:szCs w:val="28"/>
        </w:rPr>
      </w:pPr>
      <w:r>
        <w:rPr>
          <w:rFonts w:hint="eastAsia" w:ascii="宋体" w:hAnsi="宋体" w:eastAsia="宋体" w:cs="宋体"/>
          <w:sz w:val="28"/>
          <w:szCs w:val="28"/>
        </w:rPr>
        <w:t>2、单位负责人为同一人或者存在直接控股、管理关系的不同投标人，不得参加本项目同一合同项下的政府采购活动。</w:t>
      </w:r>
    </w:p>
    <w:p>
      <w:pPr>
        <w:bidi w:val="0"/>
        <w:rPr>
          <w:rFonts w:hint="eastAsia" w:ascii="宋体" w:hAnsi="宋体" w:eastAsia="宋体" w:cs="宋体"/>
          <w:sz w:val="28"/>
          <w:szCs w:val="28"/>
        </w:rPr>
      </w:pPr>
      <w:r>
        <w:rPr>
          <w:rFonts w:hint="eastAsia" w:ascii="宋体" w:hAnsi="宋体" w:eastAsia="宋体" w:cs="宋体"/>
          <w:sz w:val="28"/>
          <w:szCs w:val="28"/>
        </w:rPr>
        <w:t>3、为本采购项目提供整体设计、规范编制或者项目管理、监理、检测等服务的，不得再参加本项目的其他招标采购活动。</w:t>
      </w:r>
    </w:p>
    <w:p>
      <w:pPr>
        <w:bidi w:val="0"/>
        <w:rPr>
          <w:rFonts w:hint="eastAsia" w:ascii="宋体" w:hAnsi="宋体" w:eastAsia="宋体" w:cs="宋体"/>
          <w:sz w:val="28"/>
          <w:szCs w:val="28"/>
        </w:rPr>
      </w:pPr>
      <w:r>
        <w:rPr>
          <w:rFonts w:hint="eastAsia" w:ascii="宋体" w:hAnsi="宋体" w:eastAsia="宋体" w:cs="宋体"/>
          <w:sz w:val="28"/>
          <w:szCs w:val="28"/>
        </w:rPr>
        <w:t>4、未被列入失信被执行人、重大税收违法案件当事人名单，未被列入政府采购严重违法失信行为记录名单。</w:t>
      </w:r>
    </w:p>
    <w:p>
      <w:pPr>
        <w:bidi w:val="0"/>
        <w:rPr>
          <w:rFonts w:hint="eastAsia" w:ascii="宋体" w:hAnsi="宋体" w:eastAsia="宋体" w:cs="宋体"/>
          <w:sz w:val="28"/>
          <w:szCs w:val="28"/>
          <w:lang w:eastAsia="zh-CN"/>
        </w:rPr>
      </w:pPr>
      <w:r>
        <w:rPr>
          <w:rFonts w:hint="eastAsia" w:ascii="宋体" w:hAnsi="宋体" w:eastAsia="宋体" w:cs="宋体"/>
          <w:sz w:val="28"/>
          <w:szCs w:val="28"/>
        </w:rPr>
        <w:t>5、落实政府采购政策需满足的资格要求：</w:t>
      </w:r>
      <w:r>
        <w:rPr>
          <w:rFonts w:hint="eastAsia" w:ascii="宋体" w:hAnsi="宋体" w:eastAsia="宋体" w:cs="宋体"/>
          <w:sz w:val="28"/>
          <w:szCs w:val="28"/>
          <w:lang w:eastAsia="zh-CN"/>
        </w:rPr>
        <w:t>本次政府采购活动中将落实节约能源、保护环境、扶持不发达地区和少数民族地区、促进中小企业发展等政府采购政策。</w:t>
      </w:r>
    </w:p>
    <w:p>
      <w:pPr>
        <w:bidi w:val="0"/>
        <w:rPr>
          <w:rFonts w:hint="eastAsia" w:ascii="宋体" w:hAnsi="宋体" w:eastAsia="宋体" w:cs="宋体"/>
          <w:sz w:val="28"/>
          <w:szCs w:val="28"/>
        </w:rPr>
      </w:pPr>
      <w:r>
        <w:rPr>
          <w:rFonts w:hint="eastAsia" w:ascii="宋体" w:hAnsi="宋体" w:eastAsia="宋体" w:cs="宋体"/>
          <w:sz w:val="28"/>
          <w:szCs w:val="28"/>
        </w:rPr>
        <w:t>6、本项目的特定资格要求：</w:t>
      </w:r>
    </w:p>
    <w:p>
      <w:pPr>
        <w:bidi w:val="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必须是在中华人民共和国境内注册的独立法人，并取得有效的营业执照。</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未被“信用中国”（www.creditchina.gov.cn查询）列入失信被执行人、重大税收违法案件当事人名单、政府采购严重违法失信行为记录名单，</w:t>
      </w:r>
      <w:r>
        <w:rPr>
          <w:rFonts w:hint="eastAsia" w:ascii="宋体" w:hAnsi="宋体" w:eastAsia="宋体" w:cs="宋体"/>
          <w:sz w:val="28"/>
          <w:szCs w:val="28"/>
          <w:lang w:eastAsia="zh-CN"/>
        </w:rPr>
        <w:t>供应商</w:t>
      </w:r>
      <w:r>
        <w:rPr>
          <w:rFonts w:hint="eastAsia" w:ascii="宋体" w:hAnsi="宋体" w:eastAsia="宋体" w:cs="宋体"/>
          <w:sz w:val="28"/>
          <w:szCs w:val="28"/>
        </w:rPr>
        <w:t>在中国政府采购网（www.ccgp.gov.cn查询）无政府采购严重违法失信行为信息记录。</w:t>
      </w:r>
      <w:r>
        <w:rPr>
          <w:rFonts w:hint="eastAsia" w:ascii="宋体" w:hAnsi="宋体" w:eastAsia="宋体" w:cs="宋体"/>
          <w:sz w:val="28"/>
          <w:szCs w:val="28"/>
          <w:lang w:eastAsia="zh-CN"/>
        </w:rPr>
        <w:t>供应商</w:t>
      </w:r>
      <w:r>
        <w:rPr>
          <w:rFonts w:hint="eastAsia" w:ascii="宋体" w:hAnsi="宋体" w:eastAsia="宋体" w:cs="宋体"/>
          <w:sz w:val="28"/>
          <w:szCs w:val="28"/>
        </w:rPr>
        <w:t>提供网站查询截图并加盖公章，否则</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的磋商申请将被拒绝。 </w:t>
      </w:r>
    </w:p>
    <w:p>
      <w:pPr>
        <w:bidi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）本次采购不接受联合体磋商申请。不接受未报名的</w:t>
      </w:r>
      <w:r>
        <w:rPr>
          <w:rFonts w:hint="eastAsia" w:ascii="宋体" w:hAnsi="宋体" w:eastAsia="宋体" w:cs="宋体"/>
          <w:sz w:val="28"/>
          <w:szCs w:val="28"/>
          <w:lang w:eastAsia="zh-CN"/>
        </w:rPr>
        <w:t>供应商</w:t>
      </w:r>
      <w:r>
        <w:rPr>
          <w:rFonts w:hint="eastAsia" w:ascii="宋体" w:hAnsi="宋体" w:eastAsia="宋体" w:cs="宋体"/>
          <w:sz w:val="28"/>
          <w:szCs w:val="28"/>
        </w:rPr>
        <w:t>参与磋商。</w:t>
      </w:r>
    </w:p>
    <w:p>
      <w:pPr>
        <w:bidi w:val="0"/>
        <w:rPr>
          <w:rFonts w:hint="eastAsia" w:ascii="宋体" w:hAnsi="宋体" w:eastAsia="宋体" w:cs="宋体"/>
          <w:sz w:val="28"/>
          <w:szCs w:val="28"/>
        </w:rPr>
      </w:pPr>
      <w:r>
        <w:rPr>
          <w:rFonts w:hint="eastAsia" w:ascii="宋体" w:hAnsi="宋体" w:eastAsia="宋体" w:cs="宋体"/>
          <w:sz w:val="28"/>
          <w:szCs w:val="28"/>
        </w:rPr>
        <w:t>三、获取采购文件</w:t>
      </w:r>
    </w:p>
    <w:p>
      <w:pPr>
        <w:bidi w:val="0"/>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日至202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日，每天上午08:30至12:00，下午14:30至17:30（北京时间，法定节假日除外） </w:t>
      </w:r>
    </w:p>
    <w:p>
      <w:pPr>
        <w:bidi w:val="0"/>
        <w:rPr>
          <w:rFonts w:hint="eastAsia" w:ascii="宋体" w:hAnsi="宋体" w:eastAsia="宋体" w:cs="宋体"/>
          <w:sz w:val="28"/>
          <w:szCs w:val="28"/>
        </w:rPr>
      </w:pPr>
      <w:r>
        <w:rPr>
          <w:rFonts w:hint="eastAsia" w:ascii="宋体" w:hAnsi="宋体" w:eastAsia="宋体" w:cs="宋体"/>
          <w:sz w:val="28"/>
          <w:szCs w:val="28"/>
        </w:rPr>
        <w:t>2、地点：建始县建始大道璞玉岛9号门面一楼湖北普泰工程咨询有限公司</w:t>
      </w:r>
    </w:p>
    <w:p>
      <w:pPr>
        <w:bidi w:val="0"/>
        <w:rPr>
          <w:rFonts w:hint="eastAsia" w:ascii="宋体" w:hAnsi="宋体" w:eastAsia="宋体" w:cs="宋体"/>
          <w:sz w:val="28"/>
          <w:szCs w:val="28"/>
        </w:rPr>
      </w:pPr>
      <w:r>
        <w:rPr>
          <w:rFonts w:hint="eastAsia" w:ascii="宋体" w:hAnsi="宋体" w:eastAsia="宋体" w:cs="宋体"/>
          <w:sz w:val="28"/>
          <w:szCs w:val="28"/>
        </w:rPr>
        <w:t>3、方式：携带合法有效的工商营业执照副本复印件（加盖单位红印章）</w:t>
      </w:r>
      <w:r>
        <w:rPr>
          <w:rFonts w:hint="eastAsia" w:ascii="宋体" w:hAnsi="宋体" w:eastAsia="宋体" w:cs="宋体"/>
          <w:sz w:val="28"/>
          <w:szCs w:val="28"/>
          <w:lang w:eastAsia="zh-CN"/>
        </w:rPr>
        <w:t>、</w:t>
      </w:r>
      <w:r>
        <w:rPr>
          <w:rFonts w:hint="eastAsia" w:ascii="宋体" w:hAnsi="宋体" w:eastAsia="宋体" w:cs="宋体"/>
          <w:sz w:val="28"/>
          <w:szCs w:val="28"/>
        </w:rPr>
        <w:t xml:space="preserve">授权代表身份证原件、法定代表人授权委托书原件及填写完整的报名登记表（附件中自行下载），至上述地点自带U盘拷贝磋商文件或发送到磋商申请人邮箱。 </w:t>
      </w:r>
    </w:p>
    <w:p>
      <w:pPr>
        <w:bidi w:val="0"/>
        <w:rPr>
          <w:rFonts w:hint="eastAsia" w:ascii="宋体" w:hAnsi="宋体" w:eastAsia="宋体" w:cs="宋体"/>
          <w:sz w:val="28"/>
          <w:szCs w:val="28"/>
        </w:rPr>
      </w:pPr>
      <w:r>
        <w:rPr>
          <w:rFonts w:hint="eastAsia" w:ascii="宋体" w:hAnsi="宋体" w:eastAsia="宋体" w:cs="宋体"/>
          <w:sz w:val="28"/>
          <w:szCs w:val="28"/>
        </w:rPr>
        <w:t>4、售价：</w:t>
      </w:r>
      <w:r>
        <w:rPr>
          <w:rFonts w:hint="eastAsia" w:ascii="宋体" w:hAnsi="宋体" w:eastAsia="宋体" w:cs="宋体"/>
          <w:sz w:val="28"/>
          <w:szCs w:val="28"/>
          <w:lang w:val="en-US" w:eastAsia="zh-CN"/>
        </w:rPr>
        <w:t>0</w:t>
      </w:r>
      <w:r>
        <w:rPr>
          <w:rFonts w:hint="eastAsia" w:ascii="宋体" w:hAnsi="宋体" w:eastAsia="宋体" w:cs="宋体"/>
          <w:sz w:val="28"/>
          <w:szCs w:val="28"/>
        </w:rPr>
        <w:t>(元)</w:t>
      </w:r>
    </w:p>
    <w:p>
      <w:pPr>
        <w:bidi w:val="0"/>
        <w:rPr>
          <w:rFonts w:hint="eastAsia" w:ascii="宋体" w:hAnsi="宋体" w:eastAsia="宋体" w:cs="宋体"/>
          <w:sz w:val="28"/>
          <w:szCs w:val="28"/>
        </w:rPr>
      </w:pPr>
      <w:r>
        <w:rPr>
          <w:rFonts w:hint="eastAsia" w:ascii="宋体" w:hAnsi="宋体" w:eastAsia="宋体" w:cs="宋体"/>
          <w:sz w:val="28"/>
          <w:szCs w:val="28"/>
        </w:rPr>
        <w:t>四、响应文件提交</w:t>
      </w:r>
    </w:p>
    <w:p>
      <w:pPr>
        <w:bidi w:val="0"/>
        <w:rPr>
          <w:rFonts w:hint="eastAsia" w:ascii="宋体" w:hAnsi="宋体" w:eastAsia="宋体" w:cs="宋体"/>
          <w:sz w:val="28"/>
          <w:szCs w:val="28"/>
        </w:rPr>
      </w:pPr>
      <w:r>
        <w:rPr>
          <w:rFonts w:hint="eastAsia" w:ascii="宋体" w:hAnsi="宋体" w:eastAsia="宋体" w:cs="宋体"/>
          <w:sz w:val="28"/>
          <w:szCs w:val="28"/>
        </w:rPr>
        <w:t>1、开始时间：202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 xml:space="preserve">日08点30分（北京时间） </w:t>
      </w:r>
    </w:p>
    <w:p>
      <w:pPr>
        <w:bidi w:val="0"/>
        <w:rPr>
          <w:rFonts w:hint="eastAsia" w:ascii="宋体" w:hAnsi="宋体" w:eastAsia="宋体" w:cs="宋体"/>
          <w:sz w:val="28"/>
          <w:szCs w:val="28"/>
        </w:rPr>
      </w:pPr>
      <w:r>
        <w:rPr>
          <w:rFonts w:hint="eastAsia" w:ascii="宋体" w:hAnsi="宋体" w:eastAsia="宋体" w:cs="宋体"/>
          <w:sz w:val="28"/>
          <w:szCs w:val="28"/>
        </w:rPr>
        <w:t>2、截止时间：202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 xml:space="preserve">日09点00分（北京时间） </w:t>
      </w:r>
    </w:p>
    <w:p>
      <w:pPr>
        <w:bidi w:val="0"/>
        <w:rPr>
          <w:rFonts w:hint="eastAsia" w:ascii="宋体" w:hAnsi="宋体" w:eastAsia="宋体" w:cs="宋体"/>
          <w:sz w:val="28"/>
          <w:szCs w:val="28"/>
        </w:rPr>
      </w:pPr>
      <w:r>
        <w:rPr>
          <w:rFonts w:hint="eastAsia" w:ascii="宋体" w:hAnsi="宋体" w:eastAsia="宋体" w:cs="宋体"/>
          <w:sz w:val="28"/>
          <w:szCs w:val="28"/>
        </w:rPr>
        <w:t>3、地点：建始县建始大道璞玉岛9号门面一楼湖北普泰工程咨询有限公司</w:t>
      </w:r>
    </w:p>
    <w:p>
      <w:pPr>
        <w:bidi w:val="0"/>
        <w:rPr>
          <w:rFonts w:hint="eastAsia" w:ascii="宋体" w:hAnsi="宋体" w:eastAsia="宋体" w:cs="宋体"/>
          <w:sz w:val="28"/>
          <w:szCs w:val="28"/>
        </w:rPr>
      </w:pPr>
      <w:r>
        <w:rPr>
          <w:rFonts w:hint="eastAsia" w:ascii="宋体" w:hAnsi="宋体" w:eastAsia="宋体" w:cs="宋体"/>
          <w:sz w:val="28"/>
          <w:szCs w:val="28"/>
        </w:rPr>
        <w:t>五、开启</w:t>
      </w:r>
    </w:p>
    <w:p>
      <w:pPr>
        <w:bidi w:val="0"/>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 xml:space="preserve">日09点00分（北京时间） </w:t>
      </w:r>
    </w:p>
    <w:p>
      <w:pPr>
        <w:bidi w:val="0"/>
        <w:rPr>
          <w:rFonts w:hint="eastAsia" w:ascii="宋体" w:hAnsi="宋体" w:eastAsia="宋体" w:cs="宋体"/>
          <w:sz w:val="28"/>
          <w:szCs w:val="28"/>
        </w:rPr>
      </w:pPr>
      <w:r>
        <w:rPr>
          <w:rFonts w:hint="eastAsia" w:ascii="宋体" w:hAnsi="宋体" w:eastAsia="宋体" w:cs="宋体"/>
          <w:sz w:val="28"/>
          <w:szCs w:val="28"/>
        </w:rPr>
        <w:t>2、地点：建始县建始大道璞玉岛9号门面一楼湖北普泰工程咨询有限公司</w:t>
      </w:r>
    </w:p>
    <w:p>
      <w:pPr>
        <w:bidi w:val="0"/>
        <w:rPr>
          <w:rFonts w:hint="eastAsia" w:ascii="宋体" w:hAnsi="宋体" w:eastAsia="宋体" w:cs="宋体"/>
          <w:sz w:val="28"/>
          <w:szCs w:val="28"/>
        </w:rPr>
      </w:pPr>
      <w:r>
        <w:rPr>
          <w:rFonts w:hint="eastAsia" w:ascii="宋体" w:hAnsi="宋体" w:eastAsia="宋体" w:cs="宋体"/>
          <w:sz w:val="28"/>
          <w:szCs w:val="28"/>
        </w:rPr>
        <w:t>六、公告期限</w:t>
      </w:r>
    </w:p>
    <w:p>
      <w:pPr>
        <w:bidi w:val="0"/>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pPr>
        <w:bidi w:val="0"/>
        <w:rPr>
          <w:rFonts w:hint="eastAsia" w:ascii="宋体" w:hAnsi="宋体" w:eastAsia="宋体" w:cs="宋体"/>
          <w:sz w:val="28"/>
          <w:szCs w:val="28"/>
        </w:rPr>
      </w:pPr>
      <w:r>
        <w:rPr>
          <w:rFonts w:hint="eastAsia" w:ascii="宋体" w:hAnsi="宋体" w:eastAsia="宋体" w:cs="宋体"/>
          <w:sz w:val="28"/>
          <w:szCs w:val="28"/>
        </w:rPr>
        <w:t>其他补充事宜</w:t>
      </w:r>
    </w:p>
    <w:p>
      <w:pPr>
        <w:bidi w:val="0"/>
        <w:rPr>
          <w:rFonts w:hint="eastAsia" w:ascii="宋体" w:hAnsi="宋体" w:eastAsia="宋体" w:cs="宋体"/>
          <w:sz w:val="28"/>
          <w:szCs w:val="28"/>
        </w:rPr>
      </w:pPr>
      <w:r>
        <w:rPr>
          <w:rFonts w:hint="eastAsia" w:ascii="宋体" w:hAnsi="宋体" w:eastAsia="宋体" w:cs="宋体"/>
          <w:sz w:val="28"/>
          <w:szCs w:val="28"/>
        </w:rPr>
        <w:t>公告信息发布媒</w:t>
      </w:r>
      <w:r>
        <w:rPr>
          <w:rFonts w:hint="eastAsia" w:ascii="宋体" w:hAnsi="宋体" w:eastAsia="宋体" w:cs="宋体"/>
          <w:sz w:val="28"/>
          <w:szCs w:val="28"/>
          <w:lang w:eastAsia="zh-CN"/>
        </w:rPr>
        <w:t>体</w:t>
      </w:r>
      <w:r>
        <w:rPr>
          <w:rFonts w:hint="eastAsia" w:ascii="宋体" w:hAnsi="宋体" w:eastAsia="宋体" w:cs="宋体"/>
          <w:sz w:val="28"/>
          <w:szCs w:val="28"/>
        </w:rPr>
        <w:t>：</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28"/>
        </w:rPr>
      </w:pPr>
      <w:r>
        <w:rPr>
          <w:rFonts w:hint="eastAsia" w:ascii="宋体" w:hAnsi="宋体" w:eastAsia="宋体" w:cs="宋体"/>
          <w:sz w:val="28"/>
          <w:szCs w:val="28"/>
        </w:rPr>
        <w:t>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w:t>
      </w:r>
    </w:p>
    <w:p>
      <w:pPr>
        <w:bidi w:val="0"/>
        <w:rPr>
          <w:rFonts w:hint="eastAsia" w:ascii="宋体" w:hAnsi="宋体" w:eastAsia="宋体" w:cs="宋体"/>
          <w:sz w:val="28"/>
          <w:szCs w:val="28"/>
        </w:rPr>
      </w:pPr>
      <w:r>
        <w:rPr>
          <w:rFonts w:hint="eastAsia" w:ascii="宋体" w:hAnsi="宋体" w:eastAsia="宋体" w:cs="宋体"/>
          <w:sz w:val="28"/>
          <w:szCs w:val="28"/>
        </w:rPr>
        <w:t>八、凡对本次采购提出询问，请按以下方式联系</w:t>
      </w:r>
    </w:p>
    <w:p>
      <w:pPr>
        <w:bidi w:val="0"/>
        <w:rPr>
          <w:rFonts w:hint="eastAsia" w:ascii="宋体" w:hAnsi="宋体" w:eastAsia="宋体" w:cs="宋体"/>
          <w:sz w:val="28"/>
          <w:szCs w:val="28"/>
        </w:rPr>
      </w:pPr>
      <w:r>
        <w:rPr>
          <w:rFonts w:hint="eastAsia" w:ascii="宋体" w:hAnsi="宋体" w:eastAsia="宋体" w:cs="宋体"/>
          <w:sz w:val="28"/>
          <w:szCs w:val="28"/>
        </w:rPr>
        <w:t>1、采购人信息</w:t>
      </w:r>
    </w:p>
    <w:p>
      <w:pPr>
        <w:bidi w:val="0"/>
        <w:rPr>
          <w:rFonts w:hint="eastAsia" w:ascii="宋体" w:hAnsi="宋体" w:eastAsia="宋体" w:cs="宋体"/>
          <w:sz w:val="28"/>
          <w:szCs w:val="28"/>
        </w:rPr>
      </w:pPr>
      <w:r>
        <w:rPr>
          <w:rFonts w:hint="eastAsia" w:ascii="宋体" w:hAnsi="宋体" w:eastAsia="宋体" w:cs="宋体"/>
          <w:sz w:val="28"/>
          <w:szCs w:val="28"/>
        </w:rPr>
        <w:t>采购人：湖北省建始县中等职业技术学校</w:t>
      </w:r>
    </w:p>
    <w:p>
      <w:pPr>
        <w:bidi w:val="0"/>
        <w:rPr>
          <w:rFonts w:hint="eastAsia" w:ascii="宋体" w:hAnsi="宋体" w:eastAsia="宋体" w:cs="宋体"/>
          <w:sz w:val="28"/>
          <w:szCs w:val="28"/>
        </w:rPr>
      </w:pPr>
      <w:r>
        <w:rPr>
          <w:rFonts w:hint="eastAsia" w:ascii="宋体" w:hAnsi="宋体" w:eastAsia="宋体" w:cs="宋体"/>
          <w:sz w:val="28"/>
          <w:szCs w:val="28"/>
        </w:rPr>
        <w:t>地  址：建始县长梁乡龙苑社区</w:t>
      </w:r>
    </w:p>
    <w:p>
      <w:pPr>
        <w:bidi w:val="0"/>
        <w:rPr>
          <w:rFonts w:hint="eastAsia" w:ascii="宋体" w:hAnsi="宋体" w:eastAsia="宋体" w:cs="宋体"/>
          <w:sz w:val="28"/>
          <w:szCs w:val="28"/>
        </w:rPr>
      </w:pPr>
      <w:r>
        <w:rPr>
          <w:rFonts w:hint="eastAsia" w:ascii="宋体" w:hAnsi="宋体" w:eastAsia="宋体" w:cs="宋体"/>
          <w:sz w:val="28"/>
          <w:szCs w:val="28"/>
        </w:rPr>
        <w:t>联系电话：15971749473</w:t>
      </w:r>
    </w:p>
    <w:p>
      <w:pPr>
        <w:bidi w:val="0"/>
        <w:rPr>
          <w:rFonts w:hint="eastAsia" w:ascii="宋体" w:hAnsi="宋体" w:eastAsia="宋体" w:cs="宋体"/>
          <w:sz w:val="28"/>
          <w:szCs w:val="28"/>
        </w:rPr>
      </w:pPr>
      <w:r>
        <w:rPr>
          <w:rFonts w:hint="eastAsia" w:ascii="宋体" w:hAnsi="宋体" w:eastAsia="宋体" w:cs="宋体"/>
          <w:sz w:val="28"/>
          <w:szCs w:val="28"/>
        </w:rPr>
        <w:t>2、采购代理机构信息</w:t>
      </w:r>
    </w:p>
    <w:p>
      <w:pPr>
        <w:bidi w:val="0"/>
        <w:rPr>
          <w:rFonts w:hint="eastAsia" w:ascii="宋体" w:hAnsi="宋体" w:eastAsia="宋体" w:cs="宋体"/>
          <w:sz w:val="28"/>
          <w:szCs w:val="28"/>
        </w:rPr>
      </w:pPr>
      <w:r>
        <w:rPr>
          <w:rFonts w:hint="eastAsia" w:ascii="宋体" w:hAnsi="宋体" w:eastAsia="宋体" w:cs="宋体"/>
          <w:sz w:val="28"/>
          <w:szCs w:val="28"/>
        </w:rPr>
        <w:t>名   称：湖北普泰工程咨询有限公司</w:t>
      </w:r>
    </w:p>
    <w:p>
      <w:pPr>
        <w:bidi w:val="0"/>
        <w:rPr>
          <w:rFonts w:hint="eastAsia" w:ascii="宋体" w:hAnsi="宋体" w:eastAsia="宋体" w:cs="宋体"/>
          <w:sz w:val="28"/>
          <w:szCs w:val="28"/>
        </w:rPr>
      </w:pPr>
      <w:r>
        <w:rPr>
          <w:rFonts w:hint="eastAsia" w:ascii="宋体" w:hAnsi="宋体" w:eastAsia="宋体" w:cs="宋体"/>
          <w:sz w:val="28"/>
          <w:szCs w:val="28"/>
        </w:rPr>
        <w:t>地   址：建始县建始大道璞玉岛9号门面一楼</w:t>
      </w:r>
    </w:p>
    <w:p>
      <w:pPr>
        <w:bidi w:val="0"/>
        <w:rPr>
          <w:rFonts w:hint="eastAsia" w:ascii="宋体" w:hAnsi="宋体" w:eastAsia="宋体" w:cs="宋体"/>
          <w:sz w:val="28"/>
          <w:szCs w:val="28"/>
        </w:rPr>
      </w:pPr>
      <w:r>
        <w:rPr>
          <w:rFonts w:hint="eastAsia" w:ascii="宋体" w:hAnsi="宋体" w:eastAsia="宋体" w:cs="宋体"/>
          <w:sz w:val="28"/>
          <w:szCs w:val="28"/>
        </w:rPr>
        <w:t>联系方式：0718-3227599</w:t>
      </w:r>
    </w:p>
    <w:p>
      <w:pPr>
        <w:bidi w:val="0"/>
        <w:rPr>
          <w:rFonts w:hint="eastAsia" w:ascii="宋体" w:hAnsi="宋体" w:eastAsia="宋体" w:cs="宋体"/>
          <w:sz w:val="28"/>
          <w:szCs w:val="28"/>
        </w:rPr>
      </w:pPr>
      <w:r>
        <w:rPr>
          <w:rFonts w:hint="eastAsia" w:ascii="宋体" w:hAnsi="宋体" w:eastAsia="宋体" w:cs="宋体"/>
          <w:sz w:val="28"/>
          <w:szCs w:val="28"/>
        </w:rPr>
        <w:t>3、项目联系方式</w:t>
      </w:r>
    </w:p>
    <w:p>
      <w:pPr>
        <w:bidi w:val="0"/>
        <w:rPr>
          <w:rFonts w:hint="eastAsia" w:ascii="宋体" w:hAnsi="宋体" w:eastAsia="宋体" w:cs="宋体"/>
          <w:sz w:val="28"/>
          <w:szCs w:val="28"/>
        </w:rPr>
      </w:pPr>
      <w:r>
        <w:rPr>
          <w:rFonts w:hint="eastAsia" w:ascii="宋体" w:hAnsi="宋体" w:eastAsia="宋体" w:cs="宋体"/>
          <w:sz w:val="28"/>
          <w:szCs w:val="28"/>
        </w:rPr>
        <w:t>项目联系人：侯睿卿</w:t>
      </w: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eastAsia="宋体" w:cs="宋体"/>
          <w:sz w:val="28"/>
          <w:szCs w:val="28"/>
          <w:lang w:val="en-US" w:eastAsia="zh-CN"/>
        </w:rPr>
        <w:t>0718-3227599</w:t>
      </w:r>
    </w:p>
    <w:p>
      <w:pPr>
        <w:pStyle w:val="4"/>
        <w:numPr>
          <w:ilvl w:val="0"/>
          <w:numId w:val="0"/>
        </w:numPr>
        <w:spacing w:before="240" w:after="120"/>
        <w:jc w:val="center"/>
        <w:rPr>
          <w:rFonts w:hint="eastAsia" w:asciiTheme="minorEastAsia" w:hAnsiTheme="minorEastAsia" w:eastAsiaTheme="minorEastAsia" w:cstheme="minorEastAsia"/>
        </w:rPr>
      </w:pPr>
      <w:bookmarkStart w:id="33" w:name="_GoBack"/>
      <w:bookmarkEnd w:id="33"/>
      <w:bookmarkStart w:id="3" w:name="_Toc18642"/>
      <w:r>
        <w:rPr>
          <w:rFonts w:hint="eastAsia" w:asciiTheme="minorEastAsia" w:hAnsiTheme="minorEastAsia" w:eastAsiaTheme="minorEastAsia" w:cstheme="minorEastAsia"/>
          <w:lang w:val="en-US" w:eastAsia="zh-CN"/>
        </w:rPr>
        <w:t xml:space="preserve">第二章  </w:t>
      </w:r>
      <w:r>
        <w:rPr>
          <w:rFonts w:hint="eastAsia" w:asciiTheme="minorEastAsia" w:hAnsiTheme="minorEastAsia" w:eastAsiaTheme="minorEastAsia" w:cstheme="minorEastAsia"/>
        </w:rPr>
        <w:t>磋商须知</w:t>
      </w:r>
      <w:bookmarkEnd w:id="2"/>
      <w:bookmarkEnd w:id="3"/>
    </w:p>
    <w:p>
      <w:pPr>
        <w:pStyle w:val="4"/>
        <w:numPr>
          <w:ilvl w:val="0"/>
          <w:numId w:val="0"/>
        </w:numPr>
        <w:spacing w:before="240" w:after="120"/>
        <w:jc w:val="center"/>
        <w:rPr>
          <w:rFonts w:asciiTheme="minorEastAsia" w:hAnsiTheme="minorEastAsia" w:eastAsiaTheme="minorEastAsia" w:cstheme="minorEastAsia"/>
          <w:sz w:val="28"/>
          <w:szCs w:val="28"/>
        </w:rPr>
      </w:pPr>
      <w:bookmarkStart w:id="4" w:name="_Toc19734"/>
      <w:bookmarkStart w:id="5" w:name="_Toc15699"/>
      <w:r>
        <w:rPr>
          <w:rFonts w:hint="eastAsia" w:asciiTheme="minorEastAsia" w:hAnsiTheme="minorEastAsia" w:eastAsiaTheme="minorEastAsia" w:cstheme="minorEastAsia"/>
          <w:sz w:val="28"/>
          <w:szCs w:val="28"/>
        </w:rPr>
        <w:t>《竞争性磋商须知前附表》</w:t>
      </w:r>
      <w:bookmarkEnd w:id="4"/>
      <w:bookmarkEnd w:id="5"/>
    </w:p>
    <w:tbl>
      <w:tblPr>
        <w:tblStyle w:val="23"/>
        <w:tblW w:w="93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2869"/>
        <w:gridCol w:w="5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  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57" w:right="57" w:firstLine="484" w:firstLineChars="20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HBPTCS-202</w:t>
            </w:r>
            <w:r>
              <w:rPr>
                <w:rFonts w:hint="eastAsia" w:ascii="宋体" w:hAnsi="宋体" w:cs="宋体"/>
                <w:sz w:val="24"/>
                <w:szCs w:val="24"/>
                <w:lang w:val="en-US" w:eastAsia="zh-CN"/>
              </w:rPr>
              <w:t>2001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33" w:type="dxa"/>
            <w:tcBorders>
              <w:top w:val="single" w:color="auto" w:sz="4" w:space="0"/>
              <w:left w:val="single" w:color="auto" w:sz="4" w:space="0"/>
              <w:bottom w:val="single" w:color="auto" w:sz="4" w:space="0"/>
            </w:tcBorders>
            <w:vAlign w:val="center"/>
          </w:tcPr>
          <w:p>
            <w:pPr>
              <w:pStyle w:val="6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default"/>
                <w:sz w:val="24"/>
                <w:szCs w:val="24"/>
                <w:shd w:val="clear" w:fill="FFFFFF"/>
              </w:rPr>
              <w:t>建始县中等职业技术学校汽车运用与维修实训设备采购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833" w:type="dxa"/>
            <w:tcBorders>
              <w:top w:val="single" w:color="auto" w:sz="4" w:space="0"/>
              <w:left w:val="single" w:color="auto" w:sz="4" w:space="0"/>
              <w:bottom w:val="single" w:color="auto" w:sz="4" w:space="0"/>
            </w:tcBorders>
            <w:vAlign w:val="center"/>
          </w:tcPr>
          <w:p>
            <w:pPr>
              <w:pStyle w:val="21"/>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color w:val="333333"/>
                <w:sz w:val="24"/>
                <w:szCs w:val="24"/>
                <w:shd w:val="clear" w:fill="FFFFFF"/>
              </w:rPr>
              <w:t>湖北省建始县中等职业技术学校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是否专门面向中小企业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bCs/>
                <w:sz w:val="24"/>
              </w:rPr>
              <w:t>小型和微型企业、</w:t>
            </w:r>
            <w:r>
              <w:rPr>
                <w:rFonts w:hint="eastAsia" w:ascii="宋体" w:hAnsi="宋体" w:eastAsia="宋体" w:cs="宋体"/>
                <w:sz w:val="24"/>
              </w:rPr>
              <w:t>监狱企业或残疾人福利性单位</w:t>
            </w:r>
            <w:r>
              <w:rPr>
                <w:rFonts w:hint="eastAsia" w:ascii="宋体" w:hAnsi="宋体" w:eastAsia="宋体" w:cs="宋体"/>
                <w:bCs/>
                <w:sz w:val="24"/>
              </w:rPr>
              <w:t>价格扣除比例</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40" w:lineRule="atLeast"/>
              <w:ind w:left="0" w:right="-105" w:rightChars="-5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lang w:val="en-US" w:eastAsia="zh-CN"/>
              </w:rPr>
              <w:t>10</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color w:val="FF0000"/>
                <w:kern w:val="2"/>
                <w:sz w:val="24"/>
                <w:szCs w:val="24"/>
                <w:highlight w:val="yellow"/>
                <w:lang w:val="en-US" w:eastAsia="zh-CN" w:bidi="ar-SA"/>
              </w:rPr>
            </w:pPr>
            <w:r>
              <w:rPr>
                <w:rFonts w:hint="eastAsia" w:ascii="宋体" w:hAnsi="宋体" w:eastAsia="宋体" w:cs="宋体"/>
                <w:bCs/>
                <w:sz w:val="24"/>
              </w:rPr>
              <w:t>联合协议中小型、微型企业的协议合同金额占协议合同总金额30%以上的，价格扣除比例</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40" w:lineRule="atLeast"/>
              <w:ind w:left="0" w:right="-105" w:rightChars="-50"/>
              <w:jc w:val="center"/>
              <w:rPr>
                <w:rFonts w:hint="eastAsia" w:ascii="宋体" w:hAnsi="宋体" w:eastAsia="宋体" w:cs="宋体"/>
                <w:color w:val="FF0000"/>
                <w:kern w:val="2"/>
                <w:sz w:val="24"/>
                <w:szCs w:val="24"/>
                <w:highlight w:val="yellow"/>
                <w:lang w:val="en-US" w:eastAsia="zh-CN" w:bidi="ar-SA"/>
              </w:rPr>
            </w:pPr>
            <w:r>
              <w:rPr>
                <w:rFonts w:hint="eastAsia" w:ascii="宋体" w:hAnsi="宋体" w:eastAsia="宋体" w:cs="宋体"/>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left="630" w:leftChars="0" w:right="57" w:firstLineChars="0"/>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 xml:space="preserve">无论磋商结果如何，磋商申请方自行承担所有与参加磋 商有关的全部费用。招标代理费依据财库【2018】2 号/ 发改价格【2011】534 号/发改办价格【2003】857 号/ 计价格【2002】1980 号规定计取，经与采购人协商决定 本项目招标代理费由中标人支付。请各投标人在投标报价时自行考虑，若因投标人自身原因导致报价未考虑该因素的，其后果由投标人自行承担，采购人与招标代理机构不承担任何责任。 </w:t>
            </w:r>
          </w:p>
        </w:tc>
      </w:tr>
    </w:tbl>
    <w:p>
      <w:pPr>
        <w:numPr>
          <w:ilvl w:val="0"/>
          <w:numId w:val="0"/>
        </w:numPr>
        <w:spacing w:line="360" w:lineRule="auto"/>
        <w:ind w:firstLine="3373" w:firstLineChars="1400"/>
        <w:rPr>
          <w:rFonts w:hint="eastAsia" w:asciiTheme="minorEastAsia" w:hAnsiTheme="minorEastAsia" w:eastAsiaTheme="minorEastAsia" w:cstheme="minorEastAsia"/>
          <w:b/>
          <w:sz w:val="24"/>
          <w:lang w:eastAsia="zh-CN"/>
        </w:rPr>
      </w:pPr>
    </w:p>
    <w:p>
      <w:pPr>
        <w:numPr>
          <w:ilvl w:val="0"/>
          <w:numId w:val="0"/>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一、</w:t>
      </w:r>
      <w:r>
        <w:rPr>
          <w:rFonts w:hint="eastAsia" w:asciiTheme="minorEastAsia" w:hAnsiTheme="minorEastAsia" w:eastAsiaTheme="minorEastAsia" w:cstheme="minorEastAsia"/>
          <w:b/>
          <w:sz w:val="24"/>
        </w:rPr>
        <w:t>总　则</w:t>
      </w:r>
    </w:p>
    <w:p>
      <w:pPr>
        <w:numPr>
          <w:ilvl w:val="0"/>
          <w:numId w:val="2"/>
        </w:num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适用范围</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1.1本文件仅适用于本文件中所叙述的货物、服务类政府采购项目。</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2.定义</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2.1“采购人”是指：详见《竞争性磋商须知前附表》。</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2.2“监管部门”是指：建始县财政局。</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w:t>
      </w:r>
      <w:r>
        <w:rPr>
          <w:rFonts w:hint="eastAsia" w:asciiTheme="minorEastAsia" w:hAnsiTheme="minorEastAsia" w:eastAsiaTheme="minorEastAsia" w:cstheme="minorEastAsia"/>
          <w:bCs/>
          <w:sz w:val="24"/>
          <w:lang w:val="en-US" w:eastAsia="zh-CN"/>
        </w:rPr>
        <w:t>采购代理</w:t>
      </w:r>
      <w:r>
        <w:rPr>
          <w:rFonts w:hint="eastAsia" w:asciiTheme="minorEastAsia" w:hAnsiTheme="minorEastAsia" w:eastAsiaTheme="minorEastAsia" w:cstheme="minorEastAsia"/>
          <w:bCs/>
          <w:sz w:val="24"/>
        </w:rPr>
        <w:t>机构”是指：详见《竞争性磋商须知前附表》。</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2.4“供应商”是指：参加竞争性磋商的法人或者其他组织及自然人。如供应商在本次竞争性磋商中成交，即成为“成交供应商”。</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2.5“货物”是指：是指成交供应商按本文件规定，向采购人提供的一切货物及其相关服务。根据《政府采购法》的相关规定均应是本国货物，另有规定的除外。</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“服务”是指：成交供应商按本文件规定向采购人提供的所有服务。</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2.7“响应文件”是指：供应商根据本文件要求编制包含价格、技术、服务和合同草案条款等所有内容的文件。</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 供应商的应具备以下条件，并提供相关证明材料，对于未提供或提供的材料不符合本文件要求的，竞争性磋商小组将拒绝其参加竞争性磋商。资格证明文件应真实可靠、不得伪造。</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3.1具备《政府采购法》第二十二条第一款规定的条件，并提供以下证明材料：</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1）法人或者其他组织的营业执照等证明文件，如供应商是自然人的提供身份证明材料；</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2）财务状况报告，依法缴纳税收和社会保障资金的相关材料；</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3）具备履行合同所必需的设备和专业技术能力的证明材料；</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4）参加政府采购活动前3年内在经营活动中没有重大违法记录的书面声明；</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3.2如经营、开发或承担本采购项目的货物、服务国家有相关资质要求、或强制性规范、或行业标准的，应已经取得并提供相应的资质证书；</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3.3未被列入“信用中国”网站(www.creditchina. gov.cn)</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Cs/>
          <w:sz w:val="24"/>
        </w:rPr>
        <w:t>、“中国政府采购网”(www.ccgp.gov.cn)失信被执行人、重大税收违法案件当事人名单、政府采购严重违法失信行为记录名单。</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3.4本磋商文件第一章第七条除上述以外的条款。</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费用</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4.1供应商应自行承担所有与编写和提交响应文件有关的费用，不论竞争性磋商结果如何，采购人和集中采购机构在任何情况下无义务和责任承担此类费用。</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4.2成交供应商</w:t>
      </w:r>
      <w:r>
        <w:rPr>
          <w:rFonts w:hint="eastAsia" w:asciiTheme="minorEastAsia" w:hAnsiTheme="minorEastAsia" w:eastAsiaTheme="minorEastAsia" w:cstheme="minorEastAsia"/>
          <w:bCs/>
          <w:sz w:val="24"/>
          <w:lang w:val="en-US" w:eastAsia="zh-CN"/>
        </w:rPr>
        <w:t>向采购代理机构缴纳采购代理</w:t>
      </w:r>
      <w:r>
        <w:rPr>
          <w:rFonts w:hint="eastAsia" w:asciiTheme="minorEastAsia" w:hAnsiTheme="minorEastAsia" w:eastAsiaTheme="minorEastAsia" w:cstheme="minorEastAsia"/>
          <w:bCs/>
          <w:sz w:val="24"/>
        </w:rPr>
        <w:t>费</w:t>
      </w:r>
      <w:r>
        <w:rPr>
          <w:rFonts w:hint="eastAsia" w:asciiTheme="minorEastAsia" w:hAnsiTheme="minorEastAsia" w:eastAsiaTheme="minorEastAsia" w:cstheme="minorEastAsia"/>
          <w:bCs/>
          <w:sz w:val="24"/>
          <w:lang w:eastAsia="zh-CN"/>
        </w:rPr>
        <w:t>（见磋商须知前</w:t>
      </w:r>
      <w:r>
        <w:rPr>
          <w:rFonts w:hint="eastAsia" w:asciiTheme="minorEastAsia" w:hAnsiTheme="minorEastAsia" w:eastAsiaTheme="minorEastAsia" w:cstheme="minorEastAsia"/>
          <w:bCs/>
          <w:sz w:val="24"/>
          <w:lang w:val="en-US" w:eastAsia="zh-CN"/>
        </w:rPr>
        <w:t>附表</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响应文件的编制</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 响应文件编制基本要求</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5.1响应文件以及与采购</w:t>
      </w:r>
      <w:r>
        <w:rPr>
          <w:rFonts w:hint="eastAsia" w:asciiTheme="minorEastAsia" w:hAnsiTheme="minorEastAsia" w:eastAsiaTheme="minorEastAsia" w:cstheme="minorEastAsia"/>
          <w:bCs/>
          <w:sz w:val="24"/>
          <w:lang w:val="en-US" w:eastAsia="zh-CN"/>
        </w:rPr>
        <w:t>代理</w:t>
      </w:r>
      <w:r>
        <w:rPr>
          <w:rFonts w:hint="eastAsia" w:asciiTheme="minorEastAsia" w:hAnsiTheme="minorEastAsia" w:eastAsiaTheme="minorEastAsia" w:cstheme="minorEastAsia"/>
          <w:bCs/>
          <w:sz w:val="24"/>
        </w:rPr>
        <w:t>机构和采购人就有关竞争性磋商的所有来往函电均应使用简体中文。</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5.2供应商应认真阅读、并充分理解本文件的全部内容（包括所有的补充、修改内容），承诺并履行本文件中各项条款规定及要求。</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5.3响应文件应按本文件的全部内容，包括所有的补充通知及附件进行编制。供应商受邀参加本文件多个包竞争性磋商的，其响应文件的编制应按每包要求分别装订和封装。</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5.4如因供应商只提供本文件要求的部分内容或附件的，竞争性磋商小组有权拒绝其补充和竞争性磋商。</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5.5响应文件的组成</w:t>
      </w:r>
    </w:p>
    <w:p>
      <w:pPr>
        <w:spacing w:line="360" w:lineRule="auto"/>
        <w:ind w:left="273" w:leftChars="13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不限于以下内容，如未提供，竞争性磋商小组有权拒绝其响应文件：</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1）竞争性磋商书(附件1)；</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2）报价组成情况表(附件2)；</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3）货物（服务）清单(附件3)；</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4）资格性符合性检查对照表(附件4)；</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5）技术响应、偏离情况说明表(附件5)；</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6）商务条款响应、偏离情况说明表(附件6)；</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7）法定代表人授权书(附件7)；</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8）法人或者其他组织的营业执照等证明文件，自然人的身份证明(附件8)；</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9）财务状况报告，依法缴纳税收和社会保障资金的相关材料(附件9)；</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10）具备履行合同所必需的设备和专业技术能力的证明材料(附件10)；</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11）参加政府采购活动前3年内在经营活动中没有重大违法记录的书面声明(附件11)；</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12）与采购人和采购</w:t>
      </w:r>
      <w:r>
        <w:rPr>
          <w:rFonts w:hint="eastAsia" w:asciiTheme="minorEastAsia" w:hAnsiTheme="minorEastAsia" w:eastAsiaTheme="minorEastAsia" w:cstheme="minorEastAsia"/>
          <w:bCs/>
          <w:sz w:val="24"/>
          <w:lang w:val="en-US" w:eastAsia="zh-CN"/>
        </w:rPr>
        <w:t>代理</w:t>
      </w:r>
      <w:r>
        <w:rPr>
          <w:rFonts w:hint="eastAsia" w:asciiTheme="minorEastAsia" w:hAnsiTheme="minorEastAsia" w:eastAsiaTheme="minorEastAsia" w:cstheme="minorEastAsia"/>
          <w:bCs/>
          <w:sz w:val="24"/>
        </w:rPr>
        <w:t>机构没有任何隶属关系或其他利害关系的书面声明(附件12)。</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13）不存在“单位负责人为同一人或者存在直接控股、管理关系的不同供应商，参加同一合同项下的政府采购活动”情形的书面声明；(附件13)</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14）不存在“除单一来源采购项目外，为采购项目提供整体设计、规范编制或者项目管理、监理、检测等服务的供应商，再参加该采购项目的其他采购活动”情形的书面声明；(附件14)</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15）《中小企业声明函》、《残疾人福利性单位声明函》、属于监狱企业的证明文件等（如果有的话）(附件15)。</w:t>
      </w:r>
    </w:p>
    <w:p>
      <w:pPr>
        <w:spacing w:line="360" w:lineRule="auto"/>
        <w:ind w:left="273" w:leftChars="13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本文件要求提供的其他资格证明文件及资料。</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 计量单位</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6.1除技术要求中另有规定外，本文件所使用的计量单位均应采用国家法定计量单位。</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响应文件有效期</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 本项目竞争性磋商有效期为竞争性磋商之日算起90个日历日内保持有效，在此期间响应文件有效。竞争性磋商结束后，在有效期内竞争性磋商供应商不得改变竞争性磋商报价、服务期及承诺的全部义务。响应文件有效期比本文件规定短的，竞争性磋商小组将视响应文件无效予以拒绝。</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 在特殊情况下，在原竞争性磋商有效期满之前，集中采购机构可向竞争性磋商供应商提出延长竞争性磋商有效期的要求。这种要求与答复均应采用书面形式。竞争性磋商供应商可以拒绝集中采购机构的要求。同意延长竞争性磋商有效期的竞争性磋商供应商不允许修改其响应文件。</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报价要求</w:t>
      </w:r>
    </w:p>
    <w:p>
      <w:pPr>
        <w:spacing w:line="360" w:lineRule="auto"/>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报价以人民币报价。</w:t>
      </w:r>
    </w:p>
    <w:p>
      <w:pPr>
        <w:spacing w:line="360" w:lineRule="auto"/>
        <w:ind w:left="362"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10.对于本文件中未列明，供应商认为必需的费用也需列入总报价。在合同实施时，采购人将不予支付成交供应商没有列入的项目费用，并认为此项目的费用已包括在总报价中。</w:t>
      </w:r>
    </w:p>
    <w:p>
      <w:pPr>
        <w:spacing w:line="360" w:lineRule="auto"/>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成交供应商负责本项目所需的售后服务等全部工作，文件另有规定的除外。</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响应文件的份数、封装和递交</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响应文件的份数和封装</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12.1响应文件一式三份，其中正本一份，副本二份。</w:t>
      </w:r>
    </w:p>
    <w:p>
      <w:pPr>
        <w:spacing w:line="360" w:lineRule="auto"/>
        <w:ind w:left="360" w:right="-42" w:rightChars="-20"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12.2响应文件的信封上应写明:项目编号、项目名称、供应商名称。</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响应文件的递交</w:t>
      </w:r>
    </w:p>
    <w:p>
      <w:pPr>
        <w:spacing w:line="360" w:lineRule="auto"/>
        <w:ind w:left="360"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13.1所有响应文件应于第一章“竞争性磋商邀请函”中规定的时间前递交到采购</w:t>
      </w:r>
      <w:r>
        <w:rPr>
          <w:rFonts w:hint="eastAsia" w:asciiTheme="minorEastAsia" w:hAnsiTheme="minorEastAsia" w:eastAsiaTheme="minorEastAsia" w:cstheme="minorEastAsia"/>
          <w:bCs/>
          <w:sz w:val="24"/>
          <w:lang w:val="en-US" w:eastAsia="zh-CN"/>
        </w:rPr>
        <w:t>代理</w:t>
      </w:r>
      <w:r>
        <w:rPr>
          <w:rFonts w:hint="eastAsia" w:asciiTheme="minorEastAsia" w:hAnsiTheme="minorEastAsia" w:eastAsiaTheme="minorEastAsia" w:cstheme="minorEastAsia"/>
          <w:bCs/>
          <w:sz w:val="24"/>
        </w:rPr>
        <w:t>机构。</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14</w:t>
      </w:r>
      <w:r>
        <w:rPr>
          <w:rFonts w:hint="eastAsia" w:asciiTheme="minorEastAsia" w:hAnsiTheme="minorEastAsia" w:eastAsiaTheme="minorEastAsia" w:cstheme="minorEastAsia"/>
          <w:sz w:val="24"/>
        </w:rPr>
        <w:t>. 迟交的响应文件</w:t>
      </w:r>
    </w:p>
    <w:p>
      <w:pPr>
        <w:spacing w:line="360" w:lineRule="auto"/>
        <w:ind w:left="398" w:leftChars="-1" w:hanging="400" w:hangingChars="1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14.1采购</w:t>
      </w:r>
      <w:r>
        <w:rPr>
          <w:rFonts w:hint="eastAsia" w:asciiTheme="minorEastAsia" w:hAnsiTheme="minorEastAsia" w:eastAsiaTheme="minorEastAsia" w:cstheme="minorEastAsia"/>
          <w:sz w:val="24"/>
          <w:lang w:val="en-US" w:eastAsia="zh-CN"/>
        </w:rPr>
        <w:t>代理</w:t>
      </w:r>
      <w:r>
        <w:rPr>
          <w:rFonts w:hint="eastAsia" w:asciiTheme="minorEastAsia" w:hAnsiTheme="minorEastAsia" w:eastAsiaTheme="minorEastAsia" w:cstheme="minorEastAsia"/>
          <w:sz w:val="24"/>
        </w:rPr>
        <w:t>机构将拒绝或原封退回在其规定的递交响应文件截止时间之后收到的任何响应文件。</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竞争性磋商小组的组成</w:t>
      </w:r>
    </w:p>
    <w:p>
      <w:pPr>
        <w:spacing w:line="360" w:lineRule="auto"/>
        <w:ind w:left="420" w:hanging="42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本次竞争性磋商由采购</w:t>
      </w:r>
      <w:r>
        <w:rPr>
          <w:rFonts w:hint="eastAsia" w:asciiTheme="minorEastAsia" w:hAnsiTheme="minorEastAsia" w:eastAsiaTheme="minorEastAsia" w:cstheme="minorEastAsia"/>
          <w:bCs/>
          <w:sz w:val="24"/>
          <w:lang w:val="en-US" w:eastAsia="zh-CN"/>
        </w:rPr>
        <w:t>代理</w:t>
      </w:r>
      <w:r>
        <w:rPr>
          <w:rFonts w:hint="eastAsia" w:asciiTheme="minorEastAsia" w:hAnsiTheme="minorEastAsia" w:eastAsiaTheme="minorEastAsia" w:cstheme="minorEastAsia"/>
          <w:bCs/>
          <w:sz w:val="24"/>
        </w:rPr>
        <w:t>机构依法组建的竞争性磋商小组进行</w:t>
      </w:r>
    </w:p>
    <w:p>
      <w:pPr>
        <w:spacing w:line="360" w:lineRule="auto"/>
        <w:ind w:left="360"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15.1竞争性磋商小组成员由采购人代表一名和外聘专家两名及以上（技术、经济、法律等方面）组成，外聘专家从省级政府采购专家库中随机抽取。</w:t>
      </w:r>
    </w:p>
    <w:p>
      <w:pPr>
        <w:spacing w:line="360" w:lineRule="auto"/>
        <w:ind w:left="360"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15.2竞争性磋商小组负责响应文件的评审、竞争性磋商、根据竞争性磋商情况编写评审报告，协助处理质疑等工作。</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竞争性磋商的步骤</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16. 供应商授权代表及其项目相关的商务技术人员按要求参加本项目磋商过程。</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17. 资格性审查</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17.1磋商小组验证各供应商代表或委托授权人的身份。供应商代表或委托授权人身份与响应文件不符的、响应文件未按要求加盖印章和签字的，磋商小组有权拒绝该供应商参加磋商。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17.2磋商小组根据磋商文件规定对供应商响应文件的有效性、完整性和响应程度进行审查。审查内容包括供应商资格条件、是否足额缴纳保证金（如有）、实质性响应的情况等。未实质性响应磋商文件的响应文件按无效处理，并告知有关供应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18. 第一轮磋商</w:t>
      </w:r>
    </w:p>
    <w:p>
      <w:pPr>
        <w:keepNext w:val="0"/>
        <w:keepLines w:val="0"/>
        <w:widowControl/>
        <w:suppressLineNumbers w:val="0"/>
        <w:ind w:firstLine="240" w:firstLineChars="100"/>
        <w:jc w:val="left"/>
      </w:pPr>
      <w:r>
        <w:rPr>
          <w:rFonts w:hint="eastAsia" w:asciiTheme="minorEastAsia" w:hAnsiTheme="minorEastAsia" w:eastAsiaTheme="minorEastAsia" w:cstheme="minorEastAsia"/>
          <w:bCs/>
          <w:color w:val="000000" w:themeColor="text1"/>
          <w:sz w:val="24"/>
          <w14:textFill>
            <w14:solidFill>
              <w14:schemeClr w14:val="tx1"/>
            </w14:solidFill>
          </w14:textFill>
        </w:rPr>
        <w:t>18.1</w:t>
      </w:r>
      <w:r>
        <w:rPr>
          <w:rFonts w:ascii="CIDFont" w:hAnsi="CIDFont" w:eastAsia="CIDFont" w:cs="CIDFont"/>
          <w:color w:val="000000"/>
          <w:kern w:val="0"/>
          <w:sz w:val="24"/>
          <w:szCs w:val="24"/>
          <w:lang w:val="en-US" w:eastAsia="zh-CN" w:bidi="ar"/>
        </w:rPr>
        <w:t>磋商小组将视项目特点决定是否需要与单一供应商分别进行磋商，若进行，</w:t>
      </w:r>
      <w:r>
        <w:rPr>
          <w:rFonts w:hint="default" w:ascii="CIDFont" w:hAnsi="CIDFont" w:eastAsia="CIDFont" w:cs="CIDFont"/>
          <w:color w:val="000000"/>
          <w:kern w:val="0"/>
          <w:sz w:val="24"/>
          <w:szCs w:val="24"/>
          <w:lang w:val="en-US" w:eastAsia="zh-CN" w:bidi="ar"/>
        </w:rPr>
        <w:t xml:space="preserve">则按照随机抽签的顺序决定供应商的磋商顺序，并与单一供应商分别进行磋 </w:t>
      </w:r>
    </w:p>
    <w:p>
      <w:pPr>
        <w:keepNext w:val="0"/>
        <w:keepLines w:val="0"/>
        <w:widowControl/>
        <w:suppressLineNumbers w:val="0"/>
        <w:jc w:val="left"/>
      </w:pPr>
      <w:r>
        <w:rPr>
          <w:rFonts w:hint="default" w:ascii="CIDFont" w:hAnsi="CIDFont" w:eastAsia="CIDFont" w:cs="CIDFont"/>
          <w:color w:val="000000"/>
          <w:kern w:val="0"/>
          <w:sz w:val="24"/>
          <w:szCs w:val="24"/>
          <w:lang w:val="en-US" w:eastAsia="zh-CN" w:bidi="ar"/>
        </w:rPr>
        <w:t xml:space="preserve">商。 </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18.3响应文件的澄清和说明</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3）供应商可以对参加竞争性磋商项目的采购需求提出优化建议，并以书面提交磋商小组。</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18.4磋商小组按磋商文件设定的方法和标准确定供应商符合磋商文件要求的，该供应商即为合格的供应商。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18.6合格的供应商不足三家的，磋商小组、采购人在调整采购需求中的技术、服务要求以及合同草案条款后进行下一轮磋商。否则，本次磋商终止。（符合《政府采购竞争性磋商采购方式管理暂行办法》第三条第四项和财政部《关于政府采购竞争性磋商采购方式管理暂行办法有关问题的补充通知》规定情形的，竞争性磋商采购活动可以继续进行）</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19.磋商文件修正</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19.2磋商小组将磋商文件的修改结果以书面形式通知参加磋商的供应商。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19.4对无法详细描述需求，需要供应商提供设计或者解决方案的项目，磋商小组可以根据采购人对需求确认情况，进行多轮磋商，直至采购人代表最终确认采购需求为止。</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20. 第二轮磋商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20.1磋商小组就修正后的磋商文件与供应商分别进行磋商。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21. 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21.3</w:t>
      </w:r>
      <w:r>
        <w:rPr>
          <w:rFonts w:hint="eastAsia" w:ascii="Times New Roman" w:hAnsi="Times New Roman" w:cs="Times New Roman"/>
          <w:bCs/>
          <w:sz w:val="24"/>
          <w:szCs w:val="24"/>
        </w:rPr>
        <w:t>最后报价是供应商响应文件的有效组成部分，符合《政府采购竞争性磋商采购方式管理暂行办法》第三条第四项和财政部《关于政府采购竞争性磋商采购方式管理暂行办法有关问题的补充通知》规定情形的，提交最后报价的供应商可以为2家。</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21.4除《政府采购竞争性磋商采购方式管理暂行办法》第三条第四项和财政部《关于政府采购竞争性磋商采购方式管理暂行办法有关问题的补充通知》规定情形外，</w:t>
      </w:r>
      <w:r>
        <w:rPr>
          <w:rFonts w:ascii="Times New Roman" w:hAnsi="Times New Roman" w:cs="Times New Roman"/>
          <w:bCs/>
          <w:sz w:val="24"/>
          <w:szCs w:val="24"/>
        </w:rPr>
        <w:t>供应商的报价均超过了政府采购预算或报价未超过采购预算的供应商不足三家的，磋商活动终止。</w:t>
      </w:r>
    </w:p>
    <w:p>
      <w:pPr>
        <w:spacing w:line="440" w:lineRule="exact"/>
        <w:ind w:left="360" w:hanging="360" w:hangingChars="150"/>
        <w:rPr>
          <w:rFonts w:ascii="Times New Roman" w:hAnsi="Times New Roman" w:cs="Times New Roman"/>
          <w:bCs/>
          <w:sz w:val="24"/>
          <w:szCs w:val="24"/>
        </w:rPr>
      </w:pPr>
      <w:r>
        <w:rPr>
          <w:rFonts w:hint="eastAsia" w:ascii="宋体" w:hAnsi="宋体" w:eastAsia="宋体" w:cs="宋体"/>
          <w:bCs/>
          <w:sz w:val="24"/>
          <w:szCs w:val="24"/>
        </w:rPr>
        <w:t>21.5</w:t>
      </w:r>
      <w:r>
        <w:rPr>
          <w:rFonts w:ascii="Times New Roman" w:hAnsi="Times New Roman" w:cs="Times New Roman"/>
          <w:bCs/>
          <w:sz w:val="24"/>
          <w:szCs w:val="24"/>
        </w:rPr>
        <w:t>在提交最后报价之前，供应商可以根据磋商情况退出磋商。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22.综合评议</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22.1 磋商小组将按照磋商文件确定的评审办法对各供应商的响应文件进行商务服务评议和价格评议。</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22.2评审采用综合评分法，具体见“第四章评审办法及评审标准”。</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23.非专门面向中小企业、监狱企业或残疾人福利性单位采购项目价格评议</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24.价格分采用低价优先法计算，即满足磋商文件要求且最后报价最低的供应商的价格为磋商基准价，其价格分为满分。其他供应商的价格分计算公式：磋商报价得分=（磋商基准价/最后磋商报价）×价格权值×100。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24.1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keepNext w:val="0"/>
        <w:keepLines w:val="0"/>
        <w:widowControl/>
        <w:numPr>
          <w:ilvl w:val="0"/>
          <w:numId w:val="4"/>
        </w:numPr>
        <w:suppressLineNumbers w:val="0"/>
        <w:spacing w:line="360" w:lineRule="auto"/>
        <w:jc w:val="lef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磋商小组决定响应文件的响应性只根据响应文件本身的真实无误的内容，而不依据外部的证据，但响应文件有不真实不正确的内容时除外。</w:t>
      </w:r>
    </w:p>
    <w:p>
      <w:pPr>
        <w:keepNext w:val="0"/>
        <w:keepLines w:val="0"/>
        <w:widowControl/>
        <w:numPr>
          <w:ilvl w:val="0"/>
          <w:numId w:val="4"/>
        </w:numPr>
        <w:suppressLineNumbers w:val="0"/>
        <w:spacing w:line="360" w:lineRule="auto"/>
        <w:jc w:val="left"/>
      </w:pPr>
      <w:r>
        <w:rPr>
          <w:rFonts w:ascii="CIDFont" w:hAnsi="CIDFont" w:eastAsia="CIDFont" w:cs="CIDFont"/>
          <w:color w:val="000000"/>
          <w:kern w:val="0"/>
          <w:sz w:val="24"/>
          <w:szCs w:val="24"/>
          <w:lang w:val="en-US" w:eastAsia="zh-CN" w:bidi="ar"/>
        </w:rPr>
        <w:t xml:space="preserve"> 相同品牌处理原则</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0"/>
        </w:numPr>
        <w:suppressLineNumbers w:val="0"/>
        <w:spacing w:line="360" w:lineRule="auto"/>
        <w:jc w:val="left"/>
      </w:pPr>
      <w:r>
        <w:rPr>
          <w:rFonts w:hint="eastAsia" w:ascii="宋体" w:hAnsi="宋体" w:eastAsia="宋体" w:cs="宋体"/>
          <w:color w:val="000000"/>
          <w:kern w:val="0"/>
          <w:sz w:val="24"/>
          <w:szCs w:val="24"/>
          <w:lang w:val="en-US" w:eastAsia="zh-CN" w:bidi="ar"/>
        </w:rPr>
        <w:t>26</w:t>
      </w:r>
      <w:r>
        <w:rPr>
          <w:rFonts w:hint="eastAsia" w:ascii="宋体" w:hAnsi="宋体" w:cs="宋体"/>
          <w:color w:val="000000"/>
          <w:kern w:val="0"/>
          <w:sz w:val="24"/>
          <w:szCs w:val="24"/>
          <w:lang w:val="en-US" w:eastAsia="zh-CN" w:bidi="ar"/>
        </w:rPr>
        <w:t>.1</w:t>
      </w:r>
      <w:r>
        <w:rPr>
          <w:rFonts w:hint="default" w:ascii="CIDFont" w:hAnsi="CIDFont" w:eastAsia="CIDFont" w:cs="CIDFont"/>
          <w:color w:val="000000"/>
          <w:kern w:val="0"/>
          <w:sz w:val="24"/>
          <w:szCs w:val="24"/>
          <w:lang w:val="en-US" w:eastAsia="zh-CN" w:bidi="ar"/>
        </w:rPr>
        <w:t xml:space="preserve"> 提供相同品牌产品且通过资格审查、符合性审查的不同投标人参加同一合 </w:t>
      </w:r>
    </w:p>
    <w:p>
      <w:pPr>
        <w:keepNext w:val="0"/>
        <w:keepLines w:val="0"/>
        <w:widowControl/>
        <w:suppressLineNumbers w:val="0"/>
        <w:spacing w:line="360" w:lineRule="auto"/>
        <w:jc w:val="left"/>
      </w:pPr>
      <w:r>
        <w:rPr>
          <w:rFonts w:hint="default" w:ascii="CIDFont" w:hAnsi="CIDFont" w:eastAsia="CIDFont" w:cs="CIDFont"/>
          <w:color w:val="000000"/>
          <w:kern w:val="0"/>
          <w:sz w:val="24"/>
          <w:szCs w:val="24"/>
          <w:lang w:val="en-US" w:eastAsia="zh-CN" w:bidi="ar"/>
        </w:rPr>
        <w:t xml:space="preserve">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 中标候选人。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26.2</w:t>
      </w:r>
      <w:r>
        <w:rPr>
          <w:rFonts w:hint="default" w:ascii="CIDFont" w:hAnsi="CIDFont" w:eastAsia="CIDFont" w:cs="CIDFont"/>
          <w:color w:val="000000"/>
          <w:kern w:val="0"/>
          <w:sz w:val="24"/>
          <w:szCs w:val="24"/>
          <w:lang w:val="en-US" w:eastAsia="zh-CN" w:bidi="ar"/>
        </w:rPr>
        <w:t>非单一产品采购项目，采购人应当根据采购项目技术构成、产品价格比重</w:t>
      </w:r>
    </w:p>
    <w:p>
      <w:pPr>
        <w:keepNext w:val="0"/>
        <w:keepLines w:val="0"/>
        <w:widowControl/>
        <w:suppressLineNumbers w:val="0"/>
        <w:jc w:val="left"/>
      </w:pPr>
      <w:r>
        <w:rPr>
          <w:rFonts w:hint="default" w:ascii="CIDFont" w:hAnsi="CIDFont" w:eastAsia="CIDFont" w:cs="CIDFont"/>
          <w:color w:val="000000"/>
          <w:kern w:val="0"/>
          <w:sz w:val="24"/>
          <w:szCs w:val="24"/>
          <w:lang w:val="en-US" w:eastAsia="zh-CN" w:bidi="ar"/>
        </w:rPr>
        <w:t xml:space="preserve">合理确定一个核心产品（采购清单中作“相同〈或同一〉品牌”实质性要求的产 </w:t>
      </w:r>
    </w:p>
    <w:p>
      <w:pPr>
        <w:keepNext w:val="0"/>
        <w:keepLines w:val="0"/>
        <w:widowControl/>
        <w:suppressLineNumbers w:val="0"/>
        <w:jc w:val="left"/>
      </w:pPr>
      <w:r>
        <w:rPr>
          <w:rFonts w:hint="default" w:ascii="CIDFont" w:hAnsi="CIDFont" w:eastAsia="CIDFont" w:cs="CIDFont"/>
          <w:color w:val="000000"/>
          <w:kern w:val="0"/>
          <w:sz w:val="24"/>
          <w:szCs w:val="24"/>
          <w:lang w:val="en-US" w:eastAsia="zh-CN" w:bidi="ar"/>
        </w:rPr>
        <w:t xml:space="preserve">品，视为一个核心产品），并以“核心产品”在招标文件中标注。 </w:t>
      </w:r>
    </w:p>
    <w:p>
      <w:pPr>
        <w:numPr>
          <w:ilvl w:val="0"/>
          <w:numId w:val="0"/>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eastAsia="zh-CN"/>
        </w:rPr>
        <w:t>八、</w:t>
      </w:r>
      <w:r>
        <w:rPr>
          <w:rFonts w:hint="eastAsia" w:asciiTheme="minorEastAsia" w:hAnsiTheme="minorEastAsia" w:eastAsiaTheme="minorEastAsia" w:cstheme="minorEastAsia"/>
          <w:b/>
          <w:sz w:val="24"/>
        </w:rPr>
        <w:t>确定成交供应商</w:t>
      </w:r>
    </w:p>
    <w:p>
      <w:pPr>
        <w:spacing w:line="360" w:lineRule="auto"/>
        <w:ind w:left="362" w:leftChars="1"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26.磋商小组根据综合评分情况，按照评审得分由高到低顺序推荐3名以上成交候选供应商，并编写评审报告。符合《政府采购竞争性磋商采购方式管理暂行办法》第三条第四项和财政部《关于政府采购竞争性磋商采购方式管理暂行办法有关问题的补充通知》规定情形的，可以推荐2家成交候选供应商。评审得分相同的，按照最终报价由低到高的顺序推荐。评审得分且最后报价相同的，按照技术指标优劣顺序推荐。</w:t>
      </w:r>
    </w:p>
    <w:p>
      <w:pPr>
        <w:spacing w:line="360" w:lineRule="auto"/>
        <w:ind w:left="362" w:leftChars="1"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color w:val="000000" w:themeColor="text1"/>
          <w:sz w:val="24"/>
          <w14:textFill>
            <w14:solidFill>
              <w14:schemeClr w14:val="tx1"/>
            </w14:solidFill>
          </w14:textFill>
        </w:rPr>
        <w:t>27.采购人从评审报告提出的成交候选供应商中，按照排序由高到低的原则确定成交供应商。采购人逾期未确定成交供应商且不提出异议的，视为确定评审报告提出的排序第一的供应商为成交供应商。</w:t>
      </w:r>
    </w:p>
    <w:p>
      <w:pPr>
        <w:spacing w:line="360" w:lineRule="auto"/>
        <w:ind w:left="362" w:leftChars="1"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28.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发布成交公告</w:t>
      </w:r>
    </w:p>
    <w:p>
      <w:pPr>
        <w:spacing w:line="360" w:lineRule="auto"/>
        <w:ind w:left="360" w:hanging="360" w:hangingChars="1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29.采购</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代理</w:t>
      </w:r>
      <w:r>
        <w:rPr>
          <w:rFonts w:hint="eastAsia" w:asciiTheme="minorEastAsia" w:hAnsiTheme="minorEastAsia" w:eastAsiaTheme="minorEastAsia" w:cstheme="minorEastAsia"/>
          <w:bCs/>
          <w:color w:val="000000" w:themeColor="text1"/>
          <w:sz w:val="24"/>
          <w14:textFill>
            <w14:solidFill>
              <w14:schemeClr w14:val="tx1"/>
            </w14:solidFill>
          </w14:textFill>
        </w:rPr>
        <w:t>机构在成交供应商确定后，在财政部门指定的媒体上公告成交结果，同时向成交供应商发出成交通知书。公告期为一个工作日。</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质疑及提交</w:t>
      </w:r>
    </w:p>
    <w:p>
      <w:pPr>
        <w:spacing w:line="360" w:lineRule="auto"/>
        <w:rPr>
          <w:rFonts w:ascii="宋体" w:hAnsi="宋体" w:cs="宋体"/>
          <w:sz w:val="24"/>
          <w:szCs w:val="24"/>
          <w:lang w:val="zh-CN"/>
        </w:rPr>
      </w:pPr>
      <w:r>
        <w:rPr>
          <w:rFonts w:hint="eastAsia" w:ascii="宋体" w:hAnsi="宋体" w:cs="宋体"/>
          <w:sz w:val="24"/>
          <w:szCs w:val="24"/>
        </w:rPr>
        <w:t>30.</w:t>
      </w:r>
      <w:r>
        <w:rPr>
          <w:rFonts w:hint="eastAsia" w:ascii="宋体" w:hAnsi="宋体" w:cs="宋体"/>
          <w:sz w:val="24"/>
          <w:szCs w:val="24"/>
          <w:lang w:val="zh-CN"/>
        </w:rPr>
        <w:t>供应商认为</w:t>
      </w:r>
      <w:r>
        <w:rPr>
          <w:rFonts w:hint="eastAsia" w:ascii="宋体" w:hAnsi="宋体" w:cs="宋体"/>
          <w:sz w:val="24"/>
          <w:szCs w:val="24"/>
        </w:rPr>
        <w:t>采购</w:t>
      </w:r>
      <w:r>
        <w:rPr>
          <w:rFonts w:hint="eastAsia" w:ascii="宋体" w:hAnsi="宋体" w:cs="宋体"/>
          <w:sz w:val="24"/>
          <w:szCs w:val="24"/>
          <w:lang w:val="zh-CN"/>
        </w:rPr>
        <w:t>文件、</w:t>
      </w:r>
      <w:r>
        <w:rPr>
          <w:rFonts w:hint="eastAsia" w:ascii="宋体" w:hAnsi="宋体" w:cs="宋体"/>
          <w:sz w:val="24"/>
          <w:szCs w:val="24"/>
        </w:rPr>
        <w:t>采购</w:t>
      </w:r>
      <w:r>
        <w:rPr>
          <w:rFonts w:hint="eastAsia" w:ascii="宋体" w:hAnsi="宋体" w:cs="宋体"/>
          <w:sz w:val="24"/>
          <w:szCs w:val="24"/>
          <w:lang w:val="zh-CN"/>
        </w:rPr>
        <w:t>过程和</w:t>
      </w:r>
      <w:r>
        <w:rPr>
          <w:rFonts w:hint="eastAsia" w:ascii="宋体" w:hAnsi="宋体" w:cs="宋体"/>
          <w:sz w:val="24"/>
          <w:szCs w:val="24"/>
        </w:rPr>
        <w:t>成交</w:t>
      </w:r>
      <w:r>
        <w:rPr>
          <w:rFonts w:hint="eastAsia" w:ascii="宋体" w:hAnsi="宋体" w:cs="宋体"/>
          <w:sz w:val="24"/>
          <w:szCs w:val="24"/>
          <w:lang w:val="zh-CN"/>
        </w:rPr>
        <w:t>结果使自己的权益受到损害的，可以在知道或者应知其权益受到损害之日起</w:t>
      </w:r>
      <w:r>
        <w:rPr>
          <w:rFonts w:ascii="宋体" w:hAnsi="宋体" w:cs="宋体"/>
          <w:sz w:val="24"/>
          <w:szCs w:val="24"/>
          <w:lang w:val="zh-CN"/>
        </w:rPr>
        <w:t>7</w:t>
      </w:r>
      <w:r>
        <w:rPr>
          <w:rFonts w:hint="eastAsia" w:ascii="宋体" w:hAnsi="宋体" w:cs="宋体"/>
          <w:sz w:val="24"/>
          <w:szCs w:val="24"/>
          <w:lang w:val="zh-CN"/>
        </w:rPr>
        <w:t>个工作日内，向建始县政府采购中心和采购人同时提出质疑。供应商应在法定质疑期内一次性提出针对同一采购程序环节的质疑。质疑时按照</w:t>
      </w:r>
      <w:r>
        <w:rPr>
          <w:rFonts w:hint="eastAsia" w:ascii="宋体" w:hAnsi="宋体" w:cs="宋体"/>
          <w:sz w:val="24"/>
          <w:szCs w:val="24"/>
        </w:rPr>
        <w:t>以下第31条的要求</w:t>
      </w:r>
      <w:r>
        <w:rPr>
          <w:rFonts w:hint="eastAsia" w:ascii="宋体" w:hAnsi="宋体" w:cs="宋体"/>
          <w:sz w:val="24"/>
          <w:szCs w:val="24"/>
          <w:lang w:val="zh-CN"/>
        </w:rPr>
        <w:t>提交书面质疑函并附相关证据材料，同时按要求提供电子文档。</w:t>
      </w:r>
    </w:p>
    <w:p>
      <w:pPr>
        <w:spacing w:line="360" w:lineRule="auto"/>
        <w:rPr>
          <w:rFonts w:ascii="宋体"/>
          <w:sz w:val="24"/>
          <w:szCs w:val="24"/>
          <w:lang w:val="zh-CN"/>
        </w:rPr>
      </w:pPr>
      <w:r>
        <w:rPr>
          <w:rFonts w:hint="eastAsia" w:ascii="宋体" w:hAnsi="宋体" w:cs="宋体"/>
          <w:sz w:val="24"/>
          <w:szCs w:val="24"/>
        </w:rPr>
        <w:t>31.</w:t>
      </w:r>
      <w:r>
        <w:rPr>
          <w:rFonts w:hint="eastAsia" w:ascii="宋体" w:hAnsi="宋体" w:cs="宋体"/>
          <w:sz w:val="24"/>
          <w:szCs w:val="24"/>
          <w:lang w:val="zh-CN"/>
        </w:rPr>
        <w:t>供应商应知其权益受到损害之日是指：</w:t>
      </w:r>
    </w:p>
    <w:p>
      <w:pPr>
        <w:spacing w:line="360" w:lineRule="auto"/>
        <w:rPr>
          <w:rFonts w:ascii="宋体"/>
          <w:sz w:val="24"/>
          <w:szCs w:val="24"/>
          <w:lang w:val="zh-CN"/>
        </w:rPr>
      </w:pPr>
      <w:r>
        <w:rPr>
          <w:rFonts w:hint="eastAsia" w:ascii="宋体" w:hAnsi="宋体" w:cs="宋体"/>
          <w:sz w:val="24"/>
          <w:szCs w:val="24"/>
        </w:rPr>
        <w:t>31.1</w:t>
      </w:r>
      <w:r>
        <w:rPr>
          <w:rFonts w:hint="eastAsia" w:ascii="宋体" w:hAnsi="宋体" w:cs="宋体"/>
          <w:sz w:val="24"/>
          <w:szCs w:val="24"/>
          <w:lang w:val="zh-CN"/>
        </w:rPr>
        <w:t>对可以质疑的采购文件提出质疑的，为收到采购文件之日或者采购文件公告期限届满之日；</w:t>
      </w:r>
    </w:p>
    <w:p>
      <w:pPr>
        <w:spacing w:line="360" w:lineRule="auto"/>
        <w:rPr>
          <w:rFonts w:ascii="宋体" w:hAnsi="宋体" w:cs="宋体"/>
          <w:sz w:val="24"/>
          <w:szCs w:val="24"/>
          <w:lang w:val="zh-CN"/>
        </w:rPr>
      </w:pPr>
      <w:r>
        <w:rPr>
          <w:rFonts w:hint="eastAsia" w:ascii="宋体" w:hAnsi="宋体" w:cs="宋体"/>
          <w:sz w:val="24"/>
          <w:szCs w:val="24"/>
        </w:rPr>
        <w:t>31.2</w:t>
      </w:r>
      <w:r>
        <w:rPr>
          <w:rFonts w:hint="eastAsia" w:ascii="宋体" w:hAnsi="宋体" w:cs="宋体"/>
          <w:sz w:val="24"/>
          <w:szCs w:val="24"/>
          <w:lang w:val="zh-CN"/>
        </w:rPr>
        <w:t>对采购过程提出质疑的，为各采购程序环节结束之日；</w:t>
      </w:r>
    </w:p>
    <w:p>
      <w:pPr>
        <w:spacing w:line="360" w:lineRule="auto"/>
        <w:rPr>
          <w:rFonts w:ascii="宋体"/>
          <w:sz w:val="24"/>
          <w:szCs w:val="24"/>
          <w:lang w:val="zh-CN"/>
        </w:rPr>
      </w:pPr>
      <w:r>
        <w:rPr>
          <w:rFonts w:hint="eastAsia" w:ascii="宋体" w:hAnsi="宋体" w:cs="宋体"/>
          <w:sz w:val="24"/>
          <w:szCs w:val="24"/>
        </w:rPr>
        <w:t>31.3</w:t>
      </w:r>
      <w:r>
        <w:rPr>
          <w:rFonts w:hint="eastAsia" w:ascii="宋体" w:hAnsi="宋体" w:cs="宋体"/>
          <w:sz w:val="24"/>
          <w:szCs w:val="24"/>
          <w:lang w:val="zh-CN"/>
        </w:rPr>
        <w:t>对</w:t>
      </w:r>
      <w:r>
        <w:rPr>
          <w:rFonts w:hint="eastAsia" w:ascii="宋体" w:hAnsi="宋体" w:cs="宋体"/>
          <w:sz w:val="24"/>
          <w:szCs w:val="24"/>
        </w:rPr>
        <w:t>成交</w:t>
      </w:r>
      <w:r>
        <w:rPr>
          <w:rFonts w:hint="eastAsia" w:ascii="宋体" w:hAnsi="宋体" w:cs="宋体"/>
          <w:sz w:val="24"/>
          <w:szCs w:val="24"/>
          <w:lang w:val="zh-CN"/>
        </w:rPr>
        <w:t>结果提出质疑的，为</w:t>
      </w:r>
      <w:r>
        <w:rPr>
          <w:rFonts w:hint="eastAsia" w:ascii="宋体" w:hAnsi="宋体" w:cs="宋体"/>
          <w:sz w:val="24"/>
          <w:szCs w:val="24"/>
        </w:rPr>
        <w:t>成交</w:t>
      </w:r>
      <w:r>
        <w:rPr>
          <w:rFonts w:hint="eastAsia" w:ascii="宋体" w:hAnsi="宋体" w:cs="宋体"/>
          <w:sz w:val="24"/>
          <w:szCs w:val="24"/>
          <w:lang w:val="zh-CN"/>
        </w:rPr>
        <w:t>公告期限届满之日。</w:t>
      </w:r>
    </w:p>
    <w:p>
      <w:pPr>
        <w:spacing w:line="360" w:lineRule="auto"/>
        <w:rPr>
          <w:rFonts w:ascii="宋体"/>
          <w:sz w:val="24"/>
          <w:szCs w:val="24"/>
          <w:lang w:val="zh-CN"/>
        </w:rPr>
      </w:pPr>
      <w:r>
        <w:rPr>
          <w:rFonts w:hint="eastAsia" w:ascii="宋体" w:hAnsi="宋体" w:cs="宋体"/>
          <w:sz w:val="24"/>
          <w:szCs w:val="24"/>
        </w:rPr>
        <w:t>32.</w:t>
      </w:r>
      <w:r>
        <w:rPr>
          <w:rFonts w:hint="eastAsia" w:ascii="宋体" w:hAnsi="宋体" w:cs="宋体"/>
          <w:sz w:val="24"/>
          <w:szCs w:val="24"/>
          <w:lang w:val="zh-CN"/>
        </w:rPr>
        <w:t>质疑书应当包括下列主要内容：</w:t>
      </w:r>
    </w:p>
    <w:p>
      <w:pPr>
        <w:spacing w:line="360" w:lineRule="auto"/>
        <w:rPr>
          <w:rFonts w:ascii="宋体"/>
          <w:sz w:val="24"/>
          <w:szCs w:val="24"/>
          <w:lang w:val="zh-CN"/>
        </w:rPr>
      </w:pPr>
      <w:r>
        <w:rPr>
          <w:rFonts w:hint="eastAsia" w:ascii="宋体" w:hAnsi="宋体" w:cs="宋体"/>
          <w:sz w:val="24"/>
          <w:szCs w:val="24"/>
        </w:rPr>
        <w:t>32.1</w:t>
      </w:r>
      <w:r>
        <w:rPr>
          <w:rFonts w:hint="eastAsia" w:ascii="宋体" w:hAnsi="宋体" w:cs="宋体"/>
          <w:sz w:val="24"/>
          <w:szCs w:val="24"/>
          <w:lang w:val="zh-CN"/>
        </w:rPr>
        <w:t>质疑人的名称、地址、联系人及联系电话等；</w:t>
      </w:r>
    </w:p>
    <w:p>
      <w:pPr>
        <w:spacing w:line="360" w:lineRule="auto"/>
        <w:rPr>
          <w:rFonts w:ascii="宋体"/>
          <w:sz w:val="24"/>
          <w:szCs w:val="24"/>
          <w:lang w:val="zh-CN"/>
        </w:rPr>
      </w:pPr>
      <w:r>
        <w:rPr>
          <w:rFonts w:hint="eastAsia" w:ascii="宋体" w:hAnsi="宋体" w:cs="宋体"/>
          <w:sz w:val="24"/>
          <w:szCs w:val="24"/>
        </w:rPr>
        <w:t>32.2</w:t>
      </w:r>
      <w:r>
        <w:rPr>
          <w:rFonts w:hint="eastAsia" w:ascii="宋体" w:hAnsi="宋体" w:cs="宋体"/>
          <w:sz w:val="24"/>
          <w:szCs w:val="24"/>
          <w:lang w:val="zh-CN"/>
        </w:rPr>
        <w:t>被质疑人的名称、地址、联系人及联系电话等；</w:t>
      </w:r>
    </w:p>
    <w:p>
      <w:pPr>
        <w:spacing w:line="360" w:lineRule="auto"/>
        <w:rPr>
          <w:rFonts w:ascii="宋体"/>
          <w:sz w:val="24"/>
          <w:szCs w:val="24"/>
          <w:lang w:val="zh-CN"/>
        </w:rPr>
      </w:pPr>
      <w:r>
        <w:rPr>
          <w:rFonts w:hint="eastAsia" w:ascii="宋体" w:hAnsi="宋体" w:cs="宋体"/>
          <w:sz w:val="24"/>
          <w:szCs w:val="24"/>
        </w:rPr>
        <w:t>32.3</w:t>
      </w:r>
      <w:r>
        <w:rPr>
          <w:rFonts w:hint="eastAsia" w:ascii="宋体" w:hAnsi="宋体" w:cs="宋体"/>
          <w:sz w:val="24"/>
          <w:szCs w:val="24"/>
          <w:lang w:val="zh-CN"/>
        </w:rPr>
        <w:t>质疑项目名称及编号、质疑事项和明确的请求；</w:t>
      </w:r>
    </w:p>
    <w:p>
      <w:pPr>
        <w:spacing w:line="360" w:lineRule="auto"/>
        <w:rPr>
          <w:rFonts w:ascii="宋体"/>
          <w:sz w:val="24"/>
          <w:szCs w:val="24"/>
          <w:lang w:val="zh-CN"/>
        </w:rPr>
      </w:pPr>
      <w:r>
        <w:rPr>
          <w:rFonts w:hint="eastAsia" w:ascii="宋体" w:hAnsi="宋体" w:cs="宋体"/>
          <w:sz w:val="24"/>
          <w:szCs w:val="24"/>
        </w:rPr>
        <w:t>32.4</w:t>
      </w:r>
      <w:r>
        <w:rPr>
          <w:rFonts w:hint="eastAsia" w:ascii="宋体" w:hAnsi="宋体" w:cs="宋体"/>
          <w:sz w:val="24"/>
          <w:szCs w:val="24"/>
          <w:lang w:val="zh-CN"/>
        </w:rPr>
        <w:t>质疑事项的事实根据、法律依据及其他必要的证明材料；</w:t>
      </w:r>
    </w:p>
    <w:p>
      <w:pPr>
        <w:spacing w:line="360" w:lineRule="auto"/>
        <w:rPr>
          <w:rFonts w:ascii="宋体"/>
          <w:sz w:val="24"/>
          <w:szCs w:val="24"/>
          <w:lang w:val="zh-CN"/>
        </w:rPr>
      </w:pPr>
      <w:r>
        <w:rPr>
          <w:rFonts w:hint="eastAsia" w:ascii="宋体" w:hAnsi="宋体" w:cs="宋体"/>
          <w:sz w:val="24"/>
          <w:szCs w:val="24"/>
        </w:rPr>
        <w:t>32.5</w:t>
      </w:r>
      <w:r>
        <w:rPr>
          <w:rFonts w:hint="eastAsia" w:ascii="宋体" w:hAnsi="宋体" w:cs="宋体"/>
          <w:sz w:val="24"/>
          <w:szCs w:val="24"/>
          <w:lang w:val="zh-CN"/>
        </w:rPr>
        <w:t>提出质疑的日期；</w:t>
      </w:r>
    </w:p>
    <w:p>
      <w:pPr>
        <w:spacing w:line="360" w:lineRule="auto"/>
        <w:rPr>
          <w:rFonts w:ascii="宋体"/>
          <w:sz w:val="24"/>
          <w:szCs w:val="24"/>
          <w:lang w:val="zh-CN"/>
        </w:rPr>
      </w:pPr>
      <w:r>
        <w:rPr>
          <w:rFonts w:hint="eastAsia" w:ascii="宋体" w:hAnsi="宋体" w:cs="宋体"/>
          <w:sz w:val="24"/>
          <w:szCs w:val="24"/>
        </w:rPr>
        <w:t>32.6</w:t>
      </w:r>
      <w:r>
        <w:rPr>
          <w:rFonts w:hint="eastAsia" w:ascii="宋体" w:hAnsi="宋体" w:cs="宋体"/>
          <w:sz w:val="24"/>
          <w:szCs w:val="24"/>
          <w:lang w:val="zh-CN"/>
        </w:rPr>
        <w:t>质疑人的署名及签章（质疑人为自然人的，应当由本人签字；质疑人为法人或者其他组织的，应当由法定代表人或者主要负责人签字盖章并加盖公章）；</w:t>
      </w:r>
    </w:p>
    <w:p>
      <w:pPr>
        <w:spacing w:line="360" w:lineRule="auto"/>
        <w:rPr>
          <w:rFonts w:ascii="宋体"/>
          <w:sz w:val="24"/>
          <w:szCs w:val="24"/>
          <w:lang w:val="zh-CN"/>
        </w:rPr>
      </w:pPr>
      <w:r>
        <w:rPr>
          <w:rFonts w:hint="eastAsia" w:ascii="宋体" w:hAnsi="宋体" w:cs="宋体"/>
          <w:sz w:val="24"/>
          <w:szCs w:val="24"/>
        </w:rPr>
        <w:t>32.7</w:t>
      </w:r>
      <w:r>
        <w:rPr>
          <w:rFonts w:hint="eastAsia" w:ascii="宋体" w:hAnsi="宋体" w:cs="宋体"/>
          <w:sz w:val="24"/>
          <w:szCs w:val="24"/>
          <w:lang w:val="zh-CN"/>
        </w:rPr>
        <w:t>法人授权委托书（质疑人或法人委托代理人办理质疑事务的，应当提供授权委托书，授权委托书应当载明委托代理的具体权限和事项）。</w:t>
      </w:r>
    </w:p>
    <w:p>
      <w:pPr>
        <w:spacing w:line="360" w:lineRule="auto"/>
      </w:pPr>
      <w:r>
        <w:rPr>
          <w:rFonts w:hint="eastAsia" w:ascii="宋体"/>
          <w:sz w:val="24"/>
          <w:szCs w:val="24"/>
        </w:rPr>
        <w:t>33.递交质疑的方式</w:t>
      </w:r>
    </w:p>
    <w:p>
      <w:pPr>
        <w:spacing w:line="360" w:lineRule="auto"/>
        <w:ind w:left="720" w:hanging="720" w:hanging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质疑人将质疑函送达或邮寄至建始县政府采购中心，同时发送质疑函电子</w:t>
      </w:r>
    </w:p>
    <w:p>
      <w:pPr>
        <w:spacing w:line="360" w:lineRule="auto"/>
        <w:ind w:left="720" w:hanging="720" w:hanging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文档到QQ邮箱</w:t>
      </w:r>
      <w:r>
        <w:rPr>
          <w:rFonts w:hint="eastAsia" w:asciiTheme="minorEastAsia" w:hAnsiTheme="minorEastAsia" w:eastAsiaTheme="minorEastAsia" w:cstheme="minorEastAsia"/>
          <w:sz w:val="28"/>
          <w:szCs w:val="28"/>
        </w:rPr>
        <w:t>jszfcgzx@qq.com</w:t>
      </w:r>
      <w:r>
        <w:rPr>
          <w:rFonts w:hint="eastAsia" w:asciiTheme="minorEastAsia" w:hAnsiTheme="minorEastAsia" w:eastAsiaTheme="minorEastAsia" w:cstheme="minorEastAsia"/>
          <w:sz w:val="24"/>
          <w:szCs w:val="24"/>
        </w:rPr>
        <w:t>，并联系工作人员确认质疑事宜；</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33.2 联系部门、联系电话和通讯地址详见本磋商文件第一章 。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34.不予受理的情形</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供应商未按本章“质疑及提交”规定的时限、内容及方式进行质疑的，集中采购机构不予受理。</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相关条文解读</w:t>
      </w:r>
    </w:p>
    <w:p>
      <w:pPr>
        <w:spacing w:line="360" w:lineRule="auto"/>
        <w:rPr>
          <w:rFonts w:ascii="宋体"/>
          <w:sz w:val="24"/>
          <w:szCs w:val="24"/>
          <w:lang w:val="zh-CN"/>
        </w:rPr>
      </w:pPr>
      <w:r>
        <w:rPr>
          <w:rFonts w:hint="eastAsia" w:ascii="宋体" w:hAnsi="宋体" w:cs="宋体"/>
          <w:sz w:val="24"/>
          <w:szCs w:val="24"/>
        </w:rPr>
        <w:t>35.</w:t>
      </w:r>
      <w:r>
        <w:rPr>
          <w:rFonts w:hint="eastAsia" w:ascii="宋体" w:hAnsi="宋体" w:cs="宋体"/>
          <w:sz w:val="24"/>
          <w:szCs w:val="24"/>
          <w:lang w:val="zh-CN"/>
        </w:rPr>
        <w:t>政府采购法第二十二条第一款第五项所称重大违法记录，是指供应商因违法经营受到刑事处罚或者责令停产停业、吊销许可证或者执照、较大数额罚款等行政处罚。</w:t>
      </w:r>
    </w:p>
    <w:p>
      <w:pPr>
        <w:spacing w:line="360" w:lineRule="auto"/>
        <w:rPr>
          <w:rFonts w:ascii="宋体"/>
          <w:sz w:val="24"/>
          <w:szCs w:val="24"/>
          <w:lang w:val="zh-CN"/>
        </w:rPr>
      </w:pPr>
      <w:r>
        <w:rPr>
          <w:rFonts w:hint="eastAsia" w:ascii="宋体" w:hAnsi="宋体" w:cs="宋体"/>
          <w:sz w:val="24"/>
          <w:szCs w:val="24"/>
        </w:rPr>
        <w:t>36.</w:t>
      </w:r>
      <w:r>
        <w:rPr>
          <w:rFonts w:hint="eastAsia" w:ascii="宋体" w:hAnsi="宋体" w:cs="宋体"/>
          <w:sz w:val="24"/>
          <w:szCs w:val="24"/>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spacing w:line="360" w:lineRule="auto"/>
        <w:rPr>
          <w:rFonts w:ascii="宋体"/>
          <w:sz w:val="24"/>
          <w:szCs w:val="24"/>
          <w:lang w:val="zh-CN"/>
        </w:rPr>
      </w:pPr>
      <w:r>
        <w:rPr>
          <w:rFonts w:hint="eastAsia" w:ascii="宋体" w:hAnsi="宋体" w:cs="宋体"/>
          <w:sz w:val="24"/>
          <w:szCs w:val="24"/>
        </w:rPr>
        <w:t>37.</w:t>
      </w:r>
      <w:r>
        <w:rPr>
          <w:rFonts w:hint="eastAsia" w:ascii="宋体" w:hAnsi="宋体" w:cs="宋体"/>
          <w:sz w:val="24"/>
          <w:szCs w:val="24"/>
          <w:lang w:val="zh-CN"/>
        </w:rPr>
        <w:t>供应商在参加政府采购活动前</w:t>
      </w:r>
      <w:r>
        <w:rPr>
          <w:rFonts w:ascii="宋体" w:hAnsi="宋体" w:cs="宋体"/>
          <w:sz w:val="24"/>
          <w:szCs w:val="24"/>
          <w:lang w:val="zh-CN"/>
        </w:rPr>
        <w:t>3</w:t>
      </w:r>
      <w:r>
        <w:rPr>
          <w:rFonts w:hint="eastAsia" w:ascii="宋体" w:hAnsi="宋体" w:cs="宋体"/>
          <w:sz w:val="24"/>
          <w:szCs w:val="24"/>
          <w:lang w:val="zh-CN"/>
        </w:rPr>
        <w:t>年内因违法经营被禁止在一定期限内参加政府采购活动，期限届满的，可以参加政府采购活动。</w:t>
      </w:r>
    </w:p>
    <w:p>
      <w:pPr>
        <w:spacing w:line="360" w:lineRule="auto"/>
        <w:rPr>
          <w:rFonts w:ascii="宋体"/>
          <w:sz w:val="24"/>
          <w:szCs w:val="24"/>
          <w:lang w:val="zh-CN"/>
        </w:rPr>
      </w:pPr>
      <w:r>
        <w:rPr>
          <w:rFonts w:hint="eastAsia" w:ascii="宋体" w:hAnsi="宋体" w:cs="宋体"/>
          <w:sz w:val="24"/>
          <w:szCs w:val="24"/>
        </w:rPr>
        <w:t>38.</w:t>
      </w:r>
      <w:r>
        <w:rPr>
          <w:rFonts w:hint="eastAsia" w:ascii="宋体" w:hAnsi="宋体" w:cs="宋体"/>
          <w:sz w:val="24"/>
          <w:szCs w:val="24"/>
          <w:lang w:val="zh-CN"/>
        </w:rPr>
        <w:t>根据财政部《政府采购法实施条例》释义中关于供应商资格条件的解释，对于银行、保险、石油石化、电力、电信等有行业特殊情况的，采购人和集中采购机构允许其分支机构参与投标。</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其他注意事项 </w:t>
      </w:r>
    </w:p>
    <w:p>
      <w:pPr>
        <w:spacing w:line="360" w:lineRule="auto"/>
        <w:rPr>
          <w:rFonts w:ascii="宋体"/>
          <w:sz w:val="24"/>
          <w:szCs w:val="24"/>
          <w:lang w:val="zh-CN"/>
        </w:rPr>
      </w:pPr>
      <w:r>
        <w:rPr>
          <w:rFonts w:hint="eastAsia" w:ascii="宋体" w:hAnsi="宋体" w:cs="宋体"/>
          <w:sz w:val="24"/>
          <w:szCs w:val="24"/>
        </w:rPr>
        <w:t>39.</w:t>
      </w:r>
      <w:r>
        <w:rPr>
          <w:rFonts w:hint="eastAsia" w:ascii="宋体" w:hAnsi="宋体" w:cs="宋体"/>
          <w:sz w:val="24"/>
          <w:szCs w:val="24"/>
          <w:lang w:val="zh-CN"/>
        </w:rPr>
        <w:t>单位负责人为同一人或者存在直接控股、管理关系的不同供应商，不得参加同一合同项下的政府采购活动。</w:t>
      </w:r>
    </w:p>
    <w:p>
      <w:pPr>
        <w:spacing w:line="360" w:lineRule="auto"/>
        <w:rPr>
          <w:rFonts w:ascii="宋体"/>
          <w:sz w:val="24"/>
          <w:szCs w:val="24"/>
          <w:lang w:val="zh-CN"/>
        </w:rPr>
      </w:pPr>
      <w:r>
        <w:rPr>
          <w:rFonts w:hint="eastAsia" w:ascii="宋体" w:hAnsi="宋体" w:cs="宋体"/>
          <w:sz w:val="24"/>
          <w:szCs w:val="24"/>
        </w:rPr>
        <w:t>40.</w:t>
      </w:r>
      <w:r>
        <w:rPr>
          <w:rFonts w:hint="eastAsia" w:ascii="宋体" w:hAnsi="宋体" w:cs="宋体"/>
          <w:sz w:val="24"/>
          <w:szCs w:val="24"/>
          <w:lang w:val="zh-CN"/>
        </w:rPr>
        <w:t>除单一来源采购项目外，为采购项目提供整体设计、规范编制或者项目管理、监理、检测等服务的供应商，不得再参加该采购项目的其他采购活动。</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 适用法律</w:t>
      </w:r>
    </w:p>
    <w:p>
      <w:pPr>
        <w:numPr>
          <w:ilvl w:val="0"/>
          <w:numId w:val="5"/>
        </w:numPr>
        <w:spacing w:line="360" w:lineRule="auto"/>
        <w:rPr>
          <w:rFonts w:ascii="宋体" w:hAnsi="宋体" w:cs="宋体"/>
          <w:sz w:val="24"/>
          <w:szCs w:val="24"/>
        </w:rPr>
      </w:pPr>
      <w:r>
        <w:rPr>
          <w:rFonts w:hint="eastAsia" w:ascii="宋体" w:hAnsi="宋体" w:cs="宋体"/>
          <w:sz w:val="24"/>
          <w:szCs w:val="24"/>
        </w:rPr>
        <w:t>采购当事人的一切活动均适用于《中华人民共和国政府采购法》、《中华人民共和国政府采购法实施条例》、《政府采购竞争性磋商采购方式管理暂行办法》及相关法规。</w:t>
      </w:r>
    </w:p>
    <w:p>
      <w:pPr>
        <w:adjustRightInd w:val="0"/>
        <w:snapToGrid w:val="0"/>
        <w:spacing w:line="360" w:lineRule="auto"/>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42.政府采购合同的履行、违约责任和解决争议的方法等适用《合同法》。</w:t>
      </w:r>
    </w:p>
    <w:p>
      <w:pPr>
        <w:numPr>
          <w:ilvl w:val="0"/>
          <w:numId w:val="3"/>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磋商</w:t>
      </w:r>
      <w:r>
        <w:rPr>
          <w:rFonts w:hint="eastAsia" w:asciiTheme="minorEastAsia" w:hAnsiTheme="minorEastAsia" w:eastAsiaTheme="minorEastAsia" w:cstheme="minorEastAsia"/>
          <w:b/>
          <w:sz w:val="24"/>
          <w:lang w:val="zh-CN"/>
        </w:rPr>
        <w:t>文件的解释权</w:t>
      </w:r>
    </w:p>
    <w:p>
      <w:pPr>
        <w:adjustRightInd w:val="0"/>
        <w:snapToGrid w:val="0"/>
        <w:spacing w:line="360" w:lineRule="auto"/>
        <w:ind w:left="362" w:leftChars="1" w:hanging="360" w:hangingChars="150"/>
        <w:rPr>
          <w:rFonts w:asciiTheme="minorEastAsia" w:hAnsiTheme="minorEastAsia" w:eastAsiaTheme="minorEastAsia" w:cstheme="minorEastAsia"/>
          <w:sz w:val="36"/>
          <w:szCs w:val="36"/>
          <w:lang w:bidi="ar-EG"/>
        </w:rPr>
        <w:sectPr>
          <w:headerReference r:id="rId11" w:type="default"/>
          <w:footerReference r:id="rId12"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rPr>
        <w:t xml:space="preserve">43. </w:t>
      </w:r>
      <w:r>
        <w:rPr>
          <w:rFonts w:hint="eastAsia" w:ascii="宋体" w:hAnsi="宋体" w:cs="宋体" w:eastAsiaTheme="minorEastAsia"/>
          <w:sz w:val="24"/>
          <w:szCs w:val="24"/>
        </w:rPr>
        <w:t>磋商</w:t>
      </w:r>
      <w:r>
        <w:rPr>
          <w:rFonts w:hint="eastAsia" w:ascii="宋体" w:hAnsi="宋体" w:cs="宋体"/>
          <w:sz w:val="24"/>
          <w:szCs w:val="24"/>
          <w:lang w:val="zh-CN"/>
        </w:rPr>
        <w:t>文件的最终解释权为采购人、采购代理机构所有。</w:t>
      </w:r>
    </w:p>
    <w:p>
      <w:pPr>
        <w:pStyle w:val="4"/>
        <w:numPr>
          <w:ilvl w:val="0"/>
          <w:numId w:val="0"/>
        </w:numPr>
        <w:ind w:firstLine="1320" w:firstLineChars="300"/>
        <w:jc w:val="both"/>
        <w:rPr>
          <w:rFonts w:hint="eastAsia" w:ascii="宋体" w:hAnsi="宋体" w:eastAsia="宋体" w:cs="宋体"/>
        </w:rPr>
      </w:pPr>
      <w:bookmarkStart w:id="6" w:name="_Toc852"/>
      <w:bookmarkStart w:id="7" w:name="_Toc7440"/>
      <w:r>
        <w:rPr>
          <w:rFonts w:hint="eastAsia" w:ascii="宋体" w:hAnsi="宋体" w:eastAsia="宋体" w:cs="宋体"/>
          <w:lang w:val="en-US" w:eastAsia="zh-CN"/>
        </w:rPr>
        <w:t xml:space="preserve">第三章 </w:t>
      </w:r>
      <w:r>
        <w:rPr>
          <w:rFonts w:hint="eastAsia" w:ascii="宋体" w:hAnsi="宋体" w:eastAsia="宋体" w:cs="宋体"/>
        </w:rPr>
        <w:t>项目技术、服务及商务要求</w:t>
      </w:r>
      <w:bookmarkEnd w:id="6"/>
      <w:bookmarkEnd w:id="7"/>
    </w:p>
    <w:p>
      <w:pPr>
        <w:ind w:firstLine="280" w:firstLineChars="100"/>
        <w:jc w:val="both"/>
        <w:rPr>
          <w:sz w:val="28"/>
          <w:szCs w:val="28"/>
        </w:rPr>
      </w:pPr>
      <w:bookmarkStart w:id="8" w:name="_Toc22198"/>
      <w:r>
        <w:rPr>
          <w:rFonts w:hint="eastAsia"/>
          <w:b/>
          <w:bCs/>
          <w:sz w:val="28"/>
          <w:szCs w:val="28"/>
        </w:rPr>
        <w:t>湖北省建始县中等职业技术学校汽车维修与维护专业实训室建设方案</w:t>
      </w:r>
    </w:p>
    <w:p>
      <w:pPr>
        <w:numPr>
          <w:ilvl w:val="0"/>
          <w:numId w:val="6"/>
        </w:numPr>
        <w:spacing w:line="360" w:lineRule="auto"/>
        <w:ind w:left="420" w:leftChars="0" w:firstLineChars="0"/>
        <w:outlineLvl w:val="0"/>
        <w:rPr>
          <w:rFonts w:hint="eastAsia" w:ascii="宋体" w:hAnsi="宋体" w:eastAsia="宋体" w:cs="宋体"/>
          <w:sz w:val="24"/>
          <w:szCs w:val="24"/>
        </w:rPr>
      </w:pPr>
      <w:bookmarkStart w:id="9" w:name="_Toc8824"/>
      <w:r>
        <w:rPr>
          <w:rFonts w:hint="eastAsia" w:ascii="宋体" w:hAnsi="宋体" w:eastAsia="宋体" w:cs="宋体"/>
          <w:sz w:val="24"/>
          <w:szCs w:val="24"/>
        </w:rPr>
        <w:t>建设背景：</w:t>
      </w:r>
      <w:bookmarkEnd w:id="9"/>
    </w:p>
    <w:p>
      <w:pPr>
        <w:spacing w:line="360" w:lineRule="auto"/>
        <w:ind w:firstLine="720" w:firstLineChars="300"/>
        <w:outlineLvl w:val="0"/>
        <w:rPr>
          <w:rFonts w:hint="eastAsia" w:ascii="宋体" w:hAnsi="宋体" w:eastAsia="宋体" w:cs="宋体"/>
          <w:sz w:val="24"/>
          <w:szCs w:val="24"/>
        </w:rPr>
      </w:pPr>
      <w:bookmarkStart w:id="10" w:name="_Toc7816"/>
      <w:r>
        <w:rPr>
          <w:rFonts w:hint="eastAsia" w:ascii="宋体" w:hAnsi="宋体" w:eastAsia="宋体" w:cs="宋体"/>
          <w:sz w:val="24"/>
          <w:szCs w:val="24"/>
        </w:rPr>
        <w:t>根据2021年湖北省普通高等学校招收中等职业学校毕业生技能高考，汽车维修类技能考试（含专业知识、技能操作考试），是由中等职业学校（包括中等专业学校、职业高中、技工学校和成人中专）相关专业毕业生参加的选拔性考试，汽车维修类技能考试的专业知识、技能操作考试，实现技能考试内容与中职毕业生从业技能的需要相互兼容，在识记、理解、运用、综合运用各个层面，充分融合专业知识和技能操作的职业技能要素，合理运用专业知识考试、技能操作测量手段，将专业知识融入技能操作考试内容，将技能操作融入专业知识考试内容。</w:t>
      </w:r>
      <w:bookmarkEnd w:id="10"/>
    </w:p>
    <w:p>
      <w:pPr>
        <w:numPr>
          <w:ilvl w:val="0"/>
          <w:numId w:val="6"/>
        </w:numPr>
        <w:spacing w:line="360" w:lineRule="auto"/>
        <w:ind w:left="420" w:leftChars="0" w:firstLineChars="0"/>
        <w:outlineLvl w:val="0"/>
        <w:rPr>
          <w:rFonts w:hint="eastAsia" w:ascii="宋体" w:hAnsi="宋体" w:eastAsia="宋体" w:cs="宋体"/>
          <w:sz w:val="24"/>
          <w:szCs w:val="24"/>
        </w:rPr>
      </w:pPr>
      <w:bookmarkStart w:id="11" w:name="_Toc22291"/>
      <w:r>
        <w:rPr>
          <w:rFonts w:hint="eastAsia" w:ascii="宋体" w:hAnsi="宋体" w:eastAsia="宋体" w:cs="宋体"/>
          <w:sz w:val="24"/>
          <w:szCs w:val="24"/>
        </w:rPr>
        <w:t>建设基础：</w:t>
      </w:r>
      <w:bookmarkEnd w:id="11"/>
    </w:p>
    <w:p>
      <w:pPr>
        <w:numPr>
          <w:ilvl w:val="0"/>
          <w:numId w:val="7"/>
        </w:numPr>
        <w:spacing w:line="360" w:lineRule="auto"/>
        <w:outlineLvl w:val="1"/>
        <w:rPr>
          <w:rFonts w:hint="eastAsia" w:ascii="宋体" w:hAnsi="宋体" w:eastAsia="宋体" w:cs="宋体"/>
          <w:sz w:val="24"/>
          <w:szCs w:val="24"/>
        </w:rPr>
      </w:pPr>
      <w:bookmarkStart w:id="12" w:name="_Toc15283"/>
      <w:r>
        <w:rPr>
          <w:rFonts w:hint="eastAsia" w:ascii="宋体" w:hAnsi="宋体" w:eastAsia="宋体" w:cs="宋体"/>
          <w:sz w:val="24"/>
          <w:szCs w:val="24"/>
        </w:rPr>
        <w:t>、现有实训条件分析</w:t>
      </w:r>
      <w:bookmarkEnd w:id="12"/>
    </w:p>
    <w:p>
      <w:pPr>
        <w:spacing w:line="360" w:lineRule="auto"/>
        <w:ind w:firstLine="560"/>
        <w:rPr>
          <w:rFonts w:hint="eastAsia" w:ascii="宋体" w:hAnsi="宋体" w:eastAsia="宋体" w:cs="宋体"/>
          <w:sz w:val="24"/>
          <w:szCs w:val="24"/>
        </w:rPr>
      </w:pPr>
      <w:r>
        <w:rPr>
          <w:rFonts w:hint="eastAsia" w:ascii="宋体" w:hAnsi="宋体" w:eastAsia="宋体" w:cs="宋体"/>
          <w:sz w:val="24"/>
          <w:szCs w:val="24"/>
        </w:rPr>
        <w:t>根据本省汽修技能高考考试大纲指导，汽车维修类专业技能考试包括专业知识考试、技能操作考试两部分。总分为490分，其中专业知识考试为150分，技能操作考试为340分，根据目前实际情况，本校汽修专业为新开设专业，用作于实训的设备和工具严重缺乏，故需采购一批用于实训、教学，提高学生实操实训能力。</w:t>
      </w:r>
    </w:p>
    <w:p>
      <w:pPr>
        <w:numPr>
          <w:ilvl w:val="0"/>
          <w:numId w:val="7"/>
        </w:numPr>
        <w:spacing w:line="360" w:lineRule="auto"/>
        <w:outlineLvl w:val="1"/>
        <w:rPr>
          <w:rFonts w:hint="eastAsia" w:ascii="宋体" w:hAnsi="宋体" w:eastAsia="宋体" w:cs="宋体"/>
          <w:sz w:val="24"/>
          <w:szCs w:val="24"/>
        </w:rPr>
      </w:pPr>
      <w:bookmarkStart w:id="13" w:name="_Toc26047"/>
      <w:r>
        <w:rPr>
          <w:rFonts w:hint="eastAsia" w:ascii="宋体" w:hAnsi="宋体" w:eastAsia="宋体" w:cs="宋体"/>
          <w:sz w:val="24"/>
          <w:szCs w:val="24"/>
        </w:rPr>
        <w:t>必要性和可行性</w:t>
      </w:r>
      <w:bookmarkEnd w:id="13"/>
    </w:p>
    <w:p>
      <w:pPr>
        <w:numPr>
          <w:ilvl w:val="0"/>
          <w:numId w:val="8"/>
        </w:numPr>
        <w:spacing w:line="360" w:lineRule="auto"/>
        <w:outlineLvl w:val="2"/>
        <w:rPr>
          <w:rFonts w:hint="eastAsia" w:ascii="宋体" w:hAnsi="宋体" w:eastAsia="宋体" w:cs="宋体"/>
          <w:sz w:val="24"/>
          <w:szCs w:val="24"/>
        </w:rPr>
      </w:pPr>
      <w:bookmarkStart w:id="14" w:name="_Toc6082"/>
      <w:r>
        <w:rPr>
          <w:rFonts w:hint="eastAsia" w:ascii="宋体" w:hAnsi="宋体" w:eastAsia="宋体" w:cs="宋体"/>
          <w:sz w:val="24"/>
          <w:szCs w:val="24"/>
        </w:rPr>
        <w:t>必要性</w:t>
      </w:r>
      <w:bookmarkEnd w:id="14"/>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通过对湖北省汽修技能高考考试大纲的研究和要求，在结合我校汽修专业实际情况，采购一批实训设备用作于参加技能高考学生的实操实训。</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今年本专业在校学生为220人，实训采用分班教学实操实训，根据学生实际人数，初步预算采购4个汽修技能高考项目各18套实训设备及工具，共计54个工位，用作分班分项教学与实训，可以同时满足54名学生同时实训。从2023年将迎来我校第一届汽车专业技能高考。实训室建设迫在眉睫。</w:t>
      </w:r>
    </w:p>
    <w:p>
      <w:pPr>
        <w:numPr>
          <w:ilvl w:val="0"/>
          <w:numId w:val="8"/>
        </w:numPr>
        <w:spacing w:line="360" w:lineRule="auto"/>
        <w:outlineLvl w:val="2"/>
        <w:rPr>
          <w:rFonts w:hint="eastAsia" w:ascii="宋体" w:hAnsi="宋体" w:eastAsia="宋体" w:cs="宋体"/>
          <w:sz w:val="24"/>
          <w:szCs w:val="24"/>
        </w:rPr>
      </w:pPr>
      <w:bookmarkStart w:id="15" w:name="_Toc2417"/>
      <w:r>
        <w:rPr>
          <w:rFonts w:hint="eastAsia" w:ascii="宋体" w:hAnsi="宋体" w:eastAsia="宋体" w:cs="宋体"/>
          <w:sz w:val="24"/>
          <w:szCs w:val="24"/>
        </w:rPr>
        <w:t>可行性</w:t>
      </w:r>
      <w:bookmarkEnd w:id="1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建设校内实训基地投资中的部分资金将用于专业实训室建设，建设后的实训室集教学理、虚、实为一体，实现了学生专业基本能力、专业核心能力和职业行为能力的提升。</w:t>
      </w:r>
    </w:p>
    <w:p>
      <w:pPr>
        <w:numPr>
          <w:ilvl w:val="0"/>
          <w:numId w:val="6"/>
        </w:numPr>
        <w:spacing w:line="360" w:lineRule="auto"/>
        <w:ind w:left="420" w:leftChars="0" w:firstLineChars="0"/>
        <w:outlineLvl w:val="0"/>
        <w:rPr>
          <w:rFonts w:hint="eastAsia" w:ascii="宋体" w:hAnsi="宋体" w:eastAsia="宋体" w:cs="宋体"/>
          <w:color w:val="auto"/>
          <w:sz w:val="24"/>
          <w:szCs w:val="24"/>
        </w:rPr>
      </w:pPr>
      <w:bookmarkStart w:id="16" w:name="_Toc5296"/>
      <w:r>
        <w:rPr>
          <w:rFonts w:hint="eastAsia" w:ascii="宋体" w:hAnsi="宋体" w:eastAsia="宋体" w:cs="宋体"/>
          <w:sz w:val="24"/>
          <w:szCs w:val="24"/>
        </w:rPr>
        <w:t>建设目标：</w:t>
      </w:r>
      <w:bookmarkEnd w:id="16"/>
    </w:p>
    <w:p>
      <w:pPr>
        <w:numPr>
          <w:ilvl w:val="0"/>
          <w:numId w:val="9"/>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建设规模 实训室能够满足50人参加教学活动，能够完成技能高考4项实操项目的教学工作。拟建54个工位，共建4个考试项目，每个项目各18套教学设施。</w:t>
      </w:r>
    </w:p>
    <w:p>
      <w:pPr>
        <w:spacing w:line="360"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t xml:space="preserve"> （2）实训室工位建设符合湖北省技能高考考纲要求。     </w:t>
      </w:r>
    </w:p>
    <w:p>
      <w:pPr>
        <w:numPr>
          <w:ilvl w:val="0"/>
          <w:numId w:val="6"/>
        </w:numPr>
        <w:spacing w:line="360" w:lineRule="auto"/>
        <w:ind w:left="420" w:leftChars="0" w:firstLineChars="0"/>
        <w:outlineLvl w:val="0"/>
        <w:rPr>
          <w:rFonts w:hint="eastAsia" w:ascii="宋体" w:hAnsi="宋体" w:eastAsia="宋体" w:cs="宋体"/>
          <w:sz w:val="24"/>
          <w:szCs w:val="24"/>
        </w:rPr>
      </w:pPr>
      <w:bookmarkStart w:id="17" w:name="_Toc11201"/>
      <w:r>
        <w:rPr>
          <w:rFonts w:hint="eastAsia" w:ascii="宋体" w:hAnsi="宋体" w:eastAsia="宋体" w:cs="宋体"/>
          <w:sz w:val="24"/>
          <w:szCs w:val="24"/>
        </w:rPr>
        <w:t>建设内容：</w:t>
      </w:r>
      <w:bookmarkEnd w:id="17"/>
    </w:p>
    <w:p>
      <w:pPr>
        <w:spacing w:line="360" w:lineRule="auto"/>
        <w:ind w:firstLine="480" w:firstLineChars="200"/>
        <w:outlineLvl w:val="1"/>
        <w:rPr>
          <w:rFonts w:hint="eastAsia" w:ascii="宋体" w:hAnsi="宋体" w:eastAsia="宋体" w:cs="宋体"/>
          <w:sz w:val="24"/>
          <w:szCs w:val="24"/>
        </w:rPr>
      </w:pPr>
      <w:bookmarkStart w:id="18" w:name="_Toc28430"/>
      <w:r>
        <w:rPr>
          <w:rFonts w:hint="eastAsia" w:ascii="宋体" w:hAnsi="宋体" w:eastAsia="宋体" w:cs="宋体"/>
          <w:sz w:val="24"/>
          <w:szCs w:val="24"/>
        </w:rPr>
        <w:t>1、实训室硬件配置</w:t>
      </w:r>
      <w:bookmarkEnd w:id="18"/>
    </w:p>
    <w:tbl>
      <w:tblPr>
        <w:tblStyle w:val="23"/>
        <w:tblpPr w:leftFromText="180" w:rightFromText="180" w:vertAnchor="text" w:horzAnchor="page" w:tblpX="1373" w:tblpY="609"/>
        <w:tblOverlap w:val="never"/>
        <w:tblW w:w="8976" w:type="dxa"/>
        <w:tblInd w:w="0" w:type="dxa"/>
        <w:tblLayout w:type="autofit"/>
        <w:tblCellMar>
          <w:top w:w="0" w:type="dxa"/>
          <w:left w:w="108" w:type="dxa"/>
          <w:bottom w:w="0" w:type="dxa"/>
          <w:right w:w="108" w:type="dxa"/>
        </w:tblCellMar>
      </w:tblPr>
      <w:tblGrid>
        <w:gridCol w:w="896"/>
        <w:gridCol w:w="1030"/>
        <w:gridCol w:w="2326"/>
        <w:gridCol w:w="2218"/>
        <w:gridCol w:w="1253"/>
        <w:gridCol w:w="1253"/>
      </w:tblGrid>
      <w:tr>
        <w:tblPrEx>
          <w:tblCellMar>
            <w:top w:w="0" w:type="dxa"/>
            <w:left w:w="108" w:type="dxa"/>
            <w:bottom w:w="0" w:type="dxa"/>
            <w:right w:w="108" w:type="dxa"/>
          </w:tblCellMar>
        </w:tblPrEx>
        <w:trPr>
          <w:trHeight w:val="270" w:hRule="atLeast"/>
        </w:trPr>
        <w:tc>
          <w:tcPr>
            <w:tcW w:w="897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采购清单表</w:t>
            </w: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03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w:t>
            </w: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设备/工具</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单位</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数量</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详细参数</w:t>
            </w: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03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发动机气</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缸测量</w:t>
            </w: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气缸体</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台</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restart"/>
            <w:tcBorders>
              <w:top w:val="nil"/>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附后</w:t>
            </w: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外径千分尺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游标卡尺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内径百分表</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103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曲轴测量</w:t>
            </w: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曲轴  </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台</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外径千分尺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外径千分尺底座托盘</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外径千分尺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磁性表座</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10</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百分表</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11</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专用连杆</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V 形铁</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检验平板</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103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发电机拆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装与检查</w:t>
            </w: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发电机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台</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15</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工具盘</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万用表</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17</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十字起</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把</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一字起</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把</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19</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T字杆</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把</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T字杆</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把</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套筒工具</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22</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两爪拉马</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橡胶锤</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把</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　</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碳刷</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30</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24</w:t>
            </w:r>
          </w:p>
        </w:tc>
        <w:tc>
          <w:tcPr>
            <w:tcW w:w="1030" w:type="dxa"/>
            <w:vMerge w:val="continue"/>
            <w:tcBorders>
              <w:top w:val="nil"/>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游标卡尺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8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25</w:t>
            </w:r>
          </w:p>
        </w:tc>
        <w:tc>
          <w:tcPr>
            <w:tcW w:w="1030"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同步器拆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装与检测</w:t>
            </w: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工具盘</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26</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塞尺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把</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27</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中号棘轮扳手</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把</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28</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中号短接杆</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29</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 号套筒</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30</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 号套筒</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31</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锁销冲头</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32</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尖嘴钳</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33</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铁锤</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34</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十字起子</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35</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一字起子</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36</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中号拉拔器 </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37</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二轴固定螺母专用工具</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38</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二轴螺母</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8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39</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雪铁龙爱丽舍五档手动变速器</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40</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扭力扳手</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个</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41</w:t>
            </w:r>
          </w:p>
        </w:tc>
        <w:tc>
          <w:tcPr>
            <w:tcW w:w="1030"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考核辅助</w:t>
            </w: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文化墙</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42　</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清洁毛巾</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袋</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2"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43</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汽车教学仿真系统</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2"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教学一体机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45</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工具柜</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技能高考理论考核训练题库</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47</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工具车</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辆</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48</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操作台塑料垫</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块</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54</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7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功能一体机</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台</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53" w:type="dxa"/>
            <w:vMerge w:val="continue"/>
            <w:tcBorders>
              <w:left w:val="nil"/>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896"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50</w:t>
            </w:r>
          </w:p>
        </w:tc>
        <w:tc>
          <w:tcPr>
            <w:tcW w:w="1030" w:type="dxa"/>
            <w:vMerge w:val="continue"/>
            <w:tcBorders>
              <w:top w:val="nil"/>
              <w:left w:val="single" w:color="auto" w:sz="4" w:space="0"/>
              <w:bottom w:val="single" w:color="000000" w:sz="4" w:space="0"/>
              <w:right w:val="single" w:color="auto" w:sz="4" w:space="0"/>
            </w:tcBorders>
            <w:shd w:val="clear" w:color="000000"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232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操作台</w:t>
            </w:r>
          </w:p>
        </w:tc>
        <w:tc>
          <w:tcPr>
            <w:tcW w:w="221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台</w:t>
            </w:r>
          </w:p>
        </w:tc>
        <w:tc>
          <w:tcPr>
            <w:tcW w:w="125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54</w:t>
            </w:r>
          </w:p>
        </w:tc>
        <w:tc>
          <w:tcPr>
            <w:tcW w:w="1253" w:type="dxa"/>
            <w:vMerge w:val="continue"/>
            <w:tcBorders>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rPr>
            </w:pPr>
          </w:p>
        </w:tc>
      </w:tr>
    </w:tbl>
    <w:p>
      <w:pPr>
        <w:spacing w:line="360" w:lineRule="auto"/>
        <w:outlineLvl w:val="1"/>
        <w:rPr>
          <w:rFonts w:hint="eastAsia" w:ascii="宋体" w:hAnsi="宋体" w:eastAsia="宋体" w:cs="宋体"/>
          <w:sz w:val="24"/>
          <w:szCs w:val="24"/>
        </w:rPr>
      </w:pPr>
      <w:bookmarkStart w:id="19" w:name="_Toc13016"/>
      <w:r>
        <w:rPr>
          <w:rFonts w:hint="eastAsia" w:ascii="宋体" w:hAnsi="宋体" w:eastAsia="宋体" w:cs="宋体"/>
          <w:sz w:val="24"/>
          <w:szCs w:val="24"/>
        </w:rPr>
        <w:t>2、配套服务和教学支持</w:t>
      </w:r>
      <w:bookmarkEnd w:id="19"/>
    </w:p>
    <w:p>
      <w:pPr>
        <w:numPr>
          <w:ilvl w:val="0"/>
          <w:numId w:val="10"/>
        </w:numPr>
        <w:spacing w:line="360" w:lineRule="auto"/>
        <w:ind w:left="560"/>
        <w:rPr>
          <w:rFonts w:hint="eastAsia" w:ascii="宋体" w:hAnsi="宋体" w:eastAsia="宋体" w:cs="宋体"/>
          <w:sz w:val="24"/>
          <w:szCs w:val="24"/>
        </w:rPr>
      </w:pPr>
      <w:r>
        <w:rPr>
          <w:rFonts w:hint="eastAsia" w:ascii="宋体" w:hAnsi="宋体" w:eastAsia="宋体" w:cs="宋体"/>
          <w:sz w:val="24"/>
          <w:szCs w:val="24"/>
        </w:rPr>
        <w:t>实训室安全制度；</w:t>
      </w:r>
    </w:p>
    <w:p>
      <w:pPr>
        <w:numPr>
          <w:ilvl w:val="0"/>
          <w:numId w:val="10"/>
        </w:numPr>
        <w:spacing w:line="360" w:lineRule="auto"/>
        <w:ind w:left="560"/>
        <w:rPr>
          <w:rFonts w:hint="eastAsia" w:ascii="宋体" w:hAnsi="宋体" w:eastAsia="宋体" w:cs="宋体"/>
          <w:sz w:val="24"/>
          <w:szCs w:val="24"/>
        </w:rPr>
      </w:pPr>
      <w:r>
        <w:rPr>
          <w:rFonts w:hint="eastAsia" w:ascii="宋体" w:hAnsi="宋体" w:eastAsia="宋体" w:cs="宋体"/>
          <w:sz w:val="24"/>
          <w:szCs w:val="24"/>
        </w:rPr>
        <w:t>学生实训守则。</w:t>
      </w:r>
    </w:p>
    <w:p>
      <w:pPr>
        <w:spacing w:line="360" w:lineRule="auto"/>
        <w:outlineLvl w:val="1"/>
        <w:rPr>
          <w:rFonts w:hint="eastAsia" w:ascii="宋体" w:hAnsi="宋体" w:eastAsia="宋体" w:cs="宋体"/>
          <w:sz w:val="24"/>
          <w:szCs w:val="24"/>
        </w:rPr>
      </w:pPr>
      <w:bookmarkStart w:id="20" w:name="_Toc2266"/>
      <w:r>
        <w:rPr>
          <w:rFonts w:hint="eastAsia" w:ascii="宋体" w:hAnsi="宋体" w:eastAsia="宋体" w:cs="宋体"/>
          <w:sz w:val="24"/>
          <w:szCs w:val="24"/>
        </w:rPr>
        <w:t>3、详细参数见附件</w:t>
      </w:r>
      <w:bookmarkEnd w:id="20"/>
    </w:p>
    <w:p>
      <w:pPr>
        <w:numPr>
          <w:ilvl w:val="0"/>
          <w:numId w:val="6"/>
        </w:numPr>
        <w:spacing w:line="360" w:lineRule="auto"/>
        <w:ind w:left="420" w:leftChars="0" w:firstLineChars="0"/>
        <w:outlineLvl w:val="0"/>
        <w:rPr>
          <w:rFonts w:hint="eastAsia" w:ascii="宋体" w:hAnsi="宋体" w:eastAsia="宋体" w:cs="宋体"/>
          <w:sz w:val="24"/>
          <w:szCs w:val="24"/>
        </w:rPr>
      </w:pPr>
      <w:bookmarkStart w:id="21" w:name="2.综合实训室"/>
      <w:bookmarkEnd w:id="21"/>
      <w:bookmarkStart w:id="22" w:name="_bookmark23"/>
      <w:bookmarkEnd w:id="22"/>
      <w:bookmarkStart w:id="23" w:name="_bookmark24"/>
      <w:bookmarkEnd w:id="23"/>
      <w:bookmarkStart w:id="24" w:name="1.新能源汽车驱动装调实训区"/>
      <w:bookmarkEnd w:id="24"/>
      <w:bookmarkStart w:id="25" w:name="_Toc15372"/>
      <w:r>
        <w:rPr>
          <w:rFonts w:hint="eastAsia" w:ascii="宋体" w:hAnsi="宋体" w:eastAsia="宋体" w:cs="宋体"/>
          <w:sz w:val="24"/>
          <w:szCs w:val="24"/>
        </w:rPr>
        <w:t>区域规划</w:t>
      </w:r>
      <w:bookmarkEnd w:id="25"/>
    </w:p>
    <w:p>
      <w:pPr>
        <w:pStyle w:val="8"/>
        <w:spacing w:before="182" w:line="360" w:lineRule="auto"/>
        <w:ind w:right="817"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rPr>
        <w:t>本实训室根据职业院校技能高考实训室建设标准和行业标准，采用理论与实</w:t>
      </w:r>
      <w:r>
        <w:rPr>
          <w:rFonts w:hint="eastAsia" w:ascii="宋体" w:hAnsi="宋体" w:eastAsia="宋体" w:cs="宋体"/>
          <w:spacing w:val="-11"/>
          <w:sz w:val="24"/>
          <w:szCs w:val="24"/>
        </w:rPr>
        <w:t>际操作相结合的方式，培养既具备汽车知识又具备专业操作技能水平的汽车维修</w:t>
      </w:r>
      <w:r>
        <w:rPr>
          <w:rFonts w:hint="eastAsia" w:ascii="宋体" w:hAnsi="宋体" w:eastAsia="宋体" w:cs="宋体"/>
          <w:spacing w:val="-10"/>
          <w:sz w:val="24"/>
          <w:szCs w:val="24"/>
        </w:rPr>
        <w:t>专业技能人才，以实现既能满足正常教学又能兼顾实训，能够满足汽车概论与机</w:t>
      </w:r>
      <w:r>
        <w:rPr>
          <w:rFonts w:hint="eastAsia" w:ascii="宋体" w:hAnsi="宋体" w:eastAsia="宋体" w:cs="宋体"/>
          <w:spacing w:val="-12"/>
          <w:sz w:val="24"/>
          <w:szCs w:val="24"/>
        </w:rPr>
        <w:t>械基础、汽车发动机维修、汽车基础维修、汽车电子与电器维修等多方面训练要</w:t>
      </w:r>
      <w:r>
        <w:rPr>
          <w:rFonts w:hint="eastAsia" w:ascii="宋体" w:hAnsi="宋体" w:eastAsia="宋体" w:cs="宋体"/>
          <w:sz w:val="24"/>
          <w:szCs w:val="24"/>
        </w:rPr>
        <w:t>求。</w:t>
      </w:r>
    </w:p>
    <w:p>
      <w:pPr>
        <w:pStyle w:val="9"/>
        <w:rPr>
          <w:rFonts w:hint="eastAsia" w:ascii="宋体" w:hAnsi="宋体" w:eastAsia="宋体" w:cs="宋体"/>
          <w:sz w:val="21"/>
          <w:szCs w:val="21"/>
        </w:rPr>
      </w:pPr>
    </w:p>
    <w:p>
      <w:pPr>
        <w:pStyle w:val="9"/>
        <w:rPr>
          <w:rFonts w:hint="eastAsia" w:ascii="宋体" w:hAnsi="宋体" w:eastAsia="宋体" w:cs="宋体"/>
          <w:sz w:val="21"/>
          <w:szCs w:val="21"/>
        </w:rPr>
      </w:pPr>
    </w:p>
    <w:p>
      <w:pPr>
        <w:pStyle w:val="9"/>
        <w:rPr>
          <w:rFonts w:hint="eastAsia" w:ascii="宋体" w:hAnsi="宋体" w:eastAsia="宋体" w:cs="宋体"/>
          <w:sz w:val="21"/>
          <w:szCs w:val="21"/>
        </w:rPr>
      </w:pPr>
    </w:p>
    <w:p>
      <w:pPr>
        <w:pStyle w:val="9"/>
        <w:rPr>
          <w:rFonts w:hint="eastAsia" w:ascii="宋体" w:hAnsi="宋体" w:eastAsia="宋体" w:cs="宋体"/>
          <w:sz w:val="21"/>
          <w:szCs w:val="21"/>
        </w:rPr>
      </w:pPr>
    </w:p>
    <w:p>
      <w:pPr>
        <w:pStyle w:val="9"/>
        <w:rPr>
          <w:rFonts w:hint="eastAsia" w:ascii="宋体" w:hAnsi="宋体" w:eastAsia="宋体" w:cs="宋体"/>
          <w:sz w:val="21"/>
          <w:szCs w:val="21"/>
        </w:rPr>
      </w:pPr>
    </w:p>
    <w:p>
      <w:pPr>
        <w:pStyle w:val="9"/>
        <w:rPr>
          <w:rFonts w:hint="eastAsia" w:ascii="宋体" w:hAnsi="宋体" w:eastAsia="宋体" w:cs="宋体"/>
          <w:sz w:val="21"/>
          <w:szCs w:val="21"/>
        </w:rPr>
      </w:pPr>
    </w:p>
    <w:p>
      <w:pPr>
        <w:pStyle w:val="9"/>
        <w:rPr>
          <w:rFonts w:hint="eastAsia" w:ascii="宋体" w:hAnsi="宋体" w:eastAsia="宋体" w:cs="宋体"/>
          <w:sz w:val="21"/>
          <w:szCs w:val="21"/>
        </w:rPr>
      </w:pPr>
    </w:p>
    <w:p>
      <w:pPr>
        <w:pStyle w:val="9"/>
        <w:ind w:left="0" w:leftChars="0" w:firstLine="0" w:firstLineChars="0"/>
        <w:rPr>
          <w:rFonts w:hint="eastAsia" w:ascii="宋体" w:hAnsi="宋体" w:eastAsia="宋体" w:cs="宋体"/>
          <w:sz w:val="21"/>
          <w:szCs w:val="21"/>
        </w:rPr>
      </w:pPr>
    </w:p>
    <w:p>
      <w:pPr>
        <w:pStyle w:val="66"/>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textAlignment w:val="auto"/>
        <w:rPr>
          <w:rFonts w:hint="eastAsia" w:ascii="宋体" w:hAnsi="宋体" w:eastAsia="宋体" w:cs="宋体"/>
          <w:b/>
          <w:bCs/>
          <w:color w:val="auto"/>
          <w:kern w:val="0"/>
          <w:sz w:val="21"/>
          <w:szCs w:val="21"/>
          <w:lang w:val="en-US" w:eastAsia="zh-CN" w:bidi="zh-CN"/>
        </w:rPr>
      </w:pPr>
      <w:r>
        <w:rPr>
          <w:rFonts w:hint="eastAsia" w:ascii="宋体" w:hAnsi="宋体" w:eastAsia="宋体" w:cs="宋体"/>
          <w:b/>
          <w:bCs/>
          <w:color w:val="auto"/>
          <w:kern w:val="0"/>
          <w:sz w:val="21"/>
          <w:szCs w:val="21"/>
          <w:lang w:val="en-US" w:eastAsia="zh-CN" w:bidi="zh-CN"/>
        </w:rPr>
        <w:t>附件:技术参数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211"/>
        <w:gridCol w:w="7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zh-CN"/>
              </w:rPr>
            </w:pPr>
            <w:r>
              <w:rPr>
                <w:rFonts w:hint="eastAsia" w:ascii="宋体" w:hAnsi="宋体" w:eastAsia="宋体" w:cs="宋体"/>
                <w:b/>
                <w:bCs/>
                <w:color w:val="auto"/>
                <w:kern w:val="0"/>
                <w:sz w:val="21"/>
                <w:szCs w:val="21"/>
                <w:vertAlign w:val="baseline"/>
                <w:lang w:val="en-US" w:eastAsia="zh-CN" w:bidi="zh-CN"/>
              </w:rPr>
              <w:t>序号</w:t>
            </w:r>
          </w:p>
        </w:tc>
        <w:tc>
          <w:tcPr>
            <w:tcW w:w="1732"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zh-CN"/>
              </w:rPr>
            </w:pPr>
            <w:r>
              <w:rPr>
                <w:rFonts w:hint="eastAsia" w:ascii="宋体" w:hAnsi="宋体" w:eastAsia="宋体" w:cs="宋体"/>
                <w:b/>
                <w:bCs/>
                <w:color w:val="auto"/>
                <w:kern w:val="0"/>
                <w:sz w:val="21"/>
                <w:szCs w:val="21"/>
                <w:vertAlign w:val="baseline"/>
                <w:lang w:val="en-US" w:eastAsia="zh-CN" w:bidi="zh-CN"/>
              </w:rPr>
              <w:t>设备名称</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zh-CN"/>
              </w:rPr>
            </w:pPr>
            <w:r>
              <w:rPr>
                <w:rFonts w:hint="eastAsia" w:ascii="宋体" w:hAnsi="宋体" w:eastAsia="宋体" w:cs="宋体"/>
                <w:b/>
                <w:bCs/>
                <w:color w:val="auto"/>
                <w:kern w:val="0"/>
                <w:sz w:val="21"/>
                <w:szCs w:val="21"/>
                <w:vertAlign w:val="baseline"/>
                <w:lang w:val="en-US" w:eastAsia="zh-CN" w:bidi="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气缸体</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TU5JP4电控汽油发动机缸体，主要用于技能高考缸体的测量，结构需完整，缸体表面光滑。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外径千分尺</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测量范围：75-100mm符合技能高考测量设备要求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游标卡尺</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规格：0-150mm</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分度值：0.001（mm）</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精度：±0.05mm，符合技能高考测量设备要求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内径百分表</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规格：50-160MM；</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分度值：0.02mm。符合技能高考测量设备要求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曲轴  </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TU5JP4电控汽油发动机曲轴，主要用于技能高考曲轴的测量，结构需完整，不影响测量使用。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外径千分尺</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范围：25-50mm，符合技能高考测量设备要求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外径千分尺底座托盘</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范围：25-50mm，配合对应量度千分尺使用，符合技能高考测量设备要求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外径千分尺</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测量范围：50-75mm符合技能高考测量设备要求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9</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磁性表座</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范围：0-5mm、符合技能高考测量设备要求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百分表</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范围：0-5mm、符合技能高考测量设备要求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专用连杆</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主要用于技能高考曲轴的测量，结构需完整，不影响测量使用。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V 形铁</w:t>
            </w:r>
          </w:p>
        </w:tc>
        <w:tc>
          <w:tcPr>
            <w:tcW w:w="11091" w:type="dxa"/>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尺寸为：150mmx20mmx120mm 能够满足技能高考设备要求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13</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检验平板</w:t>
            </w:r>
          </w:p>
        </w:tc>
        <w:tc>
          <w:tcPr>
            <w:tcW w:w="11091" w:type="dxa"/>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尺寸：600mmx900mm 能够满足技能高考设备要求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14</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发电机</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i w:val="0"/>
                <w:color w:val="000000"/>
                <w:kern w:val="0"/>
                <w:sz w:val="21"/>
                <w:szCs w:val="21"/>
                <w:u w:val="none"/>
                <w:lang w:val="en-US" w:eastAsia="zh-CN" w:bidi="ar"/>
              </w:rPr>
              <w:t>OPO40(丰田威驰专用)</w:t>
            </w:r>
            <w:r>
              <w:rPr>
                <w:rFonts w:hint="eastAsia" w:ascii="宋体" w:hAnsi="宋体" w:eastAsia="宋体" w:cs="宋体"/>
                <w:b w:val="0"/>
                <w:bCs w:val="0"/>
                <w:color w:val="000000"/>
                <w:kern w:val="0"/>
                <w:sz w:val="21"/>
                <w:szCs w:val="21"/>
              </w:rPr>
              <w:t>、符合技能高考设备</w:t>
            </w:r>
            <w:r>
              <w:rPr>
                <w:rFonts w:hint="eastAsia" w:ascii="宋体" w:hAnsi="宋体" w:eastAsia="宋体" w:cs="宋体"/>
                <w:b w:val="0"/>
                <w:bCs w:val="0"/>
                <w:color w:val="000000"/>
                <w:kern w:val="0"/>
                <w:sz w:val="21"/>
                <w:szCs w:val="21"/>
                <w:lang w:val="en-US" w:eastAsia="zh-CN"/>
              </w:rPr>
              <w:t>拆装</w:t>
            </w:r>
            <w:r>
              <w:rPr>
                <w:rFonts w:hint="eastAsia" w:ascii="宋体" w:hAnsi="宋体" w:eastAsia="宋体" w:cs="宋体"/>
                <w:b w:val="0"/>
                <w:bCs w:val="0"/>
                <w:color w:val="000000"/>
                <w:kern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15</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工具盘</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尺寸为：48*38*9CM，</w:t>
            </w:r>
            <w:r>
              <w:rPr>
                <w:rFonts w:hint="eastAsia" w:ascii="宋体" w:hAnsi="宋体" w:eastAsia="宋体" w:cs="宋体"/>
                <w:b w:val="0"/>
                <w:bCs w:val="0"/>
                <w:color w:val="000000"/>
                <w:kern w:val="0"/>
                <w:sz w:val="21"/>
                <w:szCs w:val="21"/>
                <w:lang w:val="en-US" w:eastAsia="zh-CN"/>
              </w:rPr>
              <w:t>技能高考训练中承装工具使用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16</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万用表</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i w:val="0"/>
                <w:iCs w:val="0"/>
                <w:color w:val="auto"/>
                <w:kern w:val="0"/>
                <w:sz w:val="21"/>
                <w:szCs w:val="21"/>
                <w:u w:val="none"/>
                <w:lang w:val="en-US" w:eastAsia="zh-CN" w:bidi="ar"/>
              </w:rPr>
              <w:t>EM33D，</w:t>
            </w:r>
            <w:r>
              <w:rPr>
                <w:rFonts w:hint="eastAsia" w:ascii="宋体" w:hAnsi="宋体" w:eastAsia="宋体" w:cs="宋体"/>
                <w:b w:val="0"/>
                <w:bCs w:val="0"/>
                <w:color w:val="000000"/>
                <w:kern w:val="0"/>
                <w:sz w:val="21"/>
                <w:szCs w:val="21"/>
                <w:lang w:val="en-US" w:eastAsia="zh-CN"/>
              </w:rPr>
              <w:t>技能高考训练中测量使用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17</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十字起</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规格（mm）3.2x150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全长L（mm）225</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杆径（mm）3</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净重（kg）0.03</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18</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一字起</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规格（mm）3.2x150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全长L（mm）225</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杆径（mm）3</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净重（kg）0.04</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19</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T字杆</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规格（mm）8</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B（mm）12</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长度L（mm）310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20</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T字杆</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规格（mm）10</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B（mm）14.5</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长度L（mm）308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21</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套筒工具</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规格（mm）22</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A（mm）29.9</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B（mm）29.9</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C（mm）38</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E（mm）19.5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22</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两爪拉马</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规格（mm）4"</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长度（mm）160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最大拉拔直径（mm）100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行程（mm）95</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净重（kg）0.749</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顶杆的尖部经过特殊的热处理,经久耐用</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加力部位的凸缘设计.保证了敲击时六角头的无损</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拉爪的合理造型设计.使其在加力时不致脱落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23</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橡胶锤</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锤头采用橡胶锻造制作,耐冲击</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特殊嵌入工艺处理,锤头不易脱落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24</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碳刷</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i w:val="0"/>
                <w:color w:val="000000"/>
                <w:kern w:val="0"/>
                <w:sz w:val="21"/>
                <w:szCs w:val="21"/>
                <w:u w:val="none"/>
                <w:lang w:val="en-US" w:eastAsia="zh-CN" w:bidi="ar"/>
              </w:rPr>
              <w:t>OPO40,</w:t>
            </w:r>
            <w:r>
              <w:rPr>
                <w:rFonts w:hint="eastAsia" w:ascii="宋体" w:hAnsi="宋体" w:eastAsia="宋体" w:cs="宋体"/>
                <w:b w:val="0"/>
                <w:bCs w:val="0"/>
                <w:color w:val="000000"/>
                <w:kern w:val="0"/>
                <w:sz w:val="21"/>
                <w:szCs w:val="21"/>
              </w:rPr>
              <w:t>符合</w:t>
            </w:r>
            <w:r>
              <w:rPr>
                <w:rFonts w:hint="eastAsia" w:ascii="宋体" w:hAnsi="宋体" w:eastAsia="宋体" w:cs="宋体"/>
                <w:b w:val="0"/>
                <w:bCs w:val="0"/>
                <w:color w:val="000000"/>
                <w:kern w:val="0"/>
                <w:sz w:val="21"/>
                <w:szCs w:val="21"/>
                <w:lang w:eastAsia="zh-CN"/>
              </w:rPr>
              <w:t>湖北省</w:t>
            </w:r>
            <w:r>
              <w:rPr>
                <w:rFonts w:hint="eastAsia" w:ascii="宋体" w:hAnsi="宋体" w:eastAsia="宋体" w:cs="宋体"/>
                <w:b w:val="0"/>
                <w:bCs w:val="0"/>
                <w:color w:val="000000"/>
                <w:kern w:val="0"/>
                <w:sz w:val="21"/>
                <w:szCs w:val="21"/>
              </w:rPr>
              <w:t>技能高考设备</w:t>
            </w:r>
            <w:r>
              <w:rPr>
                <w:rFonts w:hint="eastAsia" w:ascii="宋体" w:hAnsi="宋体" w:eastAsia="宋体" w:cs="宋体"/>
                <w:b w:val="0"/>
                <w:bCs w:val="0"/>
                <w:color w:val="000000"/>
                <w:kern w:val="0"/>
                <w:sz w:val="21"/>
                <w:szCs w:val="21"/>
                <w:lang w:val="en-US" w:eastAsia="zh-CN"/>
              </w:rPr>
              <w:t>拆装</w:t>
            </w:r>
            <w:r>
              <w:rPr>
                <w:rFonts w:hint="eastAsia" w:ascii="宋体" w:hAnsi="宋体" w:eastAsia="宋体" w:cs="宋体"/>
                <w:b w:val="0"/>
                <w:bCs w:val="0"/>
                <w:color w:val="000000"/>
                <w:kern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25</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游标卡尺</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规格：0-150mm</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分度值：0.001（mm）</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精度：±0.05mm，符合技能高考测量设备要求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26</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工具盘</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尺寸为：48*38*9CM，</w:t>
            </w:r>
            <w:r>
              <w:rPr>
                <w:rFonts w:hint="eastAsia" w:ascii="宋体" w:hAnsi="宋体" w:eastAsia="宋体" w:cs="宋体"/>
                <w:b w:val="0"/>
                <w:bCs w:val="0"/>
                <w:color w:val="000000"/>
                <w:kern w:val="0"/>
                <w:sz w:val="21"/>
                <w:szCs w:val="21"/>
                <w:lang w:val="en-US" w:eastAsia="zh-CN"/>
              </w:rPr>
              <w:t>技能高考训练中承装工具使用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27</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塞尺</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规格（mm）尺身3"长，内含2"直尺尺片</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净重（kg）0.07</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内含件数/套14</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组套内配置清单0.05, 0.10, 0.15, 0.20, 0.25, 0.30, 0.40, 0.50, 0.60, 0.70,0.80, 0.90, 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28</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中号棘轮扳手</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长度L（mm）200</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W（mm）31.8</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H(MM)27.8</w:t>
            </w:r>
          </w:p>
          <w:p>
            <w:pPr>
              <w:keepNext w:val="0"/>
              <w:keepLines w:val="0"/>
              <w:suppressLineNumbers w:val="0"/>
              <w:spacing w:before="0" w:beforeAutospacing="0" w:after="0" w:afterAutospacing="0"/>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单手操作转向功能．令转向轻松自如</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p>
          <w:p>
            <w:pPr>
              <w:keepNext w:val="0"/>
              <w:keepLines w:val="0"/>
              <w:suppressLineNumbers w:val="0"/>
              <w:spacing w:before="0" w:beforeAutospacing="0" w:after="0" w:afterAutospacing="0"/>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具备快速脱落的功能．只需单手操作</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29</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中号短接杆</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长度L（mm）75</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转向功能</w:t>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插入后用作标准接杆</w:t>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r>
              <w:rPr>
                <w:rFonts w:hint="eastAsia" w:ascii="宋体" w:hAnsi="宋体" w:eastAsia="宋体" w:cs="宋体"/>
                <w:b w:val="0"/>
                <w:bCs w:val="0"/>
                <w:color w:val="auto"/>
                <w:kern w:val="0"/>
                <w:sz w:val="21"/>
                <w:szCs w:val="21"/>
                <w:vertAlign w:val="baseline"/>
                <w:lang w:val="en-US" w:eastAsia="zh-CN" w:bidi="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30</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 号套筒</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规格（mm）13</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A（mm）18.3</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B（mm）18.3</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C（mm）25</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D（mm）9</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E（mm）8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31</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 号套筒</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规格（mm）14</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A（mm）19.5</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B（mm）19.5</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C（mm）25</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vertAlign w:val="baseline"/>
                <w:lang w:val="en-US" w:eastAsia="zh-CN" w:bidi="zh-CN"/>
              </w:rPr>
              <w:t>E（mm）12.5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32</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锁销冲头</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净重（kg）0.72</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内含件数/套6件</w:t>
            </w:r>
          </w:p>
          <w:p>
            <w:pPr>
              <w:keepNext w:val="0"/>
              <w:keepLines w:val="0"/>
              <w:suppressLineNumbers w:val="0"/>
              <w:spacing w:before="0" w:beforeAutospacing="0" w:after="0" w:afterAutospacing="0"/>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材料采用Cr-V铬钒钢,强度高韧性好</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p>
          <w:p>
            <w:pPr>
              <w:keepNext w:val="0"/>
              <w:keepLines w:val="0"/>
              <w:suppressLineNumbers w:val="0"/>
              <w:spacing w:before="0" w:beforeAutospacing="0" w:after="0" w:afterAutospacing="0"/>
              <w:ind w:left="0" w:righ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表面采用镀铬处理,防锈能力强</w:t>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r>
              <w:rPr>
                <w:rFonts w:hint="eastAsia" w:ascii="宋体" w:hAnsi="宋体" w:eastAsia="宋体" w:cs="宋体"/>
                <w:b w:val="0"/>
                <w:bCs w:val="0"/>
                <w:sz w:val="21"/>
                <w:szCs w:val="21"/>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33</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尖嘴钳</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sz w:val="21"/>
                <w:szCs w:val="21"/>
                <w:lang w:val="en-US" w:eastAsia="zh-CN"/>
              </w:rPr>
              <w:t>剪切能力（mm）铁丝φ2.0 硬钢丝φ1.6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34</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铁锤</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规格1磅</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全长L（mm）350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净重（kg）0.7</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锤头采用高碳钢锻造制作,耐冲击</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特殊嵌入工艺处理,锤头不易脱落</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手柄采用美国胡桃木,手感韧性佳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35</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十字起子</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规格（mm）3.2x150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全长L（mm）225</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杆径（mm）3</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净重（kg）0.03</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36</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一字起子</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规格（mm）3.2x150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全长L（mm）225</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杆径（mm）3</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净重（kg）0.04</w:t>
            </w:r>
          </w:p>
          <w:p>
            <w:pPr>
              <w:keepNext w:val="0"/>
              <w:keepLines w:val="0"/>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000000"/>
                <w:kern w:val="0"/>
                <w:sz w:val="21"/>
                <w:szCs w:val="21"/>
                <w:lang w:val="en-US" w:eastAsia="zh-CN"/>
              </w:rPr>
              <w:t>刀杆以优质Cr-V铬钒钢制造,整体淬火处理批头带强磁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37</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中号拉拔器 </w:t>
            </w:r>
          </w:p>
        </w:tc>
        <w:tc>
          <w:tcPr>
            <w:tcW w:w="11091"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规格（mm）4"</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长度（mm）160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最大拉拔直径（mm）100</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行程（mm）95</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净重（kg）0.749</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顶杆的尖部经过特殊的热处理,经久耐用</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加力部位的凸缘设计.保证了敲击时六角头的无损</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拉爪的合理造型设计.使其在加力时不致脱落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38</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二轴固定螺母专用工具</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二轴固定螺母专用，符合湖北省技能高考设备拆装要求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39</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五档手动变速器</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结构完整，正常运转、符合湖北省技能高考设备拆装要求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扭力扳手</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头部/杆身采用Cr-V材料,更坚固</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杆身双层镀镍,更美观</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规格300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文化墙</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zh-CN"/>
              </w:rPr>
            </w:pPr>
            <w:r>
              <w:rPr>
                <w:rFonts w:hint="eastAsia" w:ascii="宋体" w:hAnsi="宋体" w:eastAsia="宋体" w:cs="宋体"/>
                <w:b w:val="0"/>
                <w:bCs w:val="0"/>
                <w:color w:val="000000"/>
                <w:kern w:val="0"/>
                <w:sz w:val="21"/>
                <w:szCs w:val="21"/>
                <w:lang w:val="en-US" w:eastAsia="zh-CN" w:bidi="zh-CN"/>
              </w:rPr>
              <w:t>汽车文化墙整体设计，内容包含汽车实训车间内的7S管理标准，安全防范意识和汽车结构认知、汽车原理认知等等与专业相关的知识内容。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清洁毛巾</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bidi="zh-CN"/>
              </w:rPr>
              <w:t>全棉纺织制品、加厚。防滑耐磨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汽车教学仿真系统</w:t>
            </w:r>
          </w:p>
        </w:tc>
        <w:tc>
          <w:tcPr>
            <w:tcW w:w="11091" w:type="dxa"/>
            <w:vAlign w:val="center"/>
          </w:tcPr>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一、软件组成</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软件由视频展示界面、3D虚拟拆装、查询系统、要点提示文字讲解三个模块组成。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1、软件简介</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电控发动机拆装模拟教学实训软件是一款拆装发动机工作得心应手，操作方便，安全可靠的系统软件。分置拆装、操作两系统互补干扰，又方便联接；可进行发动机的基本操作和学习教学实训课件用。该软件界面友好，功能完善。</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2、技术要求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（1）使用JAVA编程语言</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（2）采用3D实时渲染技术，实现场景内360度旋转、平移、缩放及交互。</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（3）B/S架构,架构于Internet/Intranet：系统采用了当今先进的B/S架构，可架构于Internet/Intranet（互联网/局域网），在条件允许的情况下，无论何时何地，只要通过IE浏览器均可实现实习操作。</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（4）采用故障诊断及visual basic编程语言的知识，分析发动机故障及关联性。</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3、实操运用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（1）本软件具有考核功能的电控发动机标准数据流。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（2）该系统可在计算机上仿真电控发动机在不同故障情况下的故障现象和数据流动，为汽车教学活动节约人力、物力和精力。</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（3）系统将上百个故障点划分成为多个模块，学生可通过练习设定不同的故障点，满足各个层次的学生习。</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（4）系统将上百个故障点划分成为多个模块，学生可通过练习设定不同的故障点，满足各个层次的学生习。</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4、配置要求</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CPU:Pentium 166以上，内存：32MB以上，CD-ROM：4X CD-ROM，显卡：2MB VRAM，DirectX v6.1，声卡：集成硬盘：300M空闲。</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二、技术要求</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（1）软件内容必须同时提供2018年全国汽修技能大赛（发动机拆装项目）指导视频演示流程一套，7个检查位置和6个测量位置，86条相关的要点提示。</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（2）全国汽修技能大赛（发动机拆装项目）指导视频演示流程必须包含：单人操作的主界面视频，部分操作的特写视频，指导视频演示中匹配相关的技术要点提示等。</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（3）主界面视频必须演示：2018年全国汽修技能大赛指导流程一套，视频内容操作符合2017年汽修技能大赛的公布流程。</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（4）分界面视频必须演示：发动起气门机构的拆卸、检查、测量、装配，视频内容操作符合2018年汽修技能大赛的公布标准。</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（5）视频中的演示工具、车型必须是2018年国赛规定的相关品牌。例如：气缸盖为科鲁兹1.6L(LDE)发动机。</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（6）▲系统提供技能操作类资源采用高清视频表达，内容必须符合行业标准、公布标准、操作规范要求和重要知识点提示，必须演示：</w:t>
            </w:r>
          </w:p>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正确拆卸1号凸轮轴盖、拆卸排气凸轮轴、拆卸进气凸轮轴、拆卸气门顶桶、拆卸排气门锁片、拆卸排气门弹簧上盖、拆卸排气门、拆卸进气门锁片、拆卸进气门弹簧上盖、拆卸进气门；检查作业- 拆卸气门-拆卸气门油封；正确的清洁气门、气门挺柱、气门弹簧、弹簧上座、锁块、凸轮轴轴承座、凸轮轴及气缸盖等；正确测量气门长度、测量气门大头直径、测量气门锥面接触面宽度、测量气门座宽度、测量气门对气门座圈同心度；正确安装气门油封、安装气门、安装顶筒、安装凸轮轴、安装进、排气凸轮轴盖（除第一道轴承盖）、安装凸轮轴第一道轴承盖、清洁整理工具等。</w:t>
            </w:r>
          </w:p>
          <w:p>
            <w:pPr>
              <w:keepNext w:val="0"/>
              <w:keepLines w:val="0"/>
              <w:suppressLineNumbers w:val="0"/>
              <w:bidi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三、考试考核模块（50个节点）</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1、理论考核系统：</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该系统含有汽车题库5千道题以上，并可有老师导入或导出试题，并且可以随意自动生成以试卷的页面形式进行导出并打印，进行电子考试或纸质考试（该考试系统模块为网络版，300个节点）。</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批量EXCEL/WORD导入试题，批量导出试题、支持图片、动画试题的录入；支持复杂的数学公式的录入；支持EXCEL/WORD直接导入试卷。所有考试题型全部由系统自动判分，填空按空给分、问答等主观题可按关键词自动判分。包涵七种基本题型：单选题、多选题、不定项选择题、填空题、判断题、问答题、理解题七种基本题型，可以变通设置出案例分析、完型填空、阅读理解、听力、视频等题型；考试结束后，根据考试成绩发布设置，可随时或定时显示成绩。考生可以查看自己的试卷分析：对题、错题、漏题、以及完整回答的试题分析、成绩排行，各考点评语，能力图谱，考试用时等综合分析。评卷老师或管理人员，可对考生试卷进行人工评卷，支持正确、错误、半对等评判。</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（2）完善的考试监控功能</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在考生考试时，管理员可以实时查看考生身份、考试状况、答题状况，并执行强退、作废、加时、恢复、删除等权利。</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考试时间开始前需提前登录系统等待考试开始（考试可以选择直接打开试卷链接或直接扫码输入个人信息进入考试，也可以登录考生账号进入个人账号选择试卷考试）,考生需按安排的考试时间进入考试，开始答卷，答卷完毕可进行自动评分，并有教师端查看统计每位考生的得分情况。</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（4）考试时间开始，系统自动全考场倒计时,时间到前三分钟提醒，考试时间用完则系统自动交卷；</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A.系统默认随机打乱考试试题显示顺序和候选项显示顺序（具体见组卷功能的统一试卷、随机试卷等组卷方式），避免相互抄袭；</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B.考试过程中，支持防作弊；</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C.卷面显示试题题卡和答题标记（已答过的试题题号会变颜色），方便考生检查试卷；</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（5）▲试卷提交成功后，试卷内全部客观题包括主观题在内的都可以自动出成绩（主观题也可以设置人工判分，填空题或问答题可设置按“关键词”进行自动评分。</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（6）▲断电继续考试功能，考试进行过程遇突发情况终止了考试，如断电、断网、电脑死机等故障，可以重新登入，进入断电续考，恢复考试（考生答卷自动保存在服务器），考生可继续做答。</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2、在线练习</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对知识章节试卷（试卷分类），进行在线练习，错题重练习，考生可以对试题报错反馈给管理员。每答一题立即查看解析，每答一题，只有答错时才显示正确答案，练习考试完，提交试卷后，显示答对题数量，可进入查看答卷和系统标准答案。</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（1）练习考试记录，考生查看自己的练习考试记录，查看答卷情况和系统标准答案，自我提高。系统高级权限可以看所有用户的模拟练习考试记录。</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我的纠错，如果考试、练习试题中含有疑问的试题（系统导入的试题有错或答案有多意等），考生可以纠错评论反馈到管理后台；考生可查看个人提交的纠错试题情况，显示系统后台管理者对试题的修复状态。</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3、管理系统</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添加，及子管理员，支持管理员添加教师管理员（即子管理）协助管理试卷、题库和考生等，子管理员的权限由管理员授予。子管理员可按需求进行分组管理。▲该教学平台的总管理员后台可自行上传学校logo及学校名称。学校可自定义教学平台首页背景图，可对首页进行标识标题设置、展示内容设置、首页轮播图设置、首页广告设置、底部信息设置，如添加宣传标题、轮播图、广告图等</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4、统计分析</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考试分析，试卷进行分析、考生数据统计、部门考试统计、试题对、错题率统计、选项选择率分析</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个人分析，个人成绩报告、报告单</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部门分析，与其它部门对比、部门已考/缺考/参考率；</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（1）试卷提交成功后，试卷内全部客观题包括主观题在内的都可以自动出成绩（主观题也可以设置人工判分，填空题或问答题可设置按“关键词”进行自动评分（▲投标现场演示设置关键词评分功能）。</w:t>
            </w:r>
          </w:p>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auto"/>
                <w:kern w:val="0"/>
                <w:sz w:val="21"/>
                <w:szCs w:val="21"/>
                <w:vertAlign w:val="baseline"/>
                <w:lang w:val="en-US" w:eastAsia="zh-CN" w:bidi="zh-CN"/>
              </w:rPr>
            </w:pPr>
            <w:r>
              <w:rPr>
                <w:rFonts w:hint="eastAsia" w:ascii="宋体" w:hAnsi="宋体" w:eastAsia="宋体" w:cs="宋体"/>
                <w:b w:val="0"/>
                <w:bCs w:val="0"/>
                <w:color w:val="auto"/>
                <w:kern w:val="0"/>
                <w:sz w:val="21"/>
                <w:szCs w:val="21"/>
                <w:lang w:val="en-US" w:eastAsia="zh-CN" w:bidi="zh-CN"/>
              </w:rPr>
              <w:t>（2）▲断电继续考试功能，考试进行过程遇突发情况终止了考试，如断电、断网、电脑死机等故障，可以重新登入，进入断电续考，恢复考试（考生答卷自动保存在服务器），考生可继续做答。（▲投标现场演示断电继续考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教学一体机</w:t>
            </w:r>
          </w:p>
        </w:tc>
        <w:tc>
          <w:tcPr>
            <w:tcW w:w="11091" w:type="dxa"/>
            <w:vAlign w:val="center"/>
          </w:tcPr>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一、整体设计</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1.▲整机屏幕采用75英寸 UHD超高清LED 液晶屏，显示比例16:9，具备防眩光效果。</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2.▲屏幕图像分辨率达3840*2160。（提供加盖了供应商公章的经第三方检测机构出具的检测报告复印件）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3.采用红外触控技术，支持在Windows系统中进行20点或以上触控。支持在Android系统中进行10点或以上触控。（提供加盖了供应商公章的经第三方检测机构出具的检测报告复印件）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4.具备≧1路VGA；≧1路Audio；≧1路AV；≧1路YPbPr；≧2路HDMI2.0；≧1路Android USB；≧1路RS232；≧1路RJ45；≧1路RF信号输入接口。（提供加盖了供应商公章的经第三方检测机构出具的检测报告复印件）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二、主要功能</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1.▲智能护眼功能：整机具有减滤蓝光功能，可通过前置物理功能按键一键启用减滤蓝光模式。（提供加盖了供应商公章的经第三方检测机构出具的检测报告复印件）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2.▲智能微课录制：设备支持通过前置物理按键一键启动录屏功能，可将屏幕中显示的课件、音频内容与老师人声同时录制。（提供加盖了供应商公章的经第三方检测机构出具的检测报告复印件）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3.▲快捷PPT调整：整机支持机身前置物理按键一键切换画面显示比例（4：3与16:9），可对不同页面比例的PPT课件实现全屏展示。（提供加盖了供应商公章的经第三方检测机构出具的检测报告复印件）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4.▲资源调取：整机内置非独立外扩展的摄像头，支持二维码扫码识别，可拍摄不低于500万像素的照片。（提供加盖了供应商公章的经第三方检测机构出具的检测报告复印件）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5.无线联网：整机内置无线网络模块，无任何外接、转接天线及网卡可实现正常网络连接。（提供加盖了供应商公章的经第三方检测机构出具的检测报告复印件）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外接设备：外接电脑连接整机且触摸信号联通时，外接电脑可直接读取整机前置USB接口的移动存储设备数据，连接整机前置USB接口的翻页笔和无线键鼠可直接使用于外接电脑。（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7.▲前置接口：前置USB接口支持一根USB线连接外接电脑设备，实现试音、视频和触摸回传，方便教师外接笔记本电脑。（提供加盖了供应商公章的经第三方检测机构出具的检测报告复印件）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三、电脑配置</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1、▲采用抽拉内置式模块化电脑，抽拉内置式，PC模块可插入整机，可实现无单独接线的插拔。采用120pin或以上接口。（提供加盖了供应商公章的经第三方检测机构出具的检测报告复印件）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2、▲采用按压式卡扣方式，无需工具即可快速拆卸电脑模块。（提供加盖了供应商公章的经第三方检测机构出具的检测报告复印件）</w:t>
            </w:r>
          </w:p>
          <w:p>
            <w:pPr>
              <w:keepNext w:val="0"/>
              <w:keepLines w:val="0"/>
              <w:suppressLineNumbers w:val="0"/>
              <w:bidi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3、具有独立非外扩展的电脑USB接口：电脑上至少具备4个USB3.0 TypeA接口，1个USB TypeC接口（支持TypeC接口的U盘插入使用）。</w:t>
            </w:r>
          </w:p>
          <w:p>
            <w:pPr>
              <w:keepNext w:val="0"/>
              <w:keepLines w:val="0"/>
              <w:suppressLineNumbers w:val="0"/>
              <w:bidi w:val="0"/>
              <w:spacing w:before="0" w:beforeAutospacing="0" w:after="0" w:afterAutospacing="0"/>
              <w:ind w:left="0" w:right="0"/>
              <w:rPr>
                <w:rFonts w:hint="eastAsia" w:ascii="宋体" w:hAnsi="宋体" w:eastAsia="宋体" w:cs="宋体"/>
                <w:b/>
                <w:bCs/>
                <w:color w:val="auto"/>
                <w:kern w:val="0"/>
                <w:sz w:val="21"/>
                <w:szCs w:val="21"/>
                <w:vertAlign w:val="baseline"/>
                <w:lang w:val="en-US" w:eastAsia="zh-CN" w:bidi="zh-CN"/>
              </w:rPr>
            </w:pPr>
            <w:r>
              <w:rPr>
                <w:rFonts w:hint="eastAsia" w:ascii="宋体" w:hAnsi="宋体" w:eastAsia="宋体" w:cs="宋体"/>
                <w:sz w:val="21"/>
                <w:szCs w:val="21"/>
                <w:lang w:val="en-US" w:eastAsia="zh-CN"/>
              </w:rPr>
              <w:t>4、主板采用H310芯片组，搭载Intel 8代酷睿系列 i3 CPU；内存：4GB DDR4笔记本内存或以上配置；硬盘：128GB或以上SSD固态硬盘。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工具柜</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尺寸：1200*1800*45mm，主要用于工具及零件的储存。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工具车</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主要用于工具及零件的储存。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操作台塑料垫</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1000*600*2mm塑料软垫，配合操作台使用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操作台</w:t>
            </w:r>
          </w:p>
        </w:tc>
        <w:tc>
          <w:tcPr>
            <w:tcW w:w="11091" w:type="dxa"/>
            <w:vAlign w:val="center"/>
          </w:tcPr>
          <w:p>
            <w:pPr>
              <w:pStyle w:val="6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钢结构1000*600*800mm，实木台板、工作台坚固的工作框架，能使工作台面承载更重的物品；工作台表面洁净耐磨，防止作业时受撞击受损；工作台坚固的结构设计和特殊的表面处理，能适应较复杂的工作环境；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732"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kern w:val="0"/>
                <w:sz w:val="21"/>
                <w:szCs w:val="21"/>
              </w:rPr>
              <w:t>多功能一体机</w:t>
            </w:r>
          </w:p>
        </w:tc>
        <w:tc>
          <w:tcPr>
            <w:tcW w:w="11091" w:type="dxa"/>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高速双面黑白打印，自动双面，速度30ppm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73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技能高考理论考核训练题库</w:t>
            </w:r>
          </w:p>
        </w:tc>
        <w:tc>
          <w:tcPr>
            <w:tcW w:w="11091" w:type="dxa"/>
            <w:vAlign w:val="center"/>
          </w:tcPr>
          <w:p>
            <w:pPr>
              <w:pStyle w:val="66"/>
              <w:keepNext w:val="0"/>
              <w:keepLines w:val="0"/>
              <w:pageBreakBefore w:val="0"/>
              <w:widowControl w:val="0"/>
              <w:suppressLineNumbers w:val="0"/>
              <w:tabs>
                <w:tab w:val="left" w:pos="5940"/>
              </w:tabs>
              <w:kinsoku/>
              <w:wordWrap/>
              <w:overflowPunct/>
              <w:topLinePunct w:val="0"/>
              <w:autoSpaceDE w:val="0"/>
              <w:autoSpaceDN w:val="0"/>
              <w:bidi w:val="0"/>
              <w:adjustRightInd/>
              <w:snapToGrid/>
              <w:spacing w:before="0" w:beforeAutospacing="0" w:afterAutospacing="0"/>
              <w:ind w:left="0" w:leftChars="0" w:right="0" w:firstLine="0" w:firstLineChars="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汽车维修类技能专业知识考试系统是依照《普通高等学校招收中等职业学校毕业生技能高考汽车维修类技能考试大纲》的专业知识考试内容，在专家组的指导下进行设计开发而成的。收集历年来的高考考题以及各大院校的模拟考题作为题库资源，题库已经包含1500多道题及4500道汽车传统实训题及新能源实训题。习题库支持老师自己添加，可采用批量导入、单个添加2种方式添加习题，习题类型分为单选题、多选题、判断题、多项选择题等。</w:t>
            </w:r>
          </w:p>
        </w:tc>
      </w:tr>
    </w:tbl>
    <w:p>
      <w:pPr>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4"/>
        <w:numPr>
          <w:ilvl w:val="0"/>
          <w:numId w:val="0"/>
        </w:numPr>
        <w:ind w:firstLine="2200" w:firstLineChars="500"/>
        <w:jc w:val="both"/>
        <w:rPr>
          <w:rFonts w:asciiTheme="minorEastAsia" w:hAnsiTheme="minorEastAsia" w:eastAsiaTheme="minorEastAsia" w:cstheme="minorEastAsia"/>
        </w:rPr>
      </w:pPr>
      <w:bookmarkStart w:id="26" w:name="_Toc32628"/>
      <w:r>
        <w:rPr>
          <w:rFonts w:hint="eastAsia" w:asciiTheme="minorEastAsia" w:hAnsiTheme="minorEastAsia" w:eastAsiaTheme="minorEastAsia" w:cstheme="minorEastAsia"/>
          <w:lang w:val="en-US" w:eastAsia="zh-CN"/>
        </w:rPr>
        <w:t xml:space="preserve">第四章  </w:t>
      </w:r>
      <w:r>
        <w:rPr>
          <w:rFonts w:hint="eastAsia" w:asciiTheme="minorEastAsia" w:hAnsiTheme="minorEastAsia" w:eastAsiaTheme="minorEastAsia" w:cstheme="minorEastAsia"/>
        </w:rPr>
        <w:t>评审办法及评分标准</w:t>
      </w:r>
      <w:bookmarkEnd w:id="8"/>
      <w:bookmarkEnd w:id="26"/>
    </w:p>
    <w:p>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一、评审方法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本次评审采用综合评分法。其中商务服务、技术、价格分值权重详见本章节“</w:t>
      </w:r>
      <w:r>
        <w:rPr>
          <w:rFonts w:hint="eastAsia" w:asciiTheme="minorEastAsia" w:hAnsiTheme="minorEastAsia" w:eastAsiaTheme="minorEastAsia" w:cstheme="minorEastAsia"/>
          <w:b/>
          <w:sz w:val="24"/>
        </w:rPr>
        <w:t>三、评审因素及评分标准</w:t>
      </w:r>
      <w:r>
        <w:rPr>
          <w:rFonts w:hint="eastAsia" w:asciiTheme="minorEastAsia" w:hAnsiTheme="minorEastAsia" w:eastAsiaTheme="minorEastAsia" w:cstheme="minorEastAsia"/>
          <w:sz w:val="24"/>
        </w:rPr>
        <w:t>”的具体内容。</w:t>
      </w:r>
    </w:p>
    <w:p>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二、评审步骤</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磋商小组对响应文件的评审分为资格性符合性检查、商务服务评议和价格评议；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（一）资格性和符合性检查表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磋商小组验证各供应商代表或委托授权人的身份。供应商代表或委托授权人身份与响应文件不符的、响应文件未按要求加盖印章和签字的，磋商小组有权拒绝该供应商参加磋商。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（二）商务服务评议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磋商小组依据“商务服务评分表”中的分值及标准进行评分。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（三）技术评议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磋商小组依据“服务评分表”中的分值及标准进行评分。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（四）价格评议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价格分采用低价优先法计算，即满足磋商文件要求且最后报价最低的供应商的价格为磋商基准价，其价格分为满分。其他供应商的价格分统一按照下列公式计算：</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磋商报价得分=（磋商基准价/最后磋商报价）×价格权值×100</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（五）推荐成交候选供应商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spacing w:line="360" w:lineRule="auto"/>
        <w:ind w:firstLine="480" w:firstLineChars="200"/>
        <w:rPr>
          <w:rFonts w:hint="eastAsia" w:asciiTheme="minorEastAsia" w:hAnsiTheme="minorEastAsia" w:eastAsiaTheme="minorEastAsia" w:cstheme="minorEastAsia"/>
          <w:b/>
          <w:sz w:val="24"/>
        </w:rPr>
      </w:pPr>
    </w:p>
    <w:p>
      <w:pPr>
        <w:spacing w:line="360" w:lineRule="auto"/>
        <w:ind w:firstLine="480" w:firstLineChars="200"/>
        <w:rPr>
          <w:rFonts w:hint="eastAsia" w:asciiTheme="minorEastAsia" w:hAnsiTheme="minorEastAsia" w:eastAsiaTheme="minorEastAsia" w:cstheme="minorEastAsia"/>
          <w:b/>
          <w:sz w:val="24"/>
        </w:rPr>
      </w:pPr>
    </w:p>
    <w:p>
      <w:pPr>
        <w:spacing w:line="360" w:lineRule="auto"/>
        <w:ind w:firstLine="480" w:firstLineChars="200"/>
        <w:rPr>
          <w:rFonts w:hint="eastAsia" w:asciiTheme="minorEastAsia" w:hAnsiTheme="minorEastAsia" w:eastAsiaTheme="minorEastAsia" w:cstheme="minorEastAsia"/>
          <w:b/>
          <w:sz w:val="24"/>
        </w:rPr>
      </w:pPr>
    </w:p>
    <w:p>
      <w:pPr>
        <w:spacing w:line="360" w:lineRule="auto"/>
        <w:ind w:firstLine="480" w:firstLineChars="200"/>
        <w:rPr>
          <w:rFonts w:hint="eastAsia" w:asciiTheme="minorEastAsia" w:hAnsiTheme="minorEastAsia" w:eastAsiaTheme="minorEastAsia" w:cstheme="minorEastAsia"/>
          <w:b/>
          <w:sz w:val="24"/>
        </w:rPr>
      </w:pPr>
    </w:p>
    <w:p>
      <w:pPr>
        <w:spacing w:line="360" w:lineRule="auto"/>
        <w:ind w:firstLine="480" w:firstLineChars="200"/>
        <w:rPr>
          <w:rFonts w:hint="eastAsia" w:asciiTheme="minorEastAsia" w:hAnsiTheme="minorEastAsia" w:eastAsiaTheme="minorEastAsia" w:cstheme="minorEastAsia"/>
          <w:b/>
          <w:sz w:val="24"/>
        </w:rPr>
      </w:pPr>
    </w:p>
    <w:p>
      <w:pPr>
        <w:spacing w:line="360" w:lineRule="auto"/>
        <w:ind w:firstLine="480" w:firstLineChars="200"/>
        <w:rPr>
          <w:rFonts w:hint="eastAsia" w:asciiTheme="minorEastAsia" w:hAnsiTheme="minorEastAsia" w:eastAsiaTheme="minorEastAsia" w:cstheme="minorEastAsia"/>
          <w:b/>
          <w:sz w:val="24"/>
        </w:rPr>
      </w:pPr>
    </w:p>
    <w:p>
      <w:pPr>
        <w:spacing w:line="360" w:lineRule="auto"/>
        <w:ind w:firstLine="480" w:firstLineChars="200"/>
        <w:rPr>
          <w:rFonts w:hint="eastAsia" w:asciiTheme="minorEastAsia" w:hAnsiTheme="minorEastAsia" w:eastAsiaTheme="minorEastAsia" w:cstheme="minorEastAsia"/>
          <w:b/>
          <w:sz w:val="24"/>
        </w:rPr>
      </w:pPr>
    </w:p>
    <w:p>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三、评审因素及评分标准</w:t>
      </w:r>
    </w:p>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（一）资格性和符合性检查表</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38"/>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77" w:leftChars="-37" w:right="-86" w:rightChars="-41"/>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6238" w:type="dxa"/>
          </w:tcPr>
          <w:p>
            <w:pPr>
              <w:keepNext w:val="0"/>
              <w:keepLines w:val="0"/>
              <w:suppressLineNumbers w:val="0"/>
              <w:spacing w:before="0" w:beforeAutospacing="0" w:after="0" w:afterAutospacing="0" w:line="240" w:lineRule="atLeast"/>
              <w:ind w:left="-77" w:leftChars="-37" w:right="-86" w:rightChars="-41"/>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rPr>
              <w:t>资格性检查内容</w:t>
            </w:r>
          </w:p>
        </w:tc>
        <w:tc>
          <w:tcPr>
            <w:tcW w:w="1467" w:type="dxa"/>
          </w:tcPr>
          <w:p>
            <w:pPr>
              <w:keepNext w:val="0"/>
              <w:keepLines w:val="0"/>
              <w:suppressLineNumbers w:val="0"/>
              <w:spacing w:before="0" w:beforeAutospacing="0" w:after="0" w:afterAutospacing="0" w:line="240" w:lineRule="atLeast"/>
              <w:ind w:left="-77" w:leftChars="-37" w:right="-86" w:rightChars="-41"/>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法人或者其他组织的营业执照等证明文件，自然人的身份证明；</w:t>
            </w:r>
          </w:p>
        </w:tc>
        <w:tc>
          <w:tcPr>
            <w:tcW w:w="1467" w:type="dxa"/>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财务状况报告，依法缴纳税收和社会保障资金的相关材料；</w:t>
            </w:r>
          </w:p>
        </w:tc>
        <w:tc>
          <w:tcPr>
            <w:tcW w:w="1467" w:type="dxa"/>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具备履行合同所必需的设备和专业技术能力的证明材料；</w:t>
            </w:r>
          </w:p>
        </w:tc>
        <w:tc>
          <w:tcPr>
            <w:tcW w:w="1467" w:type="dxa"/>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参加政府采购活动前3年内在经营活动中没有重大违法记录的书面声明；</w:t>
            </w:r>
          </w:p>
        </w:tc>
        <w:tc>
          <w:tcPr>
            <w:tcW w:w="1467" w:type="dxa"/>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具备法律、行政法规规定的其他条件的证明材料；</w:t>
            </w:r>
          </w:p>
        </w:tc>
        <w:tc>
          <w:tcPr>
            <w:tcW w:w="1467" w:type="dxa"/>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未被“信用中国”网站(www.creditchina.gov.cn)、“中国政府采购网”(www.ccgp.gov.cn)列入失信被执行人、重大税收违法案件当事人名单、政府采购严重违法失信行为记录名单”；</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本项目不接受联合体形式的投标；</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bCs/>
                <w:sz w:val="24"/>
              </w:rPr>
            </w:pPr>
            <w:r>
              <w:rPr>
                <w:rFonts w:hint="default" w:ascii="宋体" w:hAnsi="宋体" w:cs="宋体"/>
                <w:sz w:val="24"/>
                <w:szCs w:val="24"/>
              </w:rPr>
              <w:t>磋商文件第一章“供应商资格要求”中有特殊要求的，供应商应提供其符合特殊要求的证明材料或者情况说明；</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77" w:leftChars="-37" w:right="-86" w:rightChars="-41"/>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6238" w:type="dxa"/>
          </w:tcPr>
          <w:p>
            <w:pPr>
              <w:keepNext w:val="0"/>
              <w:keepLines w:val="0"/>
              <w:suppressLineNumbers w:val="0"/>
              <w:spacing w:before="0" w:beforeAutospacing="0" w:after="0" w:afterAutospacing="0" w:line="240" w:lineRule="atLeast"/>
              <w:ind w:left="-77" w:leftChars="-37" w:right="-86" w:rightChars="-41"/>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rPr>
              <w:t>符合性检查内容</w:t>
            </w:r>
          </w:p>
        </w:tc>
        <w:tc>
          <w:tcPr>
            <w:tcW w:w="1467" w:type="dxa"/>
          </w:tcPr>
          <w:p>
            <w:pPr>
              <w:keepNext w:val="0"/>
              <w:keepLines w:val="0"/>
              <w:suppressLineNumbers w:val="0"/>
              <w:spacing w:before="0" w:beforeAutospacing="0" w:after="0" w:afterAutospacing="0" w:line="240" w:lineRule="atLeast"/>
              <w:ind w:left="-77" w:leftChars="-37" w:right="-86" w:rightChars="-41"/>
              <w:jc w:val="center"/>
              <w:rPr>
                <w:rFonts w:hint="default" w:asciiTheme="minorEastAsia" w:hAnsiTheme="minorEastAsia" w:eastAsiaTheme="minorEastAsia" w:cstheme="minorEastAsia"/>
                <w:b/>
                <w:sz w:val="24"/>
              </w:rPr>
            </w:pPr>
            <w:r>
              <w:rPr>
                <w:rFonts w:hint="eastAsia" w:asciiTheme="minorEastAsia" w:hAnsiTheme="minorEastAsia" w:eastAsiaTheme="minorEastAsia" w:cstheme="minorEastAsia"/>
                <w:b/>
                <w:sz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响应文件有效期不足的；</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bCs/>
                <w:sz w:val="24"/>
              </w:rPr>
              <w:t>供应商代表或委托授权人身份</w:t>
            </w:r>
            <w:r>
              <w:rPr>
                <w:rFonts w:hint="eastAsia" w:asciiTheme="minorEastAsia" w:hAnsiTheme="minorEastAsia" w:eastAsiaTheme="minorEastAsia" w:cstheme="minorEastAsia"/>
                <w:sz w:val="24"/>
              </w:rPr>
              <w:t>与响应文件中的法定代表人授权书或相关证明文件不符的；供应商授权代表无法定代表人有效授权的；</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响应文件未按要求加盖印章和签字的；</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不符合磋商文件技术服务、商务要求中</w:t>
            </w:r>
            <w:r>
              <w:rPr>
                <w:rFonts w:hint="eastAsia" w:ascii="宋体" w:hAnsi="宋体" w:eastAsia="宋体" w:cs="宋体"/>
                <w:sz w:val="21"/>
                <w:szCs w:val="21"/>
                <w:lang w:val="en-US" w:eastAsia="zh-CN"/>
              </w:rPr>
              <w:t>▲</w:t>
            </w:r>
            <w:r>
              <w:rPr>
                <w:rFonts w:hint="eastAsia" w:asciiTheme="minorEastAsia" w:hAnsiTheme="minorEastAsia" w:eastAsiaTheme="minorEastAsia" w:cstheme="minorEastAsia"/>
                <w:sz w:val="24"/>
              </w:rPr>
              <w:t>号条款的；</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与采购人和集中采购机构没有任何隶属关系或其他利害关系的书面声明；</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符合磋商文件第二章“磋商须知”中38条中规定情形，以分公司形式参与投标的，法定代表人授权书未由总公司法定代表人签字（签章）并加盖公章的；</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未按要求提供磋商文件第二章“十二、其他注意事项”中规定的书面声明的；</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6238" w:type="dxa"/>
          </w:tcPr>
          <w:p>
            <w:pPr>
              <w:keepNext w:val="0"/>
              <w:keepLines w:val="0"/>
              <w:suppressLineNumbers w:val="0"/>
              <w:spacing w:before="0" w:beforeAutospacing="0" w:after="0" w:afterAutospacing="0" w:line="240" w:lineRule="atLeast"/>
              <w:ind w:left="0" w:right="0"/>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法律、法规和磋商文件规定的其他无效情形。</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240" w:lineRule="atLeast"/>
              <w:ind w:left="0" w:right="0"/>
              <w:jc w:val="center"/>
              <w:rPr>
                <w:rFonts w:hint="eastAsia" w:asciiTheme="minorEastAsia" w:hAnsiTheme="minorEastAsia" w:eastAsiaTheme="minorEastAsia" w:cstheme="minorEastAsia"/>
                <w:sz w:val="24"/>
              </w:rPr>
            </w:pPr>
          </w:p>
        </w:tc>
        <w:tc>
          <w:tcPr>
            <w:tcW w:w="6238" w:type="dxa"/>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rPr>
            </w:pPr>
            <w:r>
              <w:rPr>
                <w:rFonts w:hint="default" w:ascii="CIDFont" w:hAnsi="CIDFont" w:eastAsia="CIDFont" w:cs="CIDFont"/>
                <w:b/>
                <w:bCs/>
                <w:color w:val="000000"/>
                <w:kern w:val="0"/>
                <w:sz w:val="21"/>
                <w:szCs w:val="21"/>
                <w:lang w:val="en-US" w:eastAsia="zh-CN" w:bidi="ar"/>
              </w:rPr>
              <w:t>供应商出现上列情形之一的情况将被视作无效响应</w:t>
            </w:r>
          </w:p>
        </w:tc>
        <w:tc>
          <w:tcPr>
            <w:tcW w:w="1467" w:type="dxa"/>
          </w:tcPr>
          <w:p>
            <w:pPr>
              <w:keepNext w:val="0"/>
              <w:keepLines w:val="0"/>
              <w:suppressLineNumbers w:val="0"/>
              <w:spacing w:before="0" w:beforeAutospacing="0" w:after="0" w:afterAutospacing="0" w:line="240" w:lineRule="atLeast"/>
              <w:ind w:left="0" w:right="0"/>
              <w:jc w:val="left"/>
              <w:rPr>
                <w:rFonts w:hint="default" w:asciiTheme="minorEastAsia" w:hAnsiTheme="minorEastAsia" w:eastAsiaTheme="minorEastAsia" w:cstheme="minorEastAsia"/>
                <w:sz w:val="24"/>
              </w:rPr>
            </w:pPr>
          </w:p>
        </w:tc>
      </w:tr>
    </w:tbl>
    <w:p>
      <w:pPr>
        <w:pStyle w:val="3"/>
        <w:tabs>
          <w:tab w:val="left" w:pos="600"/>
        </w:tabs>
        <w:spacing w:line="400" w:lineRule="exact"/>
        <w:ind w:firstLine="3561" w:firstLineChars="1484"/>
        <w:rPr>
          <w:rFonts w:ascii="宋体" w:hAnsi="宋体" w:eastAsia="宋体" w:cs="宋体"/>
          <w:b/>
          <w:bCs/>
        </w:rPr>
      </w:pPr>
      <w:r>
        <w:rPr>
          <w:rFonts w:hint="eastAsia" w:ascii="宋体" w:hAnsi="宋体" w:eastAsia="宋体" w:cs="宋体"/>
          <w:b/>
          <w:bCs/>
          <w:sz w:val="24"/>
          <w:szCs w:val="24"/>
        </w:rPr>
        <w:t>综合评分明细表</w:t>
      </w:r>
    </w:p>
    <w:tbl>
      <w:tblPr>
        <w:tblStyle w:val="23"/>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180"/>
        <w:gridCol w:w="594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评审</w:t>
            </w:r>
          </w:p>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因素</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评审</w:t>
            </w:r>
          </w:p>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评分标准及细则</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乘权重后分值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报价</w:t>
            </w:r>
          </w:p>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部分</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价格</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zh-CN" w:eastAsia="zh-CN"/>
              </w:rPr>
              <w:t>所有投标人有效</w:t>
            </w:r>
            <w:r>
              <w:rPr>
                <w:rFonts w:hint="eastAsia" w:ascii="宋体" w:hAnsi="宋体" w:eastAsia="宋体" w:cs="宋体"/>
                <w:sz w:val="20"/>
                <w:szCs w:val="20"/>
                <w:vertAlign w:val="baseline"/>
                <w:lang w:val="en-US" w:eastAsia="zh-CN"/>
              </w:rPr>
              <w:t>最终</w:t>
            </w:r>
            <w:r>
              <w:rPr>
                <w:rFonts w:hint="eastAsia" w:ascii="宋体" w:hAnsi="宋体" w:eastAsia="宋体" w:cs="宋体"/>
                <w:sz w:val="20"/>
                <w:szCs w:val="20"/>
                <w:vertAlign w:val="baseline"/>
                <w:lang w:val="zh-CN" w:eastAsia="zh-CN"/>
              </w:rPr>
              <w:t>报价的最低价作为</w:t>
            </w:r>
            <w:r>
              <w:rPr>
                <w:rFonts w:hint="eastAsia" w:ascii="宋体" w:hAnsi="宋体" w:eastAsia="宋体" w:cs="宋体"/>
                <w:sz w:val="20"/>
                <w:szCs w:val="20"/>
                <w:vertAlign w:val="baseline"/>
                <w:lang w:val="en-US" w:eastAsia="zh-CN"/>
              </w:rPr>
              <w:t>磋商</w:t>
            </w:r>
            <w:r>
              <w:rPr>
                <w:rFonts w:hint="eastAsia" w:ascii="宋体" w:hAnsi="宋体" w:eastAsia="宋体" w:cs="宋体"/>
                <w:sz w:val="20"/>
                <w:szCs w:val="20"/>
                <w:vertAlign w:val="baseline"/>
                <w:lang w:val="zh-CN" w:eastAsia="zh-CN"/>
              </w:rPr>
              <w:t>基准价，按照下列公式计算其余投标人的磋商价格得分。公式：报价得分=(</w:t>
            </w:r>
            <w:r>
              <w:rPr>
                <w:rFonts w:hint="eastAsia" w:ascii="宋体" w:hAnsi="宋体" w:eastAsia="宋体" w:cs="宋体"/>
                <w:sz w:val="20"/>
                <w:szCs w:val="20"/>
                <w:vertAlign w:val="baseline"/>
                <w:lang w:val="en-US" w:eastAsia="zh-CN"/>
              </w:rPr>
              <w:t>磋商</w:t>
            </w:r>
            <w:r>
              <w:rPr>
                <w:rFonts w:hint="eastAsia" w:ascii="宋体" w:hAnsi="宋体" w:eastAsia="宋体" w:cs="宋体"/>
                <w:sz w:val="20"/>
                <w:szCs w:val="20"/>
                <w:vertAlign w:val="baseline"/>
                <w:lang w:val="zh-CN" w:eastAsia="zh-CN"/>
              </w:rPr>
              <w:t>基准价/最终报价)×3</w:t>
            </w:r>
            <w:r>
              <w:rPr>
                <w:rFonts w:hint="eastAsia" w:ascii="宋体" w:hAnsi="宋体" w:eastAsia="宋体" w:cs="宋体"/>
                <w:sz w:val="20"/>
                <w:szCs w:val="20"/>
                <w:vertAlign w:val="baseline"/>
                <w:lang w:val="en-US" w:eastAsia="zh-CN"/>
              </w:rPr>
              <w:t>0</w:t>
            </w:r>
            <w:r>
              <w:rPr>
                <w:rFonts w:hint="eastAsia" w:ascii="宋体" w:hAnsi="宋体" w:eastAsia="宋体" w:cs="宋体"/>
                <w:sz w:val="20"/>
                <w:szCs w:val="20"/>
                <w:vertAlign w:val="baseline"/>
                <w:lang w:val="zh-CN" w:eastAsia="zh-CN"/>
              </w:rPr>
              <w:t>（备注：最终报价超过预算价或恶意低价竞标的作无效标处理，不参与本项评分）。</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8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技术</w:t>
            </w:r>
          </w:p>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部分</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技术参数完整</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满足所有技术要求计30分。有任意一项负偏离或配置不详或技术参数不清或缺漏项的，每项扣2分，扣完为止；</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相关证明</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2"/>
              </w:rPr>
              <w:t>投标时</w:t>
            </w:r>
            <w:r>
              <w:rPr>
                <w:rFonts w:hint="eastAsia" w:ascii="宋体" w:hAnsi="宋体" w:eastAsia="宋体" w:cs="宋体"/>
                <w:sz w:val="20"/>
                <w:szCs w:val="22"/>
                <w:lang w:val="en-US" w:eastAsia="zh-CN"/>
              </w:rPr>
              <w:t>所投产品具备</w:t>
            </w:r>
            <w:r>
              <w:rPr>
                <w:rFonts w:hint="eastAsia" w:ascii="宋体" w:hAnsi="宋体" w:eastAsia="宋体" w:cs="宋体"/>
                <w:sz w:val="20"/>
                <w:szCs w:val="22"/>
              </w:rPr>
              <w:t>国家版权局颁发的《电控发动机拆装模拟教学实训软件》计算机软件著作权登记证书</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出示相关证书复印件加盖生产厂家公章</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得2分</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9"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118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现场演示</w:t>
            </w:r>
          </w:p>
        </w:tc>
        <w:tc>
          <w:tcPr>
            <w:tcW w:w="5946" w:type="dxa"/>
            <w:tcBorders>
              <w:top w:val="single" w:color="auto" w:sz="4" w:space="0"/>
              <w:left w:val="single" w:color="auto" w:sz="4" w:space="0"/>
              <w:right w:val="single" w:color="auto" w:sz="4" w:space="0"/>
            </w:tcBorders>
            <w:noWrap w:val="0"/>
            <w:vAlign w:val="center"/>
          </w:tcPr>
          <w:p>
            <w:pPr>
              <w:keepNext w:val="0"/>
              <w:keepLines w:val="0"/>
              <w:numPr>
                <w:ilvl w:val="0"/>
                <w:numId w:val="0"/>
              </w:numPr>
              <w:suppressLineNumbers w:val="0"/>
              <w:bidi w:val="0"/>
              <w:spacing w:before="0" w:beforeAutospacing="0" w:after="0" w:afterAutospacing="0"/>
              <w:ind w:left="0" w:leftChars="0" w:right="0" w:firstLine="0" w:firstLineChars="0"/>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1.指导视频演示流程必须包含：单人操作的主界面视频，部分操作的特写视频，指导视频演示中匹配相关的技术要点提示等。</w:t>
            </w:r>
          </w:p>
          <w:p>
            <w:pPr>
              <w:keepNext w:val="0"/>
              <w:keepLines w:val="0"/>
              <w:suppressLineNumbers w:val="0"/>
              <w:bidi w:val="0"/>
              <w:spacing w:before="0" w:beforeAutospacing="0" w:after="0" w:afterAutospacing="0"/>
              <w:ind w:left="0" w:right="0"/>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2.主界面视频必须演示：技能大赛指导流程一套，</w:t>
            </w:r>
          </w:p>
          <w:p>
            <w:pPr>
              <w:keepNext w:val="0"/>
              <w:keepLines w:val="0"/>
              <w:suppressLineNumbers w:val="0"/>
              <w:bidi w:val="0"/>
              <w:spacing w:before="0" w:beforeAutospacing="0" w:after="0" w:afterAutospacing="0"/>
              <w:ind w:left="0" w:right="0"/>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3.分界面视频必须演示：发动起气门机构的拆卸、检查、测量、装配</w:t>
            </w:r>
          </w:p>
          <w:p>
            <w:pPr>
              <w:keepNext w:val="0"/>
              <w:keepLines w:val="0"/>
              <w:suppressLineNumbers w:val="0"/>
              <w:bidi w:val="0"/>
              <w:spacing w:before="0" w:beforeAutospacing="0" w:after="0" w:afterAutospacing="0"/>
              <w:ind w:left="0" w:right="0"/>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4.试卷提交成功后，试卷内全部客观题包括主观题在内的都可以自动出成绩（主观题也可以设置人工判分，填空题或问答题可设置按“关键词”进行自动评分（▲投标现场演示设置关键词评分功能）。</w:t>
            </w:r>
          </w:p>
          <w:p>
            <w:pPr>
              <w:keepNext w:val="0"/>
              <w:keepLines w:val="0"/>
              <w:suppressLineNumbers w:val="0"/>
              <w:bidi w:val="0"/>
              <w:spacing w:before="0" w:beforeAutospacing="0" w:after="0" w:afterAutospacing="0"/>
              <w:ind w:left="0" w:right="0"/>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t>5.断电继续考试功能，考试进行过程遇突发情况终止了考试，如断电、断网、电脑死机等故障，可以重新登入，进入断电续考，恢复考试（考生答卷自动保存在服务器），考生可继续做答。（▲投标现场演示断电继续考试功能）</w:t>
            </w:r>
          </w:p>
          <w:p>
            <w:pPr>
              <w:keepNext w:val="0"/>
              <w:keepLines w:val="0"/>
              <w:suppressLineNumbers w:val="0"/>
              <w:bidi w:val="0"/>
              <w:spacing w:before="0" w:beforeAutospacing="0" w:after="0" w:afterAutospacing="0"/>
              <w:ind w:left="0" w:right="0"/>
              <w:rPr>
                <w:rFonts w:hint="default" w:ascii="宋体" w:hAnsi="宋体" w:eastAsia="宋体" w:cs="宋体"/>
                <w:sz w:val="20"/>
                <w:szCs w:val="22"/>
                <w:lang w:val="en-US" w:eastAsia="zh-CN"/>
              </w:rPr>
            </w:pPr>
            <w:r>
              <w:rPr>
                <w:rFonts w:hint="eastAsia" w:ascii="宋体" w:hAnsi="宋体" w:eastAsia="宋体" w:cs="宋体"/>
                <w:sz w:val="20"/>
                <w:szCs w:val="22"/>
                <w:lang w:val="en-US" w:eastAsia="zh-CN"/>
              </w:rPr>
              <w:t>每演示一项得2分，演示不符合技术参数或者不演示不得分（现场演示环节需为</w:t>
            </w:r>
            <w:r>
              <w:rPr>
                <w:rFonts w:hint="eastAsia" w:ascii="宋体" w:hAnsi="宋体" w:eastAsia="宋体" w:cs="宋体"/>
                <w:i w:val="0"/>
                <w:iCs w:val="0"/>
                <w:color w:val="auto"/>
                <w:kern w:val="0"/>
                <w:sz w:val="18"/>
                <w:szCs w:val="18"/>
                <w:u w:val="none"/>
                <w:lang w:val="en-US" w:eastAsia="zh-CN" w:bidi="ar"/>
              </w:rPr>
              <w:t>汽车教学仿真系统</w:t>
            </w:r>
            <w:r>
              <w:rPr>
                <w:rFonts w:hint="eastAsia" w:ascii="宋体" w:hAnsi="宋体" w:eastAsia="宋体" w:cs="宋体"/>
                <w:sz w:val="20"/>
                <w:szCs w:val="22"/>
                <w:lang w:val="en-US" w:eastAsia="zh-CN"/>
              </w:rPr>
              <w:t>实体演示，PPT或者图片演示为无效演示）。</w:t>
            </w:r>
          </w:p>
        </w:tc>
        <w:tc>
          <w:tcPr>
            <w:tcW w:w="87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8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商务</w:t>
            </w:r>
          </w:p>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部分</w:t>
            </w:r>
          </w:p>
        </w:tc>
        <w:tc>
          <w:tcPr>
            <w:tcW w:w="118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综合实力</w:t>
            </w:r>
          </w:p>
        </w:tc>
        <w:tc>
          <w:tcPr>
            <w:tcW w:w="5946" w:type="dxa"/>
            <w:tcBorders>
              <w:top w:val="single" w:color="auto" w:sz="4" w:space="0"/>
              <w:left w:val="single" w:color="auto" w:sz="4" w:space="0"/>
              <w:right w:val="single" w:color="auto" w:sz="4" w:space="0"/>
            </w:tcBorders>
            <w:noWrap w:val="0"/>
            <w:vAlign w:val="center"/>
          </w:tcPr>
          <w:p>
            <w:pPr>
              <w:keepNext w:val="0"/>
              <w:keepLines w:val="0"/>
              <w:suppressLineNumbers w:val="0"/>
              <w:bidi w:val="0"/>
              <w:spacing w:before="0" w:beforeAutospacing="0" w:after="0" w:afterAutospacing="0"/>
              <w:ind w:left="0" w:right="0"/>
              <w:rPr>
                <w:rFonts w:hint="default" w:ascii="宋体" w:hAnsi="宋体" w:eastAsia="宋体" w:cs="宋体"/>
                <w:sz w:val="20"/>
                <w:szCs w:val="22"/>
                <w:lang w:val="en-US" w:eastAsia="zh-CN"/>
              </w:rPr>
            </w:pPr>
            <w:r>
              <w:rPr>
                <w:rFonts w:hint="eastAsia" w:ascii="宋体" w:hAnsi="宋体" w:eastAsia="宋体" w:cs="宋体"/>
                <w:sz w:val="20"/>
                <w:szCs w:val="22"/>
                <w:lang w:val="en-US" w:eastAsia="zh-CN"/>
              </w:rPr>
              <w:t>投标人具有AAA级企业信用等级证书、AAA级诚信供应商证书、AAA级诚信经营示范单位，每提供一项材料齐全且证书有效的得1分，材料不全、证书无效或未提供的不得分；本项最高得3分</w:t>
            </w:r>
          </w:p>
        </w:tc>
        <w:tc>
          <w:tcPr>
            <w:tcW w:w="8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rPr>
            </w:pPr>
          </w:p>
        </w:tc>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rPr>
            </w:pPr>
          </w:p>
        </w:tc>
        <w:tc>
          <w:tcPr>
            <w:tcW w:w="5946" w:type="dxa"/>
            <w:tcBorders>
              <w:top w:val="single" w:color="auto" w:sz="4" w:space="0"/>
              <w:left w:val="single" w:color="auto" w:sz="4" w:space="0"/>
              <w:right w:val="single" w:color="auto" w:sz="4" w:space="0"/>
            </w:tcBorders>
            <w:noWrap w:val="0"/>
            <w:vAlign w:val="center"/>
          </w:tcPr>
          <w:p>
            <w:pPr>
              <w:keepNext w:val="0"/>
              <w:keepLines w:val="0"/>
              <w:suppressLineNumbers w:val="0"/>
              <w:bidi w:val="0"/>
              <w:spacing w:before="0" w:beforeAutospacing="0" w:after="0" w:afterAutospacing="0"/>
              <w:ind w:left="0" w:right="0"/>
              <w:rPr>
                <w:rFonts w:hint="eastAsia" w:ascii="宋体" w:hAnsi="宋体" w:eastAsia="宋体" w:cs="宋体"/>
                <w:sz w:val="20"/>
                <w:szCs w:val="22"/>
                <w:lang w:val="en-US" w:eastAsia="zh-CN"/>
              </w:rPr>
            </w:pPr>
            <w:r>
              <w:rPr>
                <w:rFonts w:hint="eastAsia" w:ascii="宋体" w:hAnsi="宋体" w:eastAsia="宋体" w:cs="宋体"/>
                <w:sz w:val="20"/>
                <w:szCs w:val="22"/>
                <w:lang w:val="zh-CN" w:eastAsia="zh-CN"/>
              </w:rPr>
              <w:t>投标企业或生产厂家具备“ISO9001质量管理体系认证证书、ISO14001环境管理体系认证证书、GB/T28001职业健康安全管理体系认证证书”且在有效期内得</w:t>
            </w:r>
            <w:r>
              <w:rPr>
                <w:rFonts w:hint="eastAsia" w:ascii="宋体" w:hAnsi="宋体" w:eastAsia="宋体" w:cs="宋体"/>
                <w:sz w:val="20"/>
                <w:szCs w:val="22"/>
                <w:lang w:val="en-US" w:eastAsia="zh-CN"/>
              </w:rPr>
              <w:t>3</w:t>
            </w:r>
            <w:r>
              <w:rPr>
                <w:rFonts w:hint="eastAsia" w:ascii="宋体" w:hAnsi="宋体" w:eastAsia="宋体" w:cs="宋体"/>
                <w:sz w:val="20"/>
                <w:szCs w:val="22"/>
                <w:lang w:val="zh-CN" w:eastAsia="zh-CN"/>
              </w:rPr>
              <w:t>分，提供不全或未提供不得分。</w:t>
            </w:r>
            <w:r>
              <w:rPr>
                <w:rFonts w:hint="eastAsia" w:ascii="宋体" w:hAnsi="宋体" w:eastAsia="宋体" w:cs="宋体"/>
                <w:sz w:val="20"/>
                <w:szCs w:val="22"/>
                <w:lang w:val="en-US" w:eastAsia="zh-CN"/>
              </w:rPr>
              <w:t>本项最高得3分</w:t>
            </w:r>
          </w:p>
        </w:tc>
        <w:tc>
          <w:tcPr>
            <w:tcW w:w="87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p>
        </w:tc>
        <w:tc>
          <w:tcPr>
            <w:tcW w:w="118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p>
        </w:tc>
        <w:tc>
          <w:tcPr>
            <w:tcW w:w="594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为保证本项目售后服务专业且规范，服务投标人具有五星级售后服务认证证书，提供材料齐全且证书有效的得2分，材料不全、证书无效或未提供的不得分；售后人员参加国标《商品售后服务评价体系》的培训，且需提供考核合格证明，每提供一个得1分，未提供的不得分；本项最高得4分。</w:t>
            </w:r>
          </w:p>
        </w:tc>
        <w:tc>
          <w:tcPr>
            <w:tcW w:w="87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1180"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企业业绩 </w:t>
            </w:r>
          </w:p>
          <w:p>
            <w:pPr>
              <w:keepNext w:val="0"/>
              <w:keepLines w:val="0"/>
              <w:widowControl/>
              <w:suppressLineNumbers w:val="0"/>
              <w:spacing w:before="0" w:beforeAutospacing="0" w:after="0" w:afterAutospacing="0"/>
              <w:ind w:left="0" w:right="0"/>
              <w:jc w:val="left"/>
              <w:rPr>
                <w:rFonts w:hint="default"/>
              </w:rPr>
            </w:pPr>
            <w:r>
              <w:rPr>
                <w:rFonts w:hint="eastAsia" w:ascii="宋体" w:hAnsi="宋体" w:eastAsia="宋体" w:cs="宋体"/>
                <w:color w:val="000000"/>
                <w:kern w:val="0"/>
                <w:sz w:val="20"/>
                <w:szCs w:val="20"/>
                <w:lang w:val="en-US" w:eastAsia="zh-CN" w:bidi="ar"/>
              </w:rPr>
              <w:t xml:space="preserve">及客户评 </w:t>
            </w:r>
          </w:p>
          <w:p>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价</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投标人提供自2018年1月1日以来的类似业绩复印件加盖公章（提供案例的需提供中标通知书以及合同的关键页复印件并加盖公章）,每提供1个得1分，最高得5分。</w:t>
            </w:r>
          </w:p>
        </w:tc>
        <w:tc>
          <w:tcPr>
            <w:tcW w:w="8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118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color w:val="000000"/>
                <w:kern w:val="0"/>
                <w:sz w:val="20"/>
                <w:szCs w:val="20"/>
                <w:lang w:val="en-US" w:eastAsia="zh-CN" w:bidi="ar"/>
              </w:rPr>
              <w:t xml:space="preserve">投标人提供供货服务客户好评证明材料，证明材料能反映出客户对其服务质量为好评的，每有 </w:t>
            </w:r>
            <w:r>
              <w:rPr>
                <w:rFonts w:hint="default" w:ascii="Times New Roman" w:hAnsi="Times New Roman" w:eastAsia="宋体" w:cs="Times New Roman"/>
                <w:color w:val="000000"/>
                <w:kern w:val="0"/>
                <w:sz w:val="20"/>
                <w:szCs w:val="20"/>
                <w:lang w:val="en-US" w:eastAsia="zh-CN" w:bidi="ar"/>
              </w:rPr>
              <w:t xml:space="preserve">1 </w:t>
            </w:r>
            <w:r>
              <w:rPr>
                <w:rFonts w:hint="eastAsia" w:ascii="宋体" w:hAnsi="宋体" w:eastAsia="宋体" w:cs="宋体"/>
                <w:color w:val="000000"/>
                <w:kern w:val="0"/>
                <w:sz w:val="20"/>
                <w:szCs w:val="20"/>
                <w:lang w:val="en-US" w:eastAsia="zh-CN" w:bidi="ar"/>
              </w:rPr>
              <w:t>个客户好评，得1分，最多得3分</w:t>
            </w:r>
          </w:p>
        </w:tc>
        <w:tc>
          <w:tcPr>
            <w:tcW w:w="8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r>
              <w:rPr>
                <w:rFonts w:hint="eastAsia" w:ascii="宋体" w:hAnsi="宋体" w:eastAsia="宋体" w:cs="宋体"/>
                <w:sz w:val="18"/>
                <w:szCs w:val="18"/>
                <w:lang w:val="en-US" w:eastAsia="zh-CN"/>
              </w:rPr>
              <w:t>培训资质</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2"/>
                <w:lang w:val="en-US" w:eastAsia="zh-CN"/>
              </w:rPr>
              <w:t>为保障本项目培训的科学性及专业性，投标人须具备汽车运用与维修职业技能等级证书培训师证书、每提供一个得1分，不提供或无效不得分，本项最高得4分。</w:t>
            </w:r>
            <w:r>
              <w:rPr>
                <w:rFonts w:hint="eastAsia" w:ascii="宋体" w:hAnsi="宋体" w:eastAsia="宋体" w:cs="宋体"/>
                <w:b/>
                <w:bCs/>
                <w:szCs w:val="21"/>
                <w:lang w:val="en-US" w:eastAsia="zh-CN"/>
              </w:rPr>
              <w:t>（培训人员须提供在本投标人公司近三个月社保证明文件）</w:t>
            </w:r>
          </w:p>
        </w:tc>
        <w:tc>
          <w:tcPr>
            <w:tcW w:w="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1180"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服务方案</w:t>
            </w:r>
          </w:p>
        </w:tc>
        <w:tc>
          <w:tcPr>
            <w:tcW w:w="5946"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依据投标人响应采购人服务周期要求、人员安排、实施方案、服务标准流程及故障响应时间等，从服务及时性、服务方案合理性等角度对售后服务方案打分：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1.服务方案全面科学、合理、可行，得3分 ；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2.服务方案基本科学合理、可行得2分；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3.服务方案不合理或有缺陷得1分；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4.未提供不得分。</w:t>
            </w:r>
          </w:p>
        </w:tc>
        <w:tc>
          <w:tcPr>
            <w:tcW w:w="87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8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0"/>
                <w:szCs w:val="20"/>
                <w:vertAlign w:val="baseline"/>
                <w:lang w:val="en-US" w:eastAsia="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售后服务方案</w:t>
            </w:r>
          </w:p>
        </w:tc>
        <w:tc>
          <w:tcPr>
            <w:tcW w:w="5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根据投标人提供的交货进度计划合理、保证措施等方面：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进度计划合理、保证措施完善得3分；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进度计划可行、保证措施可行的得2分；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进度计划、保证措施基本可行1分；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未提供不得分。</w:t>
            </w:r>
          </w:p>
        </w:tc>
        <w:tc>
          <w:tcPr>
            <w:tcW w:w="878" w:type="dxa"/>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3</w:t>
            </w:r>
          </w:p>
        </w:tc>
      </w:tr>
    </w:tbl>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pPr>
        <w:spacing w:line="360" w:lineRule="auto"/>
        <w:ind w:firstLine="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1.磋商小组分别对每一响应文件依据上表进行评审，并打分。</w:t>
      </w:r>
    </w:p>
    <w:p>
      <w:pPr>
        <w:spacing w:line="360" w:lineRule="auto"/>
        <w:ind w:left="1" w:firstLine="42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2.磋商小组决定的响应性只根据响应文件本身的真实无误的内容，而不依据外部的证据，但响应文件有不真实不正确的内容时除外。</w:t>
      </w:r>
    </w:p>
    <w:p>
      <w:pPr>
        <w:rPr>
          <w:rFonts w:asciiTheme="minorEastAsia" w:hAnsiTheme="minorEastAsia" w:eastAsiaTheme="minorEastAsia" w:cstheme="minorEastAsia"/>
        </w:rPr>
      </w:pPr>
      <w:r>
        <w:rPr>
          <w:rFonts w:asciiTheme="minorEastAsia" w:hAnsiTheme="minorEastAsia" w:eastAsiaTheme="minorEastAsia" w:cstheme="minorEastAsia"/>
        </w:rPr>
        <w:br w:type="page"/>
      </w:r>
    </w:p>
    <w:p>
      <w:pPr>
        <w:bidi w:val="0"/>
        <w:jc w:val="left"/>
        <w:rPr>
          <w:rFonts w:ascii="Calibri" w:hAnsi="Calibri" w:eastAsia="宋体" w:cs="Calibri"/>
          <w:kern w:val="2"/>
          <w:sz w:val="21"/>
          <w:szCs w:val="21"/>
          <w:lang w:val="en-US" w:eastAsia="zh-CN" w:bidi="ar-SA"/>
        </w:rPr>
      </w:pPr>
    </w:p>
    <w:p>
      <w:pPr>
        <w:pStyle w:val="4"/>
        <w:jc w:val="center"/>
        <w:rPr>
          <w:rFonts w:asciiTheme="minorEastAsia" w:hAnsiTheme="minorEastAsia" w:eastAsiaTheme="minorEastAsia" w:cstheme="minorEastAsia"/>
        </w:rPr>
      </w:pPr>
      <w:bookmarkStart w:id="27" w:name="_Toc31358"/>
      <w:bookmarkStart w:id="28" w:name="_Toc16982"/>
      <w:r>
        <w:rPr>
          <w:rFonts w:hint="eastAsia" w:asciiTheme="minorEastAsia" w:hAnsiTheme="minorEastAsia" w:eastAsiaTheme="minorEastAsia" w:cstheme="minorEastAsia"/>
        </w:rPr>
        <w:t>第五章  合同书（格式）</w:t>
      </w:r>
      <w:bookmarkEnd w:id="27"/>
      <w:bookmarkEnd w:id="28"/>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合同书</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项目名称：</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合同编号：</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签订日期：</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签订合同地点：</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本合同由（以下简称“需方”）与（以下简称“供方”）签订。</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供方以总金额万元人民币（用大写数字书写）向需方提供如下货物（服务）：</w:t>
      </w:r>
    </w:p>
    <w:p>
      <w:pPr>
        <w:autoSpaceDE w:val="0"/>
        <w:autoSpaceDN w:val="0"/>
        <w:adjustRightInd w:val="0"/>
        <w:spacing w:line="360" w:lineRule="auto"/>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经双方协商，同意按下列条文执行：</w:t>
      </w:r>
    </w:p>
    <w:p>
      <w:pPr>
        <w:autoSpaceDE w:val="0"/>
        <w:autoSpaceDN w:val="0"/>
        <w:adjustRightInd w:val="0"/>
        <w:spacing w:line="360" w:lineRule="auto"/>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2.需方保证按合同条款规定的时间和方式付给供方到期应付的金额，并承担应负的责任和义务。</w:t>
      </w:r>
    </w:p>
    <w:p>
      <w:pPr>
        <w:autoSpaceDE w:val="0"/>
        <w:autoSpaceDN w:val="0"/>
        <w:adjustRightInd w:val="0"/>
        <w:spacing w:line="360" w:lineRule="auto"/>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3.供方保证全部按合同条款规定的内容和实施周期向需方提供合格的货物（服务），并承担应负的责任和义务。</w:t>
      </w:r>
    </w:p>
    <w:p>
      <w:pPr>
        <w:autoSpaceDE w:val="0"/>
        <w:autoSpaceDN w:val="0"/>
        <w:adjustRightInd w:val="0"/>
        <w:spacing w:line="360" w:lineRule="auto"/>
        <w:ind w:firstLine="470" w:firstLineChars="196"/>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4.合同文件</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下列文件为本合同不可分割的部分：</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4.1竞争性磋商文件(编号：　　　　)；</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4.2供方成交的响应文件（副本）；</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4.3合同书；</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4.4合同条款；</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4.5建始县政府采购中心发出的成交通知书；</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4.6在商洽本合同时，双方澄清、确认并共同签字的补充文件、技术协议。</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5.合同范围和条件</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本合同的范围和条件应与上述规定的合同文件内容相一致。</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6.货物（服务）及数量</w:t>
      </w:r>
    </w:p>
    <w:p>
      <w:pPr>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本合同所提供的货物（服务）及数量详见竞争性磋商文件的要求及供方响应文件中的承诺。</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7.付款方式</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本合同的付款条件在竞争性磋商文件中有明确规定。</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8.合同金额</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合同总金额：人民币</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9.实施时间和地点</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本合同中货物（服务）的实施时间、地点在竞争性磋商文件中有明确规定。</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10.合同生效</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本合同经供、需双方授权代表签字和加盖公章（或合同专用章）后生效。</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11.合同的份数</w:t>
      </w:r>
    </w:p>
    <w:p>
      <w:pPr>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本合同正本一式　　份，需方执　　份，供方执　　份；副本一式　　份，需方执　　份，供方执　　份，建始县财政厅政府采购管理处壹份备案。</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需　　方：</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供　　方：</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单位名称（盖章）：</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单位名称（盖章）：</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单位地址：</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单位地址：</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法人（负责人）代表授权人(签字)：</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法人（负责人）代表授权人(签字)：</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联系人：</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联系人：</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电　　话：</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电　　话：</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传　　真：</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传　　真：</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邮政编码：</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邮政编码：</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开户银行：</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开户银行：</w:t>
      </w:r>
    </w:p>
    <w:p>
      <w:pPr>
        <w:tabs>
          <w:tab w:val="left" w:pos="48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帐　　号：</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帐　　号：</w:t>
      </w:r>
    </w:p>
    <w:p>
      <w:pPr>
        <w:spacing w:line="360" w:lineRule="auto"/>
        <w:ind w:left="2" w:leftChars="1" w:firstLine="120" w:firstLineChars="5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税　　号：                           税　　号：</w:t>
      </w:r>
    </w:p>
    <w:p>
      <w:pPr>
        <w:spacing w:line="360" w:lineRule="auto"/>
        <w:ind w:left="2" w:leftChars="1" w:firstLine="120" w:firstLineChars="50"/>
        <w:jc w:val="left"/>
        <w:rPr>
          <w:rFonts w:asciiTheme="minorEastAsia" w:hAnsiTheme="minorEastAsia" w:eastAsiaTheme="minorEastAsia" w:cstheme="minorEastAsia"/>
          <w:kern w:val="0"/>
          <w:sz w:val="24"/>
          <w:szCs w:val="20"/>
        </w:rPr>
      </w:pPr>
    </w:p>
    <w:p>
      <w:pPr>
        <w:spacing w:line="360" w:lineRule="auto"/>
        <w:ind w:left="2" w:leftChars="1" w:firstLine="120" w:firstLineChars="50"/>
        <w:jc w:val="left"/>
        <w:rPr>
          <w:rFonts w:asciiTheme="minorEastAsia" w:hAnsiTheme="minorEastAsia" w:eastAsiaTheme="minorEastAsia" w:cstheme="minorEastAsia"/>
          <w:kern w:val="0"/>
          <w:sz w:val="24"/>
          <w:szCs w:val="20"/>
        </w:rPr>
      </w:pPr>
    </w:p>
    <w:p>
      <w:pPr>
        <w:spacing w:line="360" w:lineRule="auto"/>
        <w:ind w:left="2" w:leftChars="1" w:firstLine="120" w:firstLineChars="50"/>
        <w:jc w:val="left"/>
        <w:rPr>
          <w:rFonts w:asciiTheme="minorEastAsia" w:hAnsiTheme="minorEastAsia" w:eastAsiaTheme="minorEastAsia" w:cstheme="minorEastAsia"/>
          <w:kern w:val="0"/>
          <w:sz w:val="24"/>
          <w:szCs w:val="20"/>
        </w:rPr>
      </w:pPr>
    </w:p>
    <w:p>
      <w:pPr>
        <w:spacing w:line="360" w:lineRule="auto"/>
        <w:ind w:left="2" w:leftChars="1" w:firstLine="120" w:firstLineChars="50"/>
        <w:jc w:val="left"/>
        <w:rPr>
          <w:rFonts w:asciiTheme="minorEastAsia" w:hAnsiTheme="minorEastAsia" w:eastAsiaTheme="minorEastAsia" w:cstheme="minorEastAsia"/>
          <w:kern w:val="0"/>
          <w:sz w:val="24"/>
          <w:szCs w:val="20"/>
        </w:rPr>
      </w:pPr>
    </w:p>
    <w:p>
      <w:pPr>
        <w:spacing w:line="360" w:lineRule="auto"/>
        <w:ind w:left="2" w:leftChars="1" w:firstLine="120" w:firstLineChars="50"/>
        <w:jc w:val="left"/>
        <w:rPr>
          <w:rFonts w:asciiTheme="minorEastAsia" w:hAnsiTheme="minorEastAsia" w:eastAsiaTheme="minorEastAsia" w:cstheme="minorEastAsia"/>
          <w:kern w:val="0"/>
          <w:sz w:val="24"/>
          <w:szCs w:val="20"/>
        </w:rPr>
      </w:pPr>
    </w:p>
    <w:p>
      <w:pPr>
        <w:pStyle w:val="4"/>
        <w:jc w:val="center"/>
        <w:rPr>
          <w:rFonts w:asciiTheme="minorEastAsia" w:hAnsiTheme="minorEastAsia" w:eastAsiaTheme="minorEastAsia" w:cstheme="minorEastAsia"/>
        </w:rPr>
      </w:pPr>
      <w:bookmarkStart w:id="29" w:name="_Toc26991"/>
      <w:bookmarkStart w:id="30" w:name="_Toc20811"/>
      <w:r>
        <w:rPr>
          <w:rFonts w:hint="eastAsia" w:asciiTheme="minorEastAsia" w:hAnsiTheme="minorEastAsia" w:eastAsiaTheme="minorEastAsia" w:cstheme="minorEastAsia"/>
        </w:rPr>
        <w:t>第六章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响应文件格式</w:t>
      </w:r>
      <w:bookmarkEnd w:id="29"/>
      <w:bookmarkEnd w:id="30"/>
    </w:p>
    <w:p>
      <w:pPr>
        <w:adjustRightInd w:val="0"/>
        <w:snapToGrid w:val="0"/>
        <w:jc w:val="center"/>
        <w:outlineLvl w:val="0"/>
        <w:rPr>
          <w:rFonts w:asciiTheme="minorEastAsia" w:hAnsiTheme="minorEastAsia" w:eastAsiaTheme="minorEastAsia" w:cstheme="minorEastAsia"/>
          <w:b/>
          <w:sz w:val="18"/>
          <w:szCs w:val="18"/>
        </w:rPr>
      </w:pPr>
    </w:p>
    <w:p>
      <w:pPr>
        <w:pStyle w:val="11"/>
        <w:tabs>
          <w:tab w:val="left" w:pos="1260"/>
        </w:tabs>
        <w:jc w:val="left"/>
        <w:rPr>
          <w:rFonts w:asciiTheme="minorEastAsia" w:hAnsiTheme="minorEastAsia" w:eastAsiaTheme="minorEastAsia" w:cstheme="minorEastAsia"/>
          <w:spacing w:val="100"/>
          <w:w w:val="110"/>
          <w:sz w:val="28"/>
          <w:szCs w:val="28"/>
        </w:rPr>
      </w:pPr>
      <w:r>
        <w:rPr>
          <w:rFonts w:hint="eastAsia" w:asciiTheme="minorEastAsia" w:hAnsiTheme="minorEastAsia" w:eastAsiaTheme="minorEastAsia" w:cstheme="minorEastAsia"/>
          <w:spacing w:val="100"/>
          <w:w w:val="110"/>
          <w:sz w:val="28"/>
          <w:szCs w:val="28"/>
        </w:rPr>
        <w:t>封面：</w:t>
      </w:r>
    </w:p>
    <w:p>
      <w:pPr>
        <w:pStyle w:val="11"/>
        <w:tabs>
          <w:tab w:val="left" w:pos="1260"/>
        </w:tabs>
        <w:jc w:val="both"/>
        <w:rPr>
          <w:rFonts w:asciiTheme="minorEastAsia" w:hAnsiTheme="minorEastAsia" w:eastAsiaTheme="minorEastAsia" w:cstheme="minorEastAsia"/>
          <w:bCs/>
          <w:spacing w:val="100"/>
          <w:w w:val="110"/>
          <w:sz w:val="36"/>
          <w:szCs w:val="36"/>
        </w:rPr>
      </w:pPr>
    </w:p>
    <w:p>
      <w:pPr>
        <w:pStyle w:val="11"/>
        <w:tabs>
          <w:tab w:val="left" w:pos="1260"/>
        </w:tabs>
        <w:jc w:val="center"/>
        <w:rPr>
          <w:rFonts w:asciiTheme="minorEastAsia" w:hAnsiTheme="minorEastAsia" w:eastAsiaTheme="minorEastAsia" w:cstheme="minorEastAsia"/>
          <w:bCs/>
          <w:spacing w:val="100"/>
          <w:w w:val="110"/>
          <w:sz w:val="52"/>
          <w:szCs w:val="52"/>
        </w:rPr>
      </w:pPr>
    </w:p>
    <w:p>
      <w:pPr>
        <w:pStyle w:val="11"/>
        <w:tabs>
          <w:tab w:val="left" w:pos="1260"/>
        </w:tabs>
        <w:jc w:val="center"/>
        <w:rPr>
          <w:rFonts w:asciiTheme="minorEastAsia" w:hAnsiTheme="minorEastAsia" w:eastAsiaTheme="minorEastAsia" w:cstheme="minorEastAsia"/>
          <w:spacing w:val="100"/>
          <w:w w:val="110"/>
          <w:sz w:val="100"/>
          <w:szCs w:val="100"/>
        </w:rPr>
      </w:pPr>
      <w:r>
        <w:rPr>
          <w:rFonts w:hint="eastAsia" w:asciiTheme="minorEastAsia" w:hAnsiTheme="minorEastAsia" w:eastAsiaTheme="minorEastAsia" w:cstheme="minorEastAsia"/>
          <w:bCs/>
          <w:spacing w:val="100"/>
          <w:w w:val="110"/>
          <w:sz w:val="100"/>
          <w:szCs w:val="100"/>
        </w:rPr>
        <w:t>响应文件</w:t>
      </w:r>
    </w:p>
    <w:p>
      <w:pPr>
        <w:pStyle w:val="11"/>
        <w:jc w:val="center"/>
        <w:rPr>
          <w:rFonts w:asciiTheme="minorEastAsia" w:hAnsiTheme="minorEastAsia" w:eastAsiaTheme="minorEastAsia" w:cstheme="minorEastAsia"/>
          <w:sz w:val="44"/>
        </w:rPr>
      </w:pPr>
      <w:r>
        <w:rPr>
          <w:rFonts w:hint="eastAsia" w:asciiTheme="minorEastAsia" w:hAnsiTheme="minorEastAsia" w:eastAsiaTheme="minorEastAsia" w:cstheme="minorEastAsia"/>
          <w:sz w:val="44"/>
        </w:rPr>
        <w:t>（正本/副本）</w:t>
      </w:r>
    </w:p>
    <w:p>
      <w:pPr>
        <w:pStyle w:val="11"/>
        <w:jc w:val="center"/>
        <w:rPr>
          <w:rFonts w:asciiTheme="minorEastAsia" w:hAnsiTheme="minorEastAsia" w:eastAsiaTheme="minorEastAsia" w:cstheme="minorEastAsia"/>
          <w:sz w:val="44"/>
        </w:rPr>
      </w:pPr>
    </w:p>
    <w:p>
      <w:pPr>
        <w:pStyle w:val="11"/>
        <w:jc w:val="center"/>
        <w:rPr>
          <w:rFonts w:asciiTheme="minorEastAsia" w:hAnsiTheme="minorEastAsia" w:eastAsiaTheme="minorEastAsia" w:cstheme="minorEastAsia"/>
          <w:sz w:val="44"/>
        </w:rPr>
      </w:pPr>
    </w:p>
    <w:p>
      <w:pPr>
        <w:pStyle w:val="11"/>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项目编号：</w:t>
      </w:r>
    </w:p>
    <w:p>
      <w:pPr>
        <w:pStyle w:val="3"/>
        <w:spacing w:line="360" w:lineRule="auto"/>
        <w:ind w:firstLine="1280" w:firstLineChars="400"/>
        <w:rPr>
          <w:rFonts w:asciiTheme="minorEastAsia" w:hAnsiTheme="minorEastAsia" w:eastAsiaTheme="minorEastAsia" w:cstheme="minorEastAsia"/>
          <w:szCs w:val="32"/>
          <w:u w:val="single"/>
        </w:rPr>
      </w:pPr>
      <w:r>
        <w:rPr>
          <w:rFonts w:hint="eastAsia" w:asciiTheme="minorEastAsia" w:hAnsiTheme="minorEastAsia" w:eastAsiaTheme="minorEastAsia" w:cstheme="minorEastAsia"/>
          <w:szCs w:val="32"/>
        </w:rPr>
        <w:t>项目名称：</w:t>
      </w:r>
    </w:p>
    <w:p>
      <w:pPr>
        <w:pStyle w:val="11"/>
        <w:spacing w:line="360" w:lineRule="auto"/>
        <w:ind w:firstLine="1280" w:firstLineChars="400"/>
        <w:rPr>
          <w:rFonts w:asciiTheme="minorEastAsia" w:hAnsiTheme="minorEastAsia" w:eastAsiaTheme="minorEastAsia" w:cstheme="minorEastAsia"/>
          <w:sz w:val="32"/>
          <w:szCs w:val="32"/>
          <w:u w:val="single"/>
        </w:rPr>
      </w:pPr>
    </w:p>
    <w:p>
      <w:pPr>
        <w:pStyle w:val="11"/>
        <w:rPr>
          <w:rFonts w:asciiTheme="minorEastAsia" w:hAnsiTheme="minorEastAsia" w:eastAsiaTheme="minorEastAsia" w:cstheme="minorEastAsia"/>
          <w:sz w:val="44"/>
        </w:rPr>
      </w:pPr>
    </w:p>
    <w:p>
      <w:pPr>
        <w:pStyle w:val="11"/>
        <w:spacing w:line="360" w:lineRule="auto"/>
        <w:ind w:firstLine="5120" w:firstLineChars="16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供应商名称：</w:t>
      </w:r>
    </w:p>
    <w:p>
      <w:pPr>
        <w:pStyle w:val="11"/>
        <w:spacing w:line="360" w:lineRule="auto"/>
        <w:ind w:firstLine="6057" w:firstLineChars="1893"/>
        <w:rPr>
          <w:rFonts w:asciiTheme="minorEastAsia" w:hAnsiTheme="minorEastAsia" w:eastAsiaTheme="minorEastAsia" w:cstheme="minorEastAsia"/>
          <w:sz w:val="32"/>
          <w:szCs w:val="32"/>
        </w:rPr>
      </w:pPr>
    </w:p>
    <w:p>
      <w:pPr>
        <w:pStyle w:val="11"/>
        <w:spacing w:line="360" w:lineRule="auto"/>
        <w:ind w:firstLine="6057" w:firstLineChars="189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年  月  日</w:t>
      </w:r>
    </w:p>
    <w:p>
      <w:pPr>
        <w:adjustRightInd w:val="0"/>
        <w:snapToGrid w:val="0"/>
        <w:jc w:val="center"/>
        <w:outlineLvl w:val="0"/>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jc w:val="center"/>
        <w:rPr>
          <w:sz w:val="32"/>
          <w:szCs w:val="32"/>
        </w:rPr>
      </w:pPr>
      <w:r>
        <w:rPr>
          <w:rFonts w:hint="eastAsia"/>
          <w:sz w:val="32"/>
          <w:szCs w:val="32"/>
        </w:rPr>
        <w:t>目  录</w:t>
      </w:r>
    </w:p>
    <w:p>
      <w:pPr>
        <w:adjustRightInd w:val="0"/>
        <w:snapToGrid w:val="0"/>
        <w:outlineLvl w:val="0"/>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pPr>
        <w:jc w:val="center"/>
        <w:rPr>
          <w:sz w:val="32"/>
          <w:szCs w:val="32"/>
        </w:rPr>
      </w:pPr>
      <w:r>
        <w:rPr>
          <w:rFonts w:hint="eastAsia"/>
          <w:sz w:val="32"/>
          <w:szCs w:val="32"/>
        </w:rPr>
        <w:t>磋商书</w:t>
      </w:r>
    </w:p>
    <w:p>
      <w:pPr>
        <w:pStyle w:val="11"/>
        <w:spacing w:line="44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w:t>
      </w:r>
      <w:r>
        <w:rPr>
          <w:rFonts w:hint="eastAsia"/>
          <w:sz w:val="24"/>
          <w:szCs w:val="24"/>
          <w:shd w:val="clear" w:fill="FFFFFF"/>
          <w:lang w:eastAsia="zh-CN"/>
        </w:rPr>
        <w:t>湖北省</w:t>
      </w:r>
      <w:r>
        <w:rPr>
          <w:sz w:val="24"/>
          <w:szCs w:val="24"/>
          <w:shd w:val="clear" w:fill="FFFFFF"/>
        </w:rPr>
        <w:t>建始县中等职业技术学校</w:t>
      </w:r>
      <w:r>
        <w:rPr>
          <w:rFonts w:hint="eastAsia" w:asciiTheme="minorEastAsia" w:hAnsiTheme="minorEastAsia" w:eastAsiaTheme="minorEastAsia" w:cstheme="minorEastAsia"/>
          <w:sz w:val="24"/>
          <w:u w:val="single"/>
          <w:lang w:eastAsia="zh-CN"/>
        </w:rPr>
        <w:t>）</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项目政府采购的磋商邀请，</w:t>
      </w:r>
      <w:r>
        <w:rPr>
          <w:rFonts w:hint="eastAsia" w:asciiTheme="minorEastAsia" w:hAnsiTheme="minorEastAsia" w:eastAsiaTheme="minorEastAsia" w:cstheme="minorEastAsia"/>
          <w:sz w:val="24"/>
          <w:u w:val="single"/>
        </w:rPr>
        <w:t>签字代表</w:t>
      </w:r>
      <w:r>
        <w:rPr>
          <w:rFonts w:hint="eastAsia" w:asciiTheme="minorEastAsia" w:hAnsiTheme="minorEastAsia" w:eastAsiaTheme="minorEastAsia" w:cstheme="minorEastAsia"/>
          <w:sz w:val="24"/>
        </w:rPr>
        <w:t>（姓名和职务）经正式授权并代表供应商</w:t>
      </w:r>
      <w:r>
        <w:rPr>
          <w:rFonts w:hint="eastAsia" w:asciiTheme="minorEastAsia" w:hAnsiTheme="minorEastAsia" w:eastAsiaTheme="minorEastAsia" w:cstheme="minorEastAsia"/>
          <w:sz w:val="24"/>
          <w:u w:val="single"/>
        </w:rPr>
        <w:t>（竞争性磋商供应商名称、地址）</w:t>
      </w:r>
      <w:r>
        <w:rPr>
          <w:rFonts w:hint="eastAsia" w:asciiTheme="minorEastAsia" w:hAnsiTheme="minorEastAsia" w:eastAsiaTheme="minorEastAsia" w:cstheme="minorEastAsia"/>
          <w:sz w:val="24"/>
        </w:rPr>
        <w:t>提交下述响应文件正本一份和副本二份。</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1.磋商书(附件1)；</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6.商务条款响应、偏离情况说明表(附件6)；</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7.法定代表人授权书(附件7)；</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9.财务状况报告，依法缴纳税收和社会保障资金的相关材料(附件9)；</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10.具备履行合同所必需的设备和专业技术能力的证明材料(附件10)；</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11.参加政府采购活动前3年内在经营活动中没有重大违法记录的书面声明(附件11)；</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12.与采购人和集中采购机构没有任何隶属关系或其他利害关系的书面声明(附件12)；</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13.不存在“单位负责人为同一人或者存在直接控股、管理关系的不同供应商，参加同一合同项下的政府采购活动”情形的书面声明；(附件13)</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14.不存在“除单一来源采购项目外，为采购项目提供整体设计、规范编制或者项目管理、监理、检测等服务的供应商，再参加该采购项目的其他采购活动”情形的书面声明；(附件14)</w:t>
      </w:r>
    </w:p>
    <w:p>
      <w:pPr>
        <w:pStyle w:val="11"/>
        <w:spacing w:line="44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15.《中小企业声明函》、《残疾人福利性单位声明函》、属于监狱企业的证明文件等（如果有的话）(附件15)。</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本文件要求提供的其他资格证明文件及资料。</w:t>
      </w:r>
    </w:p>
    <w:p>
      <w:pPr>
        <w:pStyle w:val="11"/>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在此，我方宣布同意如下：</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将按竞争性响应文件的规定履行合同责任和义务；</w:t>
      </w:r>
    </w:p>
    <w:p>
      <w:pPr>
        <w:pStyle w:val="11"/>
        <w:spacing w:line="440" w:lineRule="exact"/>
        <w:ind w:left="840" w:hanging="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已详细审查全部竞争性磋商文件，包括第（编号、补遗书）（如果有的话）；我们完全理解并同意放弃对这方面有不明及误解的权力；</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本响应文件有效期为自竞争性磋商之日起</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个日历日；</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同意提供按照贵方可能要求的与其竞争性磋商有关的一切数据或资料；</w:t>
      </w:r>
    </w:p>
    <w:p>
      <w:pPr>
        <w:pStyle w:val="11"/>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与本竞争性磋商有关的一切正式往来信函请寄：</w:t>
      </w:r>
    </w:p>
    <w:p>
      <w:pPr>
        <w:pStyle w:val="11"/>
        <w:spacing w:line="440" w:lineRule="exact"/>
        <w:ind w:firstLine="8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pPr>
        <w:pStyle w:val="11"/>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w:t>
      </w:r>
    </w:p>
    <w:p>
      <w:pPr>
        <w:pStyle w:val="11"/>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p>
      <w:pPr>
        <w:pStyle w:val="11"/>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竞争性磋商供应商（授权）代表签字：</w:t>
      </w:r>
    </w:p>
    <w:p>
      <w:pPr>
        <w:pStyle w:val="11"/>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竞争性磋商供应商名称（公章）：</w:t>
      </w:r>
    </w:p>
    <w:p>
      <w:pPr>
        <w:pStyle w:val="11"/>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szCs w:val="24"/>
        </w:rPr>
        <w:t>附件2</w:t>
      </w:r>
    </w:p>
    <w:p>
      <w:pPr>
        <w:ind w:firstLine="3680" w:firstLineChars="115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报价组成情况表</w:t>
      </w:r>
    </w:p>
    <w:p>
      <w:pPr>
        <w:spacing w:line="500" w:lineRule="exact"/>
        <w:rPr>
          <w:rFonts w:asciiTheme="minorEastAsia" w:hAnsiTheme="minorEastAsia" w:eastAsiaTheme="minorEastAsia" w:cstheme="minorEastAsia"/>
        </w:rPr>
      </w:pPr>
    </w:p>
    <w:p>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项目编号：                                                   </w:t>
      </w:r>
    </w:p>
    <w:p>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项目名称：                                   </w:t>
      </w:r>
    </w:p>
    <w:tbl>
      <w:tblPr>
        <w:tblStyle w:val="23"/>
        <w:tblW w:w="97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1"/>
        <w:gridCol w:w="4714"/>
        <w:gridCol w:w="1521"/>
        <w:gridCol w:w="1349"/>
        <w:gridCol w:w="13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471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b/>
              </w:rPr>
            </w:pPr>
            <w:r>
              <w:rPr>
                <w:rFonts w:hint="eastAsia" w:asciiTheme="minorEastAsia" w:hAnsiTheme="minorEastAsia" w:eastAsiaTheme="minorEastAsia" w:cstheme="minorEastAsia"/>
                <w:b/>
              </w:rPr>
              <w:t>货物/服务名称</w:t>
            </w: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b/>
              </w:rPr>
            </w:pPr>
            <w:r>
              <w:rPr>
                <w:rFonts w:hint="eastAsia" w:asciiTheme="minorEastAsia" w:hAnsiTheme="minorEastAsia" w:eastAsiaTheme="minorEastAsia" w:cstheme="minorEastAsia"/>
                <w:b/>
              </w:rPr>
              <w:t>产品型号</w:t>
            </w: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b/>
              </w:rPr>
            </w:pPr>
            <w:r>
              <w:rPr>
                <w:rFonts w:hint="eastAsia" w:asciiTheme="minorEastAsia" w:hAnsiTheme="minorEastAsia" w:eastAsiaTheme="minorEastAsia" w:cstheme="minorEastAsia"/>
                <w:b/>
              </w:rPr>
              <w:t>分项报价（万元）</w:t>
            </w: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b/>
              </w:rPr>
            </w:pPr>
            <w:r>
              <w:rPr>
                <w:rFonts w:hint="eastAsia" w:asciiTheme="minorEastAsia" w:hAnsiTheme="minorEastAsia" w:eastAsiaTheme="minorEastAsia" w:cstheme="minorEastAsia"/>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2</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3</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4</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5</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6</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7</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8</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9</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81"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4714" w:type="dxa"/>
            <w:vAlign w:val="center"/>
          </w:tcPr>
          <w:p>
            <w:pPr>
              <w:keepNext w:val="0"/>
              <w:keepLines w:val="0"/>
              <w:widowControl/>
              <w:suppressLineNumbers w:val="0"/>
              <w:tabs>
                <w:tab w:val="right" w:leader="dot" w:pos="9514"/>
              </w:tabs>
              <w:spacing w:before="0" w:beforeAutospacing="0" w:after="0" w:afterAutospacing="0"/>
              <w:ind w:left="0" w:right="0"/>
              <w:jc w:val="left"/>
              <w:rPr>
                <w:rFonts w:hint="default" w:asciiTheme="minorEastAsia" w:hAnsiTheme="minorEastAsia" w:eastAsiaTheme="minorEastAsia" w:cstheme="minorEastAsia"/>
                <w:iCs/>
                <w:kern w:val="0"/>
              </w:rPr>
            </w:pPr>
          </w:p>
        </w:tc>
        <w:tc>
          <w:tcPr>
            <w:tcW w:w="152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49"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c>
          <w:tcPr>
            <w:tcW w:w="137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736" w:type="dxa"/>
            <w:gridSpan w:val="5"/>
            <w:vAlign w:val="center"/>
          </w:tcPr>
          <w:p>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stheme="minorEastAsia"/>
                <w:b/>
              </w:rPr>
            </w:pPr>
            <w:r>
              <w:rPr>
                <w:rFonts w:hint="eastAsia" w:asciiTheme="minorEastAsia" w:hAnsiTheme="minorEastAsia" w:eastAsiaTheme="minorEastAsia" w:cstheme="minorEastAsia"/>
                <w:b/>
              </w:rPr>
              <w:t>总报价：</w:t>
            </w:r>
          </w:p>
        </w:tc>
      </w:tr>
    </w:tbl>
    <w:p>
      <w:pPr>
        <w:spacing w:line="240" w:lineRule="atLeast"/>
        <w:ind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sz w:val="24"/>
        </w:rPr>
        <w:t>注：本表仅作为竞争性磋商小组了解报价组成情况，不作为最终成交报价。</w:t>
      </w:r>
    </w:p>
    <w:p>
      <w:pPr>
        <w:pStyle w:val="11"/>
        <w:spacing w:line="500" w:lineRule="exact"/>
        <w:rPr>
          <w:rFonts w:asciiTheme="minorEastAsia" w:hAnsiTheme="minorEastAsia" w:eastAsiaTheme="minorEastAsia" w:cstheme="minorEastAsia"/>
          <w:sz w:val="24"/>
          <w:szCs w:val="24"/>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pStyle w:val="11"/>
        <w:spacing w:line="440" w:lineRule="exact"/>
        <w:ind w:firstLine="840"/>
        <w:rPr>
          <w:rFonts w:asciiTheme="minorEastAsia" w:hAnsiTheme="minorEastAsia" w:eastAsiaTheme="minorEastAsia" w:cstheme="minorEastAsia"/>
        </w:rPr>
      </w:pPr>
    </w:p>
    <w:p>
      <w:pPr>
        <w:spacing w:line="480" w:lineRule="auto"/>
        <w:jc w:val="center"/>
        <w:rPr>
          <w:rFonts w:asciiTheme="minorEastAsia" w:hAnsiTheme="minorEastAsia" w:eastAsiaTheme="minorEastAsia" w:cstheme="minorEastAsia"/>
        </w:rPr>
      </w:pPr>
    </w:p>
    <w:p>
      <w:pPr>
        <w:spacing w:line="480" w:lineRule="auto"/>
        <w:jc w:val="center"/>
        <w:rPr>
          <w:rFonts w:asciiTheme="minorEastAsia" w:hAnsiTheme="minorEastAsia" w:eastAsiaTheme="minorEastAsia" w:cstheme="minorEastAsia"/>
        </w:rPr>
      </w:pPr>
    </w:p>
    <w:p>
      <w:pP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附件3</w:t>
      </w:r>
    </w:p>
    <w:p>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货物（服务）清单</w:t>
      </w:r>
    </w:p>
    <w:p>
      <w:pPr>
        <w:spacing w:line="240" w:lineRule="atLeast"/>
        <w:rPr>
          <w:rFonts w:asciiTheme="minorEastAsia" w:hAnsiTheme="minorEastAsia" w:eastAsiaTheme="minorEastAsia" w:cstheme="minorEastAsia"/>
          <w:sz w:val="24"/>
        </w:rPr>
      </w:pPr>
    </w:p>
    <w:p>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p>
      <w:pP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24"/>
        </w:rPr>
        <w:t>项目名称：</w:t>
      </w:r>
    </w:p>
    <w:tbl>
      <w:tblPr>
        <w:tblStyle w:val="23"/>
        <w:tblW w:w="97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4"/>
        <w:gridCol w:w="2459"/>
        <w:gridCol w:w="1754"/>
        <w:gridCol w:w="1754"/>
        <w:gridCol w:w="1911"/>
        <w:gridCol w:w="127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货物（服务）名称</w:t>
            </w: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w:t>
            </w: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生产地</w:t>
            </w: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84"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459" w:type="dxa"/>
            <w:vAlign w:val="center"/>
          </w:tcPr>
          <w:p>
            <w:pPr>
              <w:keepNext w:val="0"/>
              <w:keepLines w:val="0"/>
              <w:suppressLineNumbers w:val="0"/>
              <w:adjustRightInd w:val="0"/>
              <w:snapToGrid w:val="0"/>
              <w:spacing w:before="0" w:beforeAutospacing="0" w:after="0" w:afterAutospacing="0"/>
              <w:ind w:left="-88" w:leftChars="-42" w:right="0"/>
              <w:jc w:val="center"/>
              <w:rPr>
                <w:rFonts w:hint="default" w:asciiTheme="minorEastAsia" w:hAnsiTheme="minorEastAsia" w:eastAsiaTheme="minorEastAsia" w:cstheme="minorEastAsia"/>
                <w:sz w:val="24"/>
              </w:rPr>
            </w:pPr>
          </w:p>
        </w:tc>
        <w:tc>
          <w:tcPr>
            <w:tcW w:w="1754" w:type="dxa"/>
            <w:tcBorders>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754" w:type="dxa"/>
            <w:tcBorders>
              <w:lef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911"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c>
          <w:tcPr>
            <w:tcW w:w="1274" w:type="dxa"/>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sz w:val="24"/>
              </w:rPr>
            </w:pPr>
          </w:p>
        </w:tc>
      </w:tr>
    </w:tbl>
    <w:p>
      <w:pPr>
        <w:spacing w:line="24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说明：提供详细的货物和服务范围，包括货物和服务类别及制造（开发）商、备品备件等。</w:t>
      </w:r>
    </w:p>
    <w:p>
      <w:pPr>
        <w:spacing w:line="500" w:lineRule="exact"/>
        <w:rPr>
          <w:rFonts w:asciiTheme="minorEastAsia" w:hAnsiTheme="minorEastAsia" w:eastAsiaTheme="minorEastAsia" w:cstheme="minorEastAsia"/>
          <w:sz w:val="24"/>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spacing w:line="48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Cs w:val="28"/>
        </w:rPr>
        <w:br w:type="page"/>
      </w:r>
      <w:r>
        <w:rPr>
          <w:rFonts w:hint="eastAsia" w:asciiTheme="minorEastAsia" w:hAnsiTheme="minorEastAsia" w:eastAsiaTheme="minorEastAsia" w:cstheme="minorEastAsia"/>
          <w:bCs/>
          <w:sz w:val="24"/>
        </w:rPr>
        <w:t>附件4</w:t>
      </w:r>
    </w:p>
    <w:p>
      <w:pPr>
        <w:spacing w:line="48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资格性和符合性检查对照表</w:t>
      </w:r>
    </w:p>
    <w:p>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项目编号：                                      </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tbl>
      <w:tblPr>
        <w:tblStyle w:val="2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4769"/>
        <w:gridCol w:w="1453"/>
        <w:gridCol w:w="126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序号</w:t>
            </w:r>
          </w:p>
        </w:tc>
        <w:tc>
          <w:tcPr>
            <w:tcW w:w="4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资格性和符合性检查内容</w:t>
            </w:r>
          </w:p>
        </w:tc>
        <w:tc>
          <w:tcPr>
            <w:tcW w:w="1453" w:type="dxa"/>
            <w:vAlign w:val="center"/>
          </w:tcPr>
          <w:p>
            <w:pPr>
              <w:keepNext w:val="0"/>
              <w:keepLines w:val="0"/>
              <w:suppressLineNumbers w:val="0"/>
              <w:spacing w:before="0" w:beforeAutospacing="0" w:after="0" w:afterAutospacing="0"/>
              <w:ind w:left="0" w:leftChars="-51" w:right="0" w:hanging="107" w:hangingChars="51"/>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响应文件响应情况</w:t>
            </w:r>
          </w:p>
        </w:tc>
        <w:tc>
          <w:tcPr>
            <w:tcW w:w="1260" w:type="dxa"/>
            <w:vAlign w:val="center"/>
          </w:tcPr>
          <w:p>
            <w:pPr>
              <w:keepNext w:val="0"/>
              <w:keepLines w:val="0"/>
              <w:suppressLineNumbers w:val="0"/>
              <w:spacing w:before="0" w:beforeAutospacing="0" w:after="0" w:afterAutospacing="0"/>
              <w:ind w:left="0" w:leftChars="-51" w:right="0" w:hanging="107" w:hangingChars="51"/>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偏离情况说明</w:t>
            </w:r>
          </w:p>
        </w:tc>
        <w:tc>
          <w:tcPr>
            <w:tcW w:w="1769" w:type="dxa"/>
            <w:vAlign w:val="center"/>
          </w:tcPr>
          <w:p>
            <w:pPr>
              <w:keepNext w:val="0"/>
              <w:keepLines w:val="0"/>
              <w:suppressLineNumbers w:val="0"/>
              <w:spacing w:before="0" w:beforeAutospacing="0" w:after="0" w:afterAutospacing="0"/>
              <w:ind w:left="0" w:leftChars="-51" w:right="0" w:hanging="107" w:hangingChars="51"/>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leftChars="-50" w:right="0" w:hanging="105" w:hangingChars="5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4</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5</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6</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7</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8</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9</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w:t>
            </w:r>
          </w:p>
        </w:tc>
        <w:tc>
          <w:tcPr>
            <w:tcW w:w="4769" w:type="dxa"/>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4"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kern w:val="0"/>
              </w:rPr>
            </w:pPr>
            <w:r>
              <w:rPr>
                <w:rFonts w:hint="eastAsia" w:asciiTheme="minorEastAsia" w:hAnsiTheme="minorEastAsia" w:eastAsiaTheme="minorEastAsia" w:cstheme="minorEastAsia"/>
                <w:kern w:val="0"/>
              </w:rPr>
              <w:t>自评结论</w:t>
            </w:r>
          </w:p>
        </w:tc>
        <w:tc>
          <w:tcPr>
            <w:tcW w:w="1453"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260" w:type="dxa"/>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c>
          <w:tcPr>
            <w:tcW w:w="176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kern w:val="0"/>
              </w:rPr>
            </w:pPr>
          </w:p>
        </w:tc>
      </w:tr>
    </w:tbl>
    <w:p>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竞争性磋商文件的要求，逐条说明所提供资格证明文件已对竞争性磋商文件要求作出了实质性的响应，并说明响应情况。如果仅注明“符合”、“满足”或简单复制竞争性磋商文件要求，将导致响应文件无效。</w:t>
      </w:r>
    </w:p>
    <w:p>
      <w:pPr>
        <w:spacing w:line="440" w:lineRule="exact"/>
        <w:rPr>
          <w:rFonts w:asciiTheme="minorEastAsia" w:hAnsiTheme="minorEastAsia" w:eastAsiaTheme="minorEastAsia" w:cstheme="minorEastAsia"/>
          <w:sz w:val="24"/>
        </w:rPr>
      </w:pPr>
    </w:p>
    <w:p>
      <w:pPr>
        <w:spacing w:line="440" w:lineRule="exact"/>
        <w:rPr>
          <w:rFonts w:asciiTheme="minorEastAsia" w:hAnsiTheme="minorEastAsia" w:eastAsiaTheme="minorEastAsia" w:cstheme="minorEastAsia"/>
          <w:sz w:val="24"/>
        </w:rPr>
      </w:pPr>
    </w:p>
    <w:p>
      <w:pPr>
        <w:spacing w:line="440" w:lineRule="exact"/>
        <w:rPr>
          <w:rFonts w:asciiTheme="minorEastAsia" w:hAnsiTheme="minorEastAsia" w:eastAsiaTheme="minorEastAsia" w:cstheme="minorEastAsia"/>
          <w:sz w:val="24"/>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p>
    <w:p>
      <w:pPr>
        <w:spacing w:line="48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附件5</w:t>
      </w:r>
    </w:p>
    <w:p>
      <w:pPr>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技术服务响应、偏离情况说明表</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项目编号：                                         </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w:t>
      </w:r>
    </w:p>
    <w:tbl>
      <w:tblPr>
        <w:tblStyle w:val="2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519"/>
        <w:gridCol w:w="2593"/>
        <w:gridCol w:w="1459"/>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竞争性磋商文件要求部分</w:t>
            </w:r>
          </w:p>
        </w:tc>
        <w:tc>
          <w:tcPr>
            <w:tcW w:w="2593" w:type="dxa"/>
            <w:vAlign w:val="center"/>
          </w:tcPr>
          <w:p>
            <w:pPr>
              <w:keepNext w:val="0"/>
              <w:keepLines w:val="0"/>
              <w:suppressLineNumbers w:val="0"/>
              <w:spacing w:before="0" w:beforeAutospacing="0" w:after="0" w:afterAutospacing="0"/>
              <w:ind w:left="26" w:leftChars="-38" w:right="-79" w:rightChars="-38" w:hanging="105" w:hangingChars="44"/>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响应文件的响应部分</w:t>
            </w:r>
          </w:p>
        </w:tc>
        <w:tc>
          <w:tcPr>
            <w:tcW w:w="145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偏离说明</w:t>
            </w: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p>
        </w:tc>
        <w:tc>
          <w:tcPr>
            <w:tcW w:w="251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bl>
    <w:p>
      <w:pPr>
        <w:adjustRightInd w:val="0"/>
        <w:snapToGrid w:val="0"/>
        <w:ind w:left="720" w:hanging="720" w:hanging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竞争性磋商文件的要求，逐条说明所提供技术文件已对竞争性磋商文件作出了实质性的响应，并说明响应情况。特别对有具体数量要求的指标，供应商必须提供具体数值。如果仅注明“符合”、“满足”或简单复制竞争性磋商文件要求，将导致响应文件无效。</w:t>
      </w:r>
    </w:p>
    <w:p>
      <w:pPr>
        <w:rPr>
          <w:rFonts w:asciiTheme="minorEastAsia" w:hAnsiTheme="minorEastAsia" w:eastAsiaTheme="minorEastAsia" w:cstheme="minorEastAsia"/>
          <w:bCs/>
          <w:szCs w:val="28"/>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Cs w:val="28"/>
        </w:rPr>
        <w:br w:type="page"/>
      </w:r>
      <w:r>
        <w:rPr>
          <w:rFonts w:hint="eastAsia" w:asciiTheme="minorEastAsia" w:hAnsiTheme="minorEastAsia" w:eastAsiaTheme="minorEastAsia" w:cstheme="minorEastAsia"/>
          <w:bCs/>
          <w:sz w:val="24"/>
        </w:rPr>
        <w:t>附件6</w:t>
      </w:r>
    </w:p>
    <w:p>
      <w:pPr>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商务条款响应、偏离情况说明表</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项目名称：                                        </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w:t>
      </w:r>
    </w:p>
    <w:tbl>
      <w:tblPr>
        <w:tblStyle w:val="2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355"/>
        <w:gridCol w:w="2593"/>
        <w:gridCol w:w="1459"/>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355" w:type="dxa"/>
            <w:vAlign w:val="center"/>
          </w:tcPr>
          <w:p>
            <w:pPr>
              <w:keepNext w:val="0"/>
              <w:keepLines w:val="0"/>
              <w:suppressLineNumbers w:val="0"/>
              <w:spacing w:before="0" w:beforeAutospacing="0" w:after="0" w:afterAutospacing="0"/>
              <w:ind w:left="0" w:right="-79" w:rightChars="-38"/>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竞争性磋商文件要求部分</w:t>
            </w:r>
          </w:p>
        </w:tc>
        <w:tc>
          <w:tcPr>
            <w:tcW w:w="2593" w:type="dxa"/>
            <w:vAlign w:val="center"/>
          </w:tcPr>
          <w:p>
            <w:pPr>
              <w:keepNext w:val="0"/>
              <w:keepLines w:val="0"/>
              <w:suppressLineNumbers w:val="0"/>
              <w:spacing w:before="0" w:beforeAutospacing="0" w:after="0" w:afterAutospacing="0"/>
              <w:ind w:left="29" w:leftChars="-38" w:right="-79" w:rightChars="-38" w:hanging="108" w:hangingChars="45"/>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响应文件的响应部分</w:t>
            </w:r>
          </w:p>
        </w:tc>
        <w:tc>
          <w:tcPr>
            <w:tcW w:w="145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偏离说明</w:t>
            </w: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0"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p>
        </w:tc>
        <w:tc>
          <w:tcPr>
            <w:tcW w:w="235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593"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1459"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bCs/>
                <w:sz w:val="24"/>
              </w:rPr>
            </w:pPr>
          </w:p>
        </w:tc>
        <w:tc>
          <w:tcPr>
            <w:tcW w:w="2809"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24"/>
              </w:rPr>
            </w:pPr>
          </w:p>
        </w:tc>
      </w:tr>
    </w:tbl>
    <w:p>
      <w:pPr>
        <w:pStyle w:val="3"/>
        <w:spacing w:line="300" w:lineRule="auto"/>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pPr>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2. 应对照竞争性磋商文件的要求，逐条说明所提供服务已对竞争性磋商文件的商务条款作出了实质性的响应，并说明响应情况。特别对有具体数量要求的指标，供应商应提供具体数值。如果仅注明“符合”、“满足”或简单复制竞争性磋商文件要求，将导致响应文件无效。</w:t>
      </w:r>
    </w:p>
    <w:p>
      <w:pPr>
        <w:spacing w:line="440" w:lineRule="exact"/>
        <w:rPr>
          <w:rFonts w:asciiTheme="minorEastAsia" w:hAnsiTheme="minorEastAsia" w:eastAsiaTheme="minorEastAsia" w:cstheme="minorEastAsia"/>
          <w:sz w:val="24"/>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ind w:firstLine="480" w:firstLineChars="200"/>
        <w:rPr>
          <w:rFonts w:asciiTheme="minorEastAsia" w:hAnsiTheme="minorEastAsia" w:eastAsiaTheme="minorEastAsia" w:cstheme="minorEastAsia"/>
          <w:sz w:val="24"/>
        </w:rPr>
      </w:pPr>
    </w:p>
    <w:p>
      <w:pPr>
        <w:pStyle w:val="2"/>
      </w:pPr>
    </w:p>
    <w:p>
      <w:pPr>
        <w:rPr>
          <w:rFonts w:asciiTheme="minorEastAsia" w:hAnsiTheme="minorEastAsia" w:eastAsiaTheme="minorEastAsia" w:cstheme="minorEastAsia"/>
          <w:bCs/>
          <w:sz w:val="24"/>
        </w:rPr>
      </w:pP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附件7</w:t>
      </w:r>
    </w:p>
    <w:p>
      <w:pPr>
        <w:jc w:val="center"/>
        <w:rPr>
          <w:rFonts w:hint="eastAsia" w:asciiTheme="minorEastAsia" w:hAnsiTheme="minorEastAsia" w:eastAsiaTheme="minorEastAsia" w:cstheme="minorEastAsia"/>
          <w:bCs/>
          <w:sz w:val="32"/>
          <w:szCs w:val="32"/>
          <w:lang w:eastAsia="zh-CN"/>
        </w:rPr>
      </w:pPr>
      <w:r>
        <w:rPr>
          <w:rFonts w:hint="eastAsia" w:asciiTheme="minorEastAsia" w:hAnsiTheme="minorEastAsia" w:eastAsiaTheme="minorEastAsia" w:cstheme="minorEastAsia"/>
          <w:bCs/>
          <w:sz w:val="32"/>
          <w:szCs w:val="32"/>
        </w:rPr>
        <w:t>法定代表人授权</w:t>
      </w:r>
      <w:r>
        <w:rPr>
          <w:rFonts w:hint="eastAsia" w:asciiTheme="minorEastAsia" w:hAnsiTheme="minorEastAsia" w:eastAsiaTheme="minorEastAsia" w:cstheme="minorEastAsia"/>
          <w:bCs/>
          <w:sz w:val="32"/>
          <w:szCs w:val="32"/>
          <w:lang w:eastAsia="zh-CN"/>
        </w:rPr>
        <w:t>书</w:t>
      </w:r>
    </w:p>
    <w:p>
      <w:pPr>
        <w:jc w:val="both"/>
        <w:rPr>
          <w:rFonts w:asciiTheme="minorEastAsia" w:hAnsiTheme="minorEastAsia" w:eastAsiaTheme="minorEastAsia" w:cstheme="minorEastAsia"/>
          <w:bCs/>
          <w:sz w:val="24"/>
        </w:rPr>
      </w:pPr>
      <w:r>
        <w:rPr>
          <w:rFonts w:hint="eastAsia"/>
          <w:sz w:val="24"/>
          <w:szCs w:val="24"/>
          <w:shd w:val="clear" w:fill="FFFFFF"/>
          <w:lang w:eastAsia="zh-CN"/>
        </w:rPr>
        <w:t>（湖北省</w:t>
      </w:r>
      <w:r>
        <w:rPr>
          <w:sz w:val="24"/>
          <w:szCs w:val="24"/>
          <w:shd w:val="clear" w:fill="FFFFFF"/>
        </w:rPr>
        <w:t>建始县中等职业技术学校</w:t>
      </w:r>
      <w:r>
        <w:rPr>
          <w:rFonts w:hint="eastAsia" w:asciiTheme="minorEastAsia" w:hAnsiTheme="minorEastAsia" w:eastAsiaTheme="minorEastAsia" w:cstheme="minorEastAsia"/>
          <w:bCs/>
          <w:sz w:val="24"/>
        </w:rPr>
        <w:t>）：</w:t>
      </w:r>
    </w:p>
    <w:p>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u w:val="single"/>
        </w:rPr>
        <w:t>（竞争性磋商供应商名称）</w:t>
      </w:r>
      <w:r>
        <w:rPr>
          <w:rFonts w:hint="eastAsia" w:asciiTheme="minorEastAsia" w:hAnsiTheme="minorEastAsia" w:eastAsiaTheme="minorEastAsia" w:cstheme="minorEastAsia"/>
          <w:bCs/>
          <w:sz w:val="24"/>
        </w:rPr>
        <w:t>的（</w:t>
      </w:r>
      <w:r>
        <w:rPr>
          <w:rFonts w:hint="eastAsia" w:asciiTheme="minorEastAsia" w:hAnsiTheme="minorEastAsia" w:eastAsiaTheme="minorEastAsia" w:cstheme="minorEastAsia"/>
          <w:bCs/>
          <w:sz w:val="24"/>
          <w:u w:val="single"/>
        </w:rPr>
        <w:t>法定代表人姓名、职务</w:t>
      </w:r>
      <w:r>
        <w:rPr>
          <w:rFonts w:hint="eastAsia" w:asciiTheme="minorEastAsia" w:hAnsiTheme="minorEastAsia" w:eastAsiaTheme="minorEastAsia" w:cstheme="minorEastAsia"/>
          <w:bCs/>
          <w:sz w:val="24"/>
        </w:rPr>
        <w:t>）代表本公司授权</w:t>
      </w:r>
      <w:r>
        <w:rPr>
          <w:rFonts w:hint="eastAsia" w:asciiTheme="minorEastAsia" w:hAnsiTheme="minorEastAsia" w:eastAsiaTheme="minorEastAsia" w:cstheme="minorEastAsia"/>
          <w:bCs/>
          <w:sz w:val="24"/>
          <w:u w:val="single"/>
        </w:rPr>
        <w:t>（被授权代表的姓名、职务）</w:t>
      </w:r>
      <w:r>
        <w:rPr>
          <w:rFonts w:hint="eastAsia" w:asciiTheme="minorEastAsia" w:hAnsiTheme="minorEastAsia" w:eastAsiaTheme="minorEastAsia" w:cstheme="minorEastAsia"/>
          <w:bCs/>
          <w:sz w:val="24"/>
        </w:rPr>
        <w:t>作为本公司的合法代理人，就（</w:t>
      </w:r>
      <w:r>
        <w:rPr>
          <w:rFonts w:hint="eastAsia" w:asciiTheme="minorEastAsia" w:hAnsiTheme="minorEastAsia" w:eastAsiaTheme="minorEastAsia" w:cstheme="minorEastAsia"/>
          <w:bCs/>
          <w:sz w:val="24"/>
          <w:u w:val="single"/>
        </w:rPr>
        <w:t>项目名称、项目编号</w:t>
      </w:r>
      <w:r>
        <w:rPr>
          <w:rFonts w:hint="eastAsia" w:asciiTheme="minorEastAsia" w:hAnsiTheme="minorEastAsia" w:eastAsiaTheme="minorEastAsia" w:cstheme="minorEastAsia"/>
          <w:bCs/>
          <w:sz w:val="24"/>
        </w:rPr>
        <w:t>）的竞争性磋商，以本公司的名义处理一切与之有关的事务。</w:t>
      </w:r>
    </w:p>
    <w:p>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本授权书自    年  月  日至   年  月  日止签字有效。</w:t>
      </w:r>
    </w:p>
    <w:p>
      <w:pPr>
        <w:spacing w:line="44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特此声明。</w:t>
      </w:r>
    </w:p>
    <w:p>
      <w:pPr>
        <w:spacing w:before="156" w:beforeLines="50" w:after="312" w:afterLines="100" w:line="440" w:lineRule="exact"/>
        <w:rPr>
          <w:rFonts w:asciiTheme="minorEastAsia" w:hAnsiTheme="minorEastAsia" w:eastAsiaTheme="minorEastAsia" w:cstheme="minorEastAsia"/>
          <w:bCs/>
          <w:sz w:val="24"/>
        </w:rPr>
      </w:pPr>
    </w:p>
    <w:p>
      <w:pPr>
        <w:spacing w:before="312" w:beforeLines="100" w:after="100" w:afterAutospacing="1"/>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委托人名称（公章）：                     被授权人（签章）：</w:t>
      </w:r>
    </w:p>
    <w:p>
      <w:pPr>
        <w:spacing w:before="312" w:beforeLines="100" w:after="100" w:afterAutospacing="1"/>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法定代表人（签章）：                     身份证号码：</w:t>
      </w:r>
    </w:p>
    <w:p>
      <w:pPr>
        <w:spacing w:before="312" w:beforeLines="100" w:after="100" w:afterAutospacing="1"/>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电话：                                  电话（手机）：</w:t>
      </w:r>
    </w:p>
    <w:p>
      <w:pPr>
        <w:spacing w:before="312" w:beforeLines="100" w:after="100" w:afterAutospacing="1"/>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传真：                                  办公电话/传真：</w:t>
      </w:r>
    </w:p>
    <w:p>
      <w:pPr>
        <w:spacing w:before="156" w:beforeLines="50" w:after="312" w:afterLines="100"/>
        <w:rPr>
          <w:rFonts w:asciiTheme="minorEastAsia" w:hAnsiTheme="minorEastAsia" w:eastAsiaTheme="minorEastAsia" w:cstheme="minorEastAsia"/>
          <w:bCs/>
          <w:sz w:val="24"/>
          <w:u w:val="singl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522" w:type="dxa"/>
          </w:tcPr>
          <w:p>
            <w:pPr>
              <w:keepNext w:val="0"/>
              <w:keepLines w:val="0"/>
              <w:suppressLineNumbers w:val="0"/>
              <w:spacing w:before="156" w:beforeLines="50" w:beforeAutospacing="0" w:after="312" w:afterLines="100" w:afterAutospacing="0"/>
              <w:ind w:left="0" w:right="0"/>
              <w:rPr>
                <w:rFonts w:hint="default"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粘贴法定代表人以及被授权人身份证</w:t>
            </w:r>
          </w:p>
        </w:tc>
      </w:tr>
    </w:tbl>
    <w:p>
      <w:pPr>
        <w:spacing w:before="156" w:beforeLines="50" w:after="312" w:afterLines="100"/>
        <w:rPr>
          <w:rFonts w:asciiTheme="minorEastAsia" w:hAnsiTheme="minorEastAsia" w:eastAsiaTheme="minorEastAsia" w:cstheme="minorEastAsia"/>
          <w:bCs/>
          <w:sz w:val="24"/>
        </w:rPr>
      </w:pPr>
    </w:p>
    <w:p>
      <w:pPr>
        <w:spacing w:before="156" w:beforeLines="50" w:after="312" w:afterLines="1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r>
        <w:rPr>
          <w:rFonts w:hint="eastAsia" w:asciiTheme="minorEastAsia" w:hAnsiTheme="minorEastAsia" w:eastAsiaTheme="minorEastAsia" w:cstheme="minorEastAsia"/>
          <w:bCs/>
          <w:sz w:val="24"/>
        </w:rPr>
        <w:t>附件8</w:t>
      </w:r>
    </w:p>
    <w:p>
      <w:pPr>
        <w:spacing w:line="50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法人或者其他组织的营业执照等证明文件，自然人的</w:t>
      </w:r>
    </w:p>
    <w:p>
      <w:pPr>
        <w:spacing w:line="50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身份证明等证明材料</w:t>
      </w:r>
    </w:p>
    <w:p>
      <w:pPr>
        <w:rPr>
          <w:rFonts w:asciiTheme="minorEastAsia" w:hAnsiTheme="minorEastAsia" w:eastAsiaTheme="minorEastAsia" w:cstheme="minorEastAsia"/>
          <w:bCs/>
          <w:szCs w:val="28"/>
        </w:rPr>
      </w:pPr>
    </w:p>
    <w:p>
      <w:pPr>
        <w:spacing w:line="440" w:lineRule="exact"/>
        <w:ind w:left="360" w:hanging="360" w:hangingChars="15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（企业法人营业执照、税务登记证，供应商是自然人的身份证明材料等）</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供应商根据自身情况提供对应的证明材料：</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1. 法人</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(1) 企业法人（包括合伙企业）：提供有效“企业法人营业执照”或“营业执照”；</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(2) 事业单位法人：提供有效的“事业单位法人证书”。</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2 其他组织</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(1) 非企业专业服务机构：提供执业许可证等证明文件；</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(2) 个体工商户：提供有效的“个体工商户营业执照”。</w:t>
      </w:r>
    </w:p>
    <w:p>
      <w:pPr>
        <w:spacing w:before="156" w:beforeLines="50" w:after="156" w:afterLines="50"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3 自然人：提供有效的自然人身份证明。（仅限中国公民）</w:t>
      </w:r>
    </w:p>
    <w:p>
      <w:pPr>
        <w:spacing w:line="440" w:lineRule="exact"/>
        <w:ind w:left="360" w:hanging="360" w:hangingChars="150"/>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br w:type="page"/>
      </w:r>
    </w:p>
    <w:p>
      <w:pPr>
        <w:spacing w:line="440" w:lineRule="exact"/>
        <w:ind w:left="360" w:hanging="360" w:hanging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附件9</w:t>
      </w:r>
    </w:p>
    <w:p>
      <w:pPr>
        <w:spacing w:line="50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财务状况报告，依法缴纳税收和社会保障资金的相关材料</w:t>
      </w:r>
    </w:p>
    <w:p>
      <w:pPr>
        <w:rPr>
          <w:rFonts w:asciiTheme="minorEastAsia" w:hAnsiTheme="minorEastAsia" w:eastAsiaTheme="minorEastAsia" w:cstheme="minorEastAsia"/>
          <w:bCs/>
          <w:szCs w:val="28"/>
        </w:rPr>
      </w:pP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 xml:space="preserve">供应商根据自身情况提供对应的证明材料； </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1.财务状况报告</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(1) 法人：提供经第三方审计的财务报告（完整的财务报告，包括“四表一注”，即资产负债表、利润表、现金流量表、所有者权益变动表及其附注），或其基本存款账户开户银行出具的资信证明；</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(2) 部分其他组织和自然人：没有经第三方审计的财务报告的，可以提供银行出具的资信证明；</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(3) 供应商没有经第三方审计的财务报告和资信证明时，也可以提供财政部门认可的政府采购专业担保机构出具的投标担保函。</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2.依法缴纳税收和社会保障资金的证明材料</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(1) 法人</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 xml:space="preserve">a. 依法缴纳税收的证明材料：提供本项目磋商公告发布时间前 6 个月内（至少提供 1 个月）缴纳税收的凭据（完税证、缴款书、银行代扣（代缴）转账凭证等均可）； </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 xml:space="preserve">b. 依法缴纳社会保障资金的证明材料：提供本项目磋商公告发布时间前 6 个月内（至少提供 1 个月）缴纳社会保险的凭据（完税证、银行代扣（代缴）转账凭证、专用收据或社会保险交纳清单等均可）； </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(2) 其他组织和自然人</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 xml:space="preserve">a. 依法缴纳税收的证明材料：提供本项目磋商公告发布时间前 6 个月内（至少提供 1 个月）缴纳税收的凭据（完税证、缴款书、银行代扣（代缴）转账凭证等均可）； </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 xml:space="preserve">b. 依法缴纳社会保障资金的证明材料：提供本项目磋商公告发布时间前 6 个月内（至少提供 1 个月）缴纳社会保险的凭据（完税证、银行代扣（代缴）转账凭证、专用收据或社会保险交纳清单等均可）； </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(3) 依法免税或不需要缴纳社会保险资金的供应商</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提供其依法免税或不需要缴纳社会保险资金的相关证明文件。</w:t>
      </w:r>
    </w:p>
    <w:p>
      <w:pPr>
        <w:spacing w:line="440" w:lineRule="exact"/>
        <w:ind w:left="2" w:leftChars="1" w:firstLine="42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bCs/>
          <w:sz w:val="24"/>
        </w:rPr>
        <w:t>附件10</w:t>
      </w:r>
    </w:p>
    <w:p>
      <w:pPr>
        <w:widowControl/>
        <w:jc w:val="left"/>
        <w:rPr>
          <w:rFonts w:asciiTheme="minorEastAsia" w:hAnsiTheme="minorEastAsia" w:eastAsiaTheme="minorEastAsia" w:cstheme="minorEastAsia"/>
          <w:bCs/>
          <w:sz w:val="24"/>
        </w:rPr>
      </w:pPr>
    </w:p>
    <w:p>
      <w:pPr>
        <w:spacing w:line="44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具备履行合同所必需的设备和专业技术能力的</w:t>
      </w:r>
    </w:p>
    <w:p>
      <w:pPr>
        <w:spacing w:line="44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证明材料</w:t>
      </w:r>
    </w:p>
    <w:p>
      <w:pPr>
        <w:spacing w:line="440" w:lineRule="exact"/>
        <w:jc w:val="center"/>
        <w:rPr>
          <w:rFonts w:asciiTheme="minorEastAsia" w:hAnsiTheme="minorEastAsia" w:eastAsiaTheme="minorEastAsia" w:cstheme="minorEastAsia"/>
          <w:bCs/>
          <w:sz w:val="32"/>
          <w:szCs w:val="32"/>
        </w:rPr>
      </w:pPr>
    </w:p>
    <w:p>
      <w:pPr>
        <w:spacing w:line="50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（提供履行合同所必需的设备和专业技术能力的相关文件）</w:t>
      </w:r>
    </w:p>
    <w:p>
      <w:pPr>
        <w:spacing w:line="360" w:lineRule="auto"/>
        <w:ind w:firstLine="480" w:firstLineChars="200"/>
        <w:rPr>
          <w:rFonts w:asciiTheme="minorEastAsia" w:hAnsiTheme="minorEastAsia" w:eastAsiaTheme="minorEastAsia" w:cstheme="minorEastAsia"/>
          <w:kern w:val="0"/>
          <w:sz w:val="24"/>
          <w:szCs w:val="32"/>
        </w:rPr>
      </w:pP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1.提供具备履行合同所必需的设施设备的证明材料；</w:t>
      </w:r>
    </w:p>
    <w:p>
      <w:pPr>
        <w:spacing w:line="360" w:lineRule="auto"/>
        <w:ind w:firstLine="480" w:firstLineChars="200"/>
        <w:rPr>
          <w:rFonts w:asciiTheme="minorEastAsia" w:hAnsiTheme="minorEastAsia" w:eastAsiaTheme="minorEastAsia" w:cstheme="minorEastAsia"/>
          <w:kern w:val="0"/>
          <w:sz w:val="24"/>
          <w:szCs w:val="32"/>
        </w:rPr>
      </w:pPr>
      <w:r>
        <w:rPr>
          <w:rFonts w:hint="eastAsia" w:asciiTheme="minorEastAsia" w:hAnsiTheme="minorEastAsia" w:eastAsiaTheme="minorEastAsia" w:cstheme="minorEastAsia"/>
          <w:kern w:val="0"/>
          <w:sz w:val="24"/>
          <w:szCs w:val="32"/>
        </w:rPr>
        <w:t>2.提供具备履行合同所必需的技术人员的证明材料。</w:t>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spacing w:before="156" w:beforeLines="50" w:after="312" w:afterLines="1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附件11</w:t>
      </w:r>
    </w:p>
    <w:p>
      <w:pPr>
        <w:spacing w:line="44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参加政府采购活动前3年内在经营活动中</w:t>
      </w:r>
    </w:p>
    <w:p>
      <w:pPr>
        <w:spacing w:line="440" w:lineRule="exact"/>
        <w:jc w:val="center"/>
        <w:rPr>
          <w:rFonts w:ascii="宋体" w:hAnsi="宋体"/>
          <w:b/>
          <w:sz w:val="32"/>
          <w:szCs w:val="32"/>
          <w:highlight w:val="yellow"/>
        </w:rPr>
      </w:pPr>
      <w:r>
        <w:rPr>
          <w:rFonts w:hint="eastAsia" w:asciiTheme="minorEastAsia" w:hAnsiTheme="minorEastAsia" w:eastAsiaTheme="minorEastAsia" w:cstheme="minorEastAsia"/>
          <w:bCs/>
          <w:sz w:val="32"/>
          <w:szCs w:val="32"/>
        </w:rPr>
        <w:t>没有重大违法记录的书面声明</w:t>
      </w:r>
    </w:p>
    <w:p>
      <w:pPr>
        <w:spacing w:line="360" w:lineRule="auto"/>
        <w:rPr>
          <w:rFonts w:cs="Times New Roman" w:asciiTheme="minorEastAsia" w:hAnsiTheme="minorEastAsia"/>
          <w:b/>
          <w:sz w:val="28"/>
          <w:szCs w:val="28"/>
          <w:highlight w:val="yellow"/>
        </w:rPr>
      </w:pPr>
    </w:p>
    <w:p>
      <w:pPr>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湖北省建始县中等职业技术学校</w:t>
      </w:r>
      <w:r>
        <w:rPr>
          <w:rFonts w:hint="eastAsia" w:asciiTheme="minorEastAsia" w:hAnsiTheme="minorEastAsia" w:eastAsiaTheme="minorEastAsia" w:cstheme="minorEastAsia"/>
          <w:b/>
          <w:sz w:val="28"/>
          <w:szCs w:val="28"/>
        </w:rPr>
        <w:t>：</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(供应商全称)  参加贵中心组织的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bCs/>
          <w:sz w:val="24"/>
          <w:szCs w:val="24"/>
        </w:rPr>
        <w:t xml:space="preserve"> 项目(项目编号：          )的政府采购活动，根据招标文件的规定提交相关资格证明文件。本单位郑重声明如下：</w:t>
      </w:r>
    </w:p>
    <w:p>
      <w:pPr>
        <w:pStyle w:val="57"/>
        <w:numPr>
          <w:ilvl w:val="1"/>
          <w:numId w:val="11"/>
        </w:numPr>
        <w:tabs>
          <w:tab w:val="left" w:pos="854"/>
        </w:tabs>
        <w:spacing w:line="360" w:lineRule="auto"/>
        <w:ind w:left="11"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57"/>
        <w:numPr>
          <w:ilvl w:val="1"/>
          <w:numId w:val="11"/>
        </w:numPr>
        <w:tabs>
          <w:tab w:val="left" w:pos="854"/>
        </w:tabs>
        <w:spacing w:line="360" w:lineRule="auto"/>
        <w:ind w:left="11"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参加本项目政府采购活动前三年内，本单位未受到过全国各级人民政府财政部门依法作出的禁止参加政府采购活动等行政处罚决定；</w:t>
      </w:r>
    </w:p>
    <w:p>
      <w:pPr>
        <w:pStyle w:val="57"/>
        <w:numPr>
          <w:ilvl w:val="1"/>
          <w:numId w:val="11"/>
        </w:numPr>
        <w:tabs>
          <w:tab w:val="left" w:pos="854"/>
        </w:tabs>
        <w:spacing w:line="360" w:lineRule="auto"/>
        <w:ind w:left="11"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如上述声明内容不实，本单位自愿接受政府采购监管部门按照《政府采购法》关于提供虚假材料的规定给予处罚。</w:t>
      </w:r>
    </w:p>
    <w:p>
      <w:pPr>
        <w:tabs>
          <w:tab w:val="left" w:pos="854"/>
        </w:tabs>
        <w:spacing w:line="360" w:lineRule="auto"/>
        <w:rPr>
          <w:rFonts w:asciiTheme="minorEastAsia" w:hAnsiTheme="minorEastAsia"/>
          <w:bCs/>
          <w:sz w:val="24"/>
          <w:szCs w:val="24"/>
        </w:rPr>
      </w:pPr>
    </w:p>
    <w:p>
      <w:pPr>
        <w:tabs>
          <w:tab w:val="left" w:pos="854"/>
        </w:tabs>
        <w:spacing w:line="360" w:lineRule="auto"/>
        <w:rPr>
          <w:rFonts w:asciiTheme="minorEastAsia" w:hAnsiTheme="minorEastAsia"/>
          <w:bCs/>
          <w:sz w:val="24"/>
          <w:szCs w:val="24"/>
        </w:rPr>
      </w:pPr>
    </w:p>
    <w:p>
      <w:pPr>
        <w:ind w:firstLine="5520" w:firstLineChars="23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spacing w:line="360" w:lineRule="auto"/>
        <w:ind w:firstLine="5520" w:firstLineChars="2300"/>
        <w:rPr>
          <w:rFonts w:ascii="宋体" w:hAnsi="宋体" w:cs="Times New Roman"/>
          <w:sz w:val="24"/>
          <w:lang w:val="zh-CN"/>
        </w:rPr>
      </w:pPr>
      <w:r>
        <w:rPr>
          <w:rFonts w:hint="eastAsia" w:ascii="宋体" w:hAnsi="宋体" w:cs="Times New Roman"/>
          <w:sz w:val="24"/>
          <w:lang w:val="zh-CN"/>
        </w:rPr>
        <w:t xml:space="preserve">   </w:t>
      </w:r>
    </w:p>
    <w:p>
      <w:pPr>
        <w:spacing w:line="360" w:lineRule="auto"/>
        <w:ind w:firstLine="5520" w:firstLineChars="2300"/>
      </w:pPr>
      <w:r>
        <w:rPr>
          <w:rFonts w:hint="eastAsia" w:ascii="宋体" w:hAnsi="宋体" w:cs="Times New Roman"/>
          <w:sz w:val="24"/>
          <w:lang w:val="zh-CN"/>
        </w:rPr>
        <w:t xml:space="preserve">          </w:t>
      </w:r>
      <w:r>
        <w:rPr>
          <w:rFonts w:hint="eastAsia" w:ascii="宋体" w:hAnsi="宋体" w:cs="Times New Roman"/>
          <w:b/>
          <w:bCs/>
          <w:sz w:val="24"/>
          <w:lang w:val="zh-CN"/>
        </w:rPr>
        <w:t xml:space="preserve">                  </w:t>
      </w:r>
    </w:p>
    <w:p>
      <w:pPr>
        <w:widowControl/>
        <w:tabs>
          <w:tab w:val="right" w:leader="dot" w:pos="9514"/>
        </w:tabs>
        <w:spacing w:line="360" w:lineRule="auto"/>
        <w:jc w:val="left"/>
        <w:rPr>
          <w:rFonts w:eastAsia="黑体"/>
          <w:b/>
          <w:iCs/>
          <w:kern w:val="0"/>
          <w:sz w:val="28"/>
        </w:rPr>
        <w:sectPr>
          <w:footerReference r:id="rId13" w:type="default"/>
          <w:pgSz w:w="11906" w:h="16838"/>
          <w:pgMar w:top="1134" w:right="1191" w:bottom="1134" w:left="1191" w:header="851" w:footer="992" w:gutter="0"/>
          <w:pgNumType w:fmt="decimal"/>
          <w:cols w:space="425" w:num="1"/>
          <w:docGrid w:type="linesAndChars" w:linePitch="312" w:charSpace="0"/>
        </w:sectPr>
      </w:pPr>
    </w:p>
    <w:p>
      <w:pPr>
        <w:widowControl/>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24"/>
        </w:rPr>
        <w:t>附件12</w:t>
      </w:r>
    </w:p>
    <w:p>
      <w:pPr>
        <w:adjustRightInd w:val="0"/>
        <w:snapToGrid w:val="0"/>
        <w:jc w:val="center"/>
        <w:outlineLvl w:val="0"/>
        <w:rPr>
          <w:rFonts w:asciiTheme="minorEastAsia" w:hAnsiTheme="minorEastAsia" w:eastAsiaTheme="minorEastAsia" w:cstheme="minorEastAsia"/>
          <w:sz w:val="32"/>
          <w:szCs w:val="32"/>
        </w:rPr>
      </w:pPr>
    </w:p>
    <w:p>
      <w:pPr>
        <w:spacing w:line="44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与采购人和集中采购机构没有任何隶属关系或其他利害</w:t>
      </w:r>
    </w:p>
    <w:p>
      <w:pPr>
        <w:spacing w:line="44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关系的书面声明</w:t>
      </w:r>
    </w:p>
    <w:p>
      <w:pPr>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湖北省建始县中等职业技术学校</w:t>
      </w:r>
      <w:r>
        <w:rPr>
          <w:rFonts w:hint="eastAsia" w:asciiTheme="minorEastAsia" w:hAnsiTheme="minorEastAsia" w:eastAsiaTheme="minorEastAsia" w:cstheme="minorEastAsia"/>
          <w:b/>
          <w:sz w:val="28"/>
          <w:szCs w:val="28"/>
        </w:rPr>
        <w:t>：</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Cs/>
          <w:sz w:val="24"/>
          <w:szCs w:val="24"/>
        </w:rPr>
        <w:t xml:space="preserve"> 正文内容由供应商自行填写</w:t>
      </w:r>
    </w:p>
    <w:p>
      <w:pPr>
        <w:spacing w:before="156" w:beforeLines="50" w:after="312" w:afterLines="100"/>
        <w:rPr>
          <w:rFonts w:asciiTheme="minorEastAsia" w:hAnsiTheme="minorEastAsia" w:eastAsiaTheme="minorEastAsia" w:cstheme="minorEastAsia"/>
        </w:rPr>
      </w:pPr>
    </w:p>
    <w:p>
      <w:pPr>
        <w:pStyle w:val="5"/>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5"/>
        <w:rPr>
          <w:rFonts w:asciiTheme="minorEastAsia" w:hAnsiTheme="minorEastAsia" w:eastAsiaTheme="minorEastAsia" w:cstheme="minorEastAsia"/>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spacing w:line="360" w:lineRule="auto"/>
        <w:ind w:firstLine="2902" w:firstLineChars="1382"/>
      </w:pPr>
      <w:r>
        <w:rPr>
          <w:rFonts w:hint="eastAsia"/>
        </w:rPr>
        <w:t xml:space="preserve">       </w:t>
      </w:r>
      <w:r>
        <w:rPr>
          <w:rFonts w:hint="eastAsia" w:ascii="Times New Roman" w:hAnsi="宋体" w:cs="Times New Roman"/>
          <w:sz w:val="24"/>
          <w:szCs w:val="24"/>
        </w:rPr>
        <w:t xml:space="preserve">   </w:t>
      </w:r>
      <w:r>
        <w:rPr>
          <w:rFonts w:hint="eastAsia" w:ascii="宋体" w:hAnsi="宋体" w:cs="Times New Roman"/>
          <w:sz w:val="24"/>
          <w:lang w:val="zh-CN"/>
        </w:rPr>
        <w:t xml:space="preserve">        </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附件13</w:t>
      </w:r>
    </w:p>
    <w:p>
      <w:pPr>
        <w:adjustRightInd w:val="0"/>
        <w:snapToGrid w:val="0"/>
        <w:jc w:val="center"/>
        <w:outlineLvl w:val="0"/>
        <w:rPr>
          <w:rFonts w:asciiTheme="minorEastAsia" w:hAnsiTheme="minorEastAsia" w:eastAsiaTheme="minorEastAsia" w:cstheme="minorEastAsia"/>
          <w:sz w:val="32"/>
          <w:szCs w:val="32"/>
        </w:rPr>
      </w:pPr>
    </w:p>
    <w:p>
      <w:pPr>
        <w:spacing w:line="44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不存在“单位负责人为同一人或者存在直接控股、管理关系的不同供应商，参加同一合同项下的政府采购活动”情形的书面声明</w:t>
      </w:r>
    </w:p>
    <w:p>
      <w:pPr>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湖北省建始县中等职业技术学校</w:t>
      </w:r>
      <w:r>
        <w:rPr>
          <w:rFonts w:hint="eastAsia" w:asciiTheme="minorEastAsia" w:hAnsiTheme="minorEastAsia" w:eastAsiaTheme="minorEastAsia" w:cstheme="minorEastAsia"/>
          <w:b/>
          <w:sz w:val="28"/>
          <w:szCs w:val="28"/>
        </w:rPr>
        <w:t>：</w:t>
      </w:r>
    </w:p>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szCs w:val="24"/>
        </w:rPr>
        <w:t>正文内容由供应商自行填写</w:t>
      </w:r>
    </w:p>
    <w:p>
      <w:pPr>
        <w:spacing w:before="156" w:beforeLines="50" w:after="312" w:afterLines="100"/>
        <w:rPr>
          <w:rFonts w:asciiTheme="minorEastAsia" w:hAnsiTheme="minorEastAsia" w:eastAsiaTheme="minorEastAsia" w:cstheme="minorEastAsia"/>
        </w:rPr>
      </w:pPr>
    </w:p>
    <w:p>
      <w:pPr>
        <w:pStyle w:val="5"/>
        <w:rPr>
          <w:rFonts w:asciiTheme="minorEastAsia" w:hAnsiTheme="minorEastAsia" w:eastAsiaTheme="minorEastAsia" w:cstheme="minorEastAsia"/>
        </w:rPr>
      </w:pPr>
    </w:p>
    <w:p>
      <w:pPr>
        <w:rPr>
          <w:rFonts w:asciiTheme="minorEastAsia" w:hAnsiTheme="minorEastAsia" w:eastAsiaTheme="minorEastAsia" w:cstheme="minorEastAsia"/>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pStyle w:val="5"/>
      </w:pPr>
    </w:p>
    <w:p/>
    <w:p>
      <w:pPr>
        <w:pStyle w:val="5"/>
      </w:pPr>
    </w:p>
    <w:p/>
    <w:p>
      <w:pPr>
        <w:pStyle w:val="5"/>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widowControl/>
        <w:jc w:val="left"/>
        <w:rPr>
          <w:rFonts w:hint="eastAsia" w:asciiTheme="minorEastAsia" w:hAnsiTheme="minorEastAsia" w:eastAsiaTheme="minorEastAsia" w:cstheme="minorEastAsia"/>
          <w:bCs/>
          <w:sz w:val="24"/>
        </w:rPr>
      </w:pPr>
    </w:p>
    <w:p>
      <w:pPr>
        <w:widowControl/>
        <w:jc w:val="left"/>
        <w:rPr>
          <w:rFonts w:hint="eastAsia" w:asciiTheme="minorEastAsia" w:hAnsiTheme="minorEastAsia" w:eastAsiaTheme="minorEastAsia" w:cstheme="minorEastAsia"/>
          <w:bCs/>
          <w:sz w:val="24"/>
        </w:rPr>
      </w:pPr>
    </w:p>
    <w:p>
      <w:pPr>
        <w:widowControl/>
        <w:jc w:val="left"/>
        <w:rPr>
          <w:rFonts w:hint="eastAsia" w:asciiTheme="minorEastAsia" w:hAnsiTheme="minorEastAsia" w:eastAsiaTheme="minorEastAsia" w:cstheme="minorEastAsia"/>
          <w:bCs/>
          <w:sz w:val="24"/>
        </w:rPr>
      </w:pPr>
    </w:p>
    <w:p>
      <w:pPr>
        <w:widowControl/>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24"/>
        </w:rPr>
        <w:t>附件14</w:t>
      </w:r>
    </w:p>
    <w:p>
      <w:pPr>
        <w:adjustRightInd w:val="0"/>
        <w:snapToGrid w:val="0"/>
        <w:jc w:val="center"/>
        <w:outlineLvl w:val="0"/>
        <w:rPr>
          <w:rFonts w:asciiTheme="minorEastAsia" w:hAnsiTheme="minorEastAsia" w:eastAsiaTheme="minorEastAsia" w:cstheme="minorEastAsia"/>
          <w:sz w:val="32"/>
          <w:szCs w:val="32"/>
        </w:rPr>
      </w:pPr>
    </w:p>
    <w:p>
      <w:pPr>
        <w:spacing w:line="440" w:lineRule="exact"/>
        <w:jc w:val="cente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不存在“除单一来源采购项目外，为采购项目提供整体设计、规范编制或者项目管理、监理、检测等服务的供应商，再参加该采购项目的其他采购活动”情形的书面声明</w:t>
      </w:r>
    </w:p>
    <w:p>
      <w:pPr>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湖北省建始县中等职业技术学校</w:t>
      </w:r>
      <w:r>
        <w:rPr>
          <w:rFonts w:hint="eastAsia" w:asciiTheme="minorEastAsia" w:hAnsiTheme="minorEastAsia" w:eastAsiaTheme="minorEastAsia" w:cstheme="minorEastAsia"/>
          <w:b/>
          <w:sz w:val="28"/>
          <w:szCs w:val="28"/>
        </w:rPr>
        <w:t>：</w:t>
      </w:r>
    </w:p>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szCs w:val="24"/>
        </w:rPr>
        <w:t>正文内容由供应商自行填写</w:t>
      </w:r>
    </w:p>
    <w:p>
      <w:pPr>
        <w:spacing w:before="156" w:beforeLines="50" w:after="312" w:afterLines="100"/>
        <w:rPr>
          <w:rFonts w:asciiTheme="minorEastAsia" w:hAnsiTheme="minorEastAsia" w:eastAsiaTheme="minorEastAsia" w:cstheme="minorEastAsia"/>
        </w:rPr>
      </w:pPr>
    </w:p>
    <w:p>
      <w:pPr>
        <w:pStyle w:val="5"/>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5"/>
        <w:rPr>
          <w:rFonts w:asciiTheme="minorEastAsia" w:hAnsiTheme="minorEastAsia" w:eastAsiaTheme="minorEastAsia" w:cstheme="minorEastAsia"/>
        </w:rPr>
      </w:pPr>
    </w:p>
    <w:p>
      <w:pPr>
        <w:ind w:firstLine="5040" w:firstLineChars="21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zh-CN"/>
        </w:rPr>
        <w:t xml:space="preserve"> (公章)：                      </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                                          供应商</w:t>
      </w:r>
      <w:r>
        <w:rPr>
          <w:rFonts w:hint="eastAsia" w:asciiTheme="minorEastAsia" w:hAnsiTheme="minorEastAsia" w:eastAsiaTheme="minorEastAsia" w:cstheme="minorEastAsia"/>
          <w:sz w:val="24"/>
          <w:szCs w:val="24"/>
          <w:lang w:val="zh-CN"/>
        </w:rPr>
        <w:t xml:space="preserve">授权代表（签字）：                  </w:t>
      </w:r>
    </w:p>
    <w:p>
      <w:pPr>
        <w:rPr>
          <w:rFonts w:asciiTheme="minorEastAsia" w:hAnsiTheme="minorEastAsia" w:eastAsiaTheme="minorEastAsia" w:cstheme="minorEastAsia"/>
          <w:sz w:val="24"/>
          <w:szCs w:val="24"/>
          <w:lang w:val="zh-CN"/>
        </w:rPr>
      </w:pP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lang w:val="zh-CN"/>
        </w:rPr>
        <w:t xml:space="preserve">   </w:t>
      </w:r>
    </w:p>
    <w:p>
      <w:pPr>
        <w:rPr>
          <w:rFonts w:asciiTheme="minorEastAsia" w:hAnsiTheme="minorEastAsia" w:eastAsiaTheme="minorEastAsia" w:cstheme="minorEastAsia"/>
        </w:rPr>
      </w:pPr>
    </w:p>
    <w:p>
      <w:pPr>
        <w:pStyle w:val="5"/>
      </w:pPr>
    </w:p>
    <w:p>
      <w:pPr>
        <w:rPr>
          <w:rFonts w:asciiTheme="minorEastAsia" w:hAnsiTheme="minorEastAsia" w:eastAsiaTheme="minorEastAsia" w:cstheme="minorEastAsia"/>
        </w:rPr>
      </w:pPr>
      <w:r>
        <w:rPr>
          <w:rFonts w:hint="eastAsia" w:ascii="宋体" w:hAnsi="宋体" w:cs="Times New Roman"/>
          <w:lang w:val="zh-CN"/>
        </w:rPr>
        <w:t xml:space="preserve"> </w:t>
      </w:r>
    </w:p>
    <w:p>
      <w:pPr>
        <w:rPr>
          <w:rFonts w:asciiTheme="minorEastAsia" w:hAnsiTheme="minorEastAsia" w:eastAsiaTheme="minorEastAsia" w:cstheme="minorEastAsia"/>
          <w:sz w:val="24"/>
        </w:rPr>
      </w:pPr>
    </w:p>
    <w:p>
      <w:pPr>
        <w:pStyle w:val="5"/>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pStyle w:val="5"/>
        <w:rPr>
          <w:rFonts w:asciiTheme="minorEastAsia" w:hAnsiTheme="minorEastAsia" w:eastAsiaTheme="minorEastAsia" w:cstheme="minorEastAsia"/>
          <w:sz w:val="24"/>
        </w:rPr>
      </w:pPr>
    </w:p>
    <w:p>
      <w:r>
        <w:rPr>
          <w:rFonts w:hint="eastAsia"/>
        </w:rPr>
        <w:br w:type="textWrapping"/>
      </w:r>
    </w:p>
    <w:p>
      <w:pPr>
        <w:rPr>
          <w:rFonts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附件15-1</w:t>
      </w:r>
    </w:p>
    <w:p>
      <w:pPr>
        <w:keepNext w:val="0"/>
        <w:keepLines w:val="0"/>
        <w:widowControl/>
        <w:suppressLineNumbers w:val="0"/>
        <w:ind w:firstLine="2168" w:firstLineChars="600"/>
        <w:jc w:val="left"/>
        <w:rPr>
          <w:rFonts w:hint="eastAsia" w:ascii="宋体" w:hAnsi="宋体" w:eastAsia="宋体" w:cs="宋体"/>
          <w:b/>
          <w:bCs/>
          <w:color w:val="000000"/>
          <w:kern w:val="0"/>
          <w:sz w:val="36"/>
          <w:szCs w:val="36"/>
          <w:lang w:val="en-US" w:eastAsia="zh-CN" w:bidi="ar"/>
        </w:rPr>
      </w:pPr>
      <w:bookmarkStart w:id="31" w:name="OLE_LINK13"/>
      <w:bookmarkStart w:id="32" w:name="OLE_LINK14"/>
      <w:r>
        <w:rPr>
          <w:rFonts w:hint="eastAsia" w:ascii="宋体" w:hAnsi="宋体" w:eastAsia="宋体" w:cs="宋体"/>
          <w:b/>
          <w:bCs/>
          <w:color w:val="000000"/>
          <w:kern w:val="0"/>
          <w:sz w:val="36"/>
          <w:szCs w:val="36"/>
          <w:lang w:val="en-US" w:eastAsia="zh-CN" w:bidi="ar"/>
        </w:rPr>
        <w:t>中小企业声明函（货物）</w:t>
      </w:r>
    </w:p>
    <w:p>
      <w:pPr>
        <w:pStyle w:val="15"/>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本公司（联合体）郑重声明，根据《政府采购促进中小企业发展管理办法》（财库﹝2020﹞46号）的规定，本公司（联合体）参加</w:t>
      </w:r>
      <w:r>
        <w:rPr>
          <w:rFonts w:hint="eastAsia" w:ascii="宋体" w:hAnsi="宋体" w:eastAsia="宋体" w:cs="宋体"/>
          <w:sz w:val="24"/>
          <w:szCs w:val="28"/>
          <w:u w:val="single"/>
          <w:lang w:val="en-US" w:eastAsia="zh-CN"/>
        </w:rPr>
        <w:t>（单位名称）</w:t>
      </w:r>
      <w:r>
        <w:rPr>
          <w:rFonts w:hint="eastAsia" w:ascii="宋体" w:hAnsi="宋体" w:eastAsia="宋体" w:cs="宋体"/>
          <w:sz w:val="24"/>
          <w:szCs w:val="28"/>
          <w:lang w:val="en-US" w:eastAsia="zh-CN"/>
        </w:rPr>
        <w:t>的</w:t>
      </w:r>
      <w:r>
        <w:rPr>
          <w:rFonts w:hint="eastAsia" w:ascii="宋体" w:hAnsi="宋体" w:eastAsia="宋体" w:cs="宋体"/>
          <w:sz w:val="24"/>
          <w:szCs w:val="28"/>
          <w:u w:val="single"/>
          <w:lang w:val="en-US" w:eastAsia="zh-CN"/>
        </w:rPr>
        <w:t>（项目名称）</w:t>
      </w:r>
      <w:r>
        <w:rPr>
          <w:rFonts w:hint="eastAsia" w:ascii="宋体" w:hAnsi="宋体" w:eastAsia="宋体" w:cs="宋体"/>
          <w:sz w:val="24"/>
          <w:szCs w:val="28"/>
          <w:lang w:val="en-US" w:eastAsia="zh-CN"/>
        </w:rPr>
        <w:t>采购活动，提供的货物全部由符合政策要求的中小企业制造。相关企业（含联合体中的中小企业、签订分包意向协议的中小企业）的具体情况如下：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w:t>
      </w:r>
      <w:r>
        <w:rPr>
          <w:rFonts w:hint="eastAsia" w:ascii="宋体" w:hAnsi="宋体" w:eastAsia="宋体" w:cs="宋体"/>
          <w:sz w:val="24"/>
          <w:szCs w:val="28"/>
          <w:u w:val="single"/>
          <w:lang w:val="en-US" w:eastAsia="zh-CN"/>
        </w:rPr>
        <w:t>（标的名称）</w:t>
      </w:r>
      <w:r>
        <w:rPr>
          <w:rFonts w:hint="eastAsia" w:ascii="宋体" w:hAnsi="宋体" w:eastAsia="宋体" w:cs="宋体"/>
          <w:sz w:val="24"/>
          <w:szCs w:val="28"/>
          <w:lang w:val="en-US" w:eastAsia="zh-CN"/>
        </w:rPr>
        <w:t>，属于</w:t>
      </w:r>
      <w:r>
        <w:rPr>
          <w:rFonts w:hint="eastAsia" w:ascii="宋体" w:hAnsi="宋体" w:eastAsia="宋体" w:cs="宋体"/>
          <w:sz w:val="24"/>
          <w:szCs w:val="28"/>
          <w:u w:val="single"/>
          <w:lang w:val="en-US" w:eastAsia="zh-CN"/>
        </w:rPr>
        <w:t>（采购文件中明确的所属行业）</w:t>
      </w:r>
      <w:r>
        <w:rPr>
          <w:rFonts w:hint="eastAsia" w:ascii="宋体" w:hAnsi="宋体" w:eastAsia="宋体" w:cs="宋体"/>
          <w:sz w:val="24"/>
          <w:szCs w:val="28"/>
          <w:lang w:val="en-US" w:eastAsia="zh-CN"/>
        </w:rPr>
        <w:t>；制造商为</w:t>
      </w:r>
      <w:r>
        <w:rPr>
          <w:rFonts w:hint="eastAsia" w:ascii="宋体" w:hAnsi="宋体" w:eastAsia="宋体" w:cs="宋体"/>
          <w:sz w:val="24"/>
          <w:szCs w:val="28"/>
          <w:u w:val="single"/>
          <w:lang w:val="en-US" w:eastAsia="zh-CN"/>
        </w:rPr>
        <w:t>（企业名称）</w:t>
      </w:r>
      <w:r>
        <w:rPr>
          <w:rFonts w:hint="eastAsia" w:ascii="宋体" w:hAnsi="宋体" w:eastAsia="宋体" w:cs="宋体"/>
          <w:sz w:val="24"/>
          <w:szCs w:val="28"/>
          <w:lang w:val="en-US" w:eastAsia="zh-CN"/>
        </w:rPr>
        <w:t>，从业人员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u w:val="single"/>
          <w:lang w:val="en-US" w:eastAsia="zh-CN"/>
        </w:rPr>
        <w:t>（标的名称）</w:t>
      </w:r>
      <w:r>
        <w:rPr>
          <w:rFonts w:hint="eastAsia" w:ascii="宋体" w:hAnsi="宋体" w:eastAsia="宋体" w:cs="宋体"/>
          <w:sz w:val="24"/>
          <w:szCs w:val="28"/>
          <w:lang w:val="en-US" w:eastAsia="zh-CN"/>
        </w:rPr>
        <w:t>，属于</w:t>
      </w:r>
      <w:r>
        <w:rPr>
          <w:rFonts w:hint="eastAsia" w:ascii="宋体" w:hAnsi="宋体" w:eastAsia="宋体" w:cs="宋体"/>
          <w:sz w:val="24"/>
          <w:szCs w:val="28"/>
          <w:u w:val="single"/>
          <w:lang w:val="en-US" w:eastAsia="zh-CN"/>
        </w:rPr>
        <w:t>（采购文件中明确的所属行业）</w:t>
      </w:r>
      <w:r>
        <w:rPr>
          <w:rFonts w:hint="eastAsia" w:ascii="宋体" w:hAnsi="宋体" w:eastAsia="宋体" w:cs="宋体"/>
          <w:sz w:val="24"/>
          <w:szCs w:val="28"/>
          <w:lang w:val="en-US" w:eastAsia="zh-CN"/>
        </w:rPr>
        <w:t>；制造商为</w:t>
      </w:r>
      <w:r>
        <w:rPr>
          <w:rFonts w:hint="eastAsia" w:ascii="宋体" w:hAnsi="宋体" w:eastAsia="宋体" w:cs="宋体"/>
          <w:sz w:val="24"/>
          <w:szCs w:val="28"/>
          <w:u w:val="single"/>
          <w:lang w:val="en-US" w:eastAsia="zh-CN"/>
        </w:rPr>
        <w:t>（企业名称）</w:t>
      </w:r>
      <w:r>
        <w:rPr>
          <w:rFonts w:hint="eastAsia" w:ascii="宋体" w:hAnsi="宋体" w:eastAsia="宋体" w:cs="宋体"/>
          <w:sz w:val="24"/>
          <w:szCs w:val="28"/>
          <w:lang w:val="en-US" w:eastAsia="zh-CN"/>
        </w:rPr>
        <w:t>，从业人员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15"/>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15"/>
        <w:rPr>
          <w:rFonts w:hint="eastAsia" w:ascii="宋体" w:hAnsi="宋体" w:eastAsia="宋体" w:cs="宋体"/>
          <w:sz w:val="24"/>
          <w:szCs w:val="28"/>
          <w:lang w:val="en-US" w:eastAsia="zh-CN"/>
        </w:rPr>
      </w:pPr>
    </w:p>
    <w:p>
      <w:pPr>
        <w:pStyle w:val="15"/>
        <w:rPr>
          <w:rFonts w:hint="eastAsia" w:ascii="宋体" w:hAnsi="宋体" w:eastAsia="宋体" w:cs="宋体"/>
          <w:sz w:val="24"/>
          <w:szCs w:val="28"/>
          <w:lang w:val="en-US" w:eastAsia="zh-CN"/>
        </w:rPr>
      </w:pPr>
    </w:p>
    <w:p>
      <w:pPr>
        <w:pStyle w:val="15"/>
        <w:rPr>
          <w:rFonts w:hint="eastAsia" w:ascii="宋体" w:hAnsi="宋体" w:eastAsia="宋体" w:cs="宋体"/>
          <w:sz w:val="24"/>
          <w:szCs w:val="28"/>
          <w:lang w:val="en-US" w:eastAsia="zh-CN"/>
        </w:rPr>
      </w:pPr>
    </w:p>
    <w:p>
      <w:pPr>
        <w:pStyle w:val="15"/>
        <w:rPr>
          <w:rFonts w:hint="eastAsia" w:ascii="宋体" w:hAnsi="宋体" w:eastAsia="宋体" w:cs="宋体"/>
          <w:sz w:val="24"/>
          <w:szCs w:val="28"/>
          <w:lang w:val="en-US" w:eastAsia="zh-CN"/>
        </w:rPr>
      </w:pPr>
    </w:p>
    <w:p>
      <w:pPr>
        <w:bidi w:val="0"/>
        <w:jc w:val="left"/>
        <w:rPr>
          <w:rFonts w:hint="eastAsia" w:ascii="宋体" w:hAnsi="宋体" w:eastAsia="宋体" w:cs="宋体"/>
          <w:sz w:val="24"/>
        </w:rPr>
        <w:sectPr>
          <w:headerReference r:id="rId14" w:type="default"/>
          <w:footerReference r:id="rId15"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8"/>
          <w:lang w:val="en-US" w:eastAsia="zh-CN"/>
        </w:rPr>
        <w:t>从业人员、营业收入、资产总额填报上一年度数据，无上一年度数据的新成立企业可不填报</w:t>
      </w:r>
    </w:p>
    <w:p>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中小企业划型标准</w:t>
      </w:r>
    </w:p>
    <w:tbl>
      <w:tblPr>
        <w:tblStyle w:val="23"/>
        <w:tblW w:w="14920" w:type="dxa"/>
        <w:tblInd w:w="0" w:type="dxa"/>
        <w:tblLayout w:type="fixed"/>
        <w:tblCellMar>
          <w:top w:w="0" w:type="dxa"/>
          <w:left w:w="108" w:type="dxa"/>
          <w:bottom w:w="0" w:type="dxa"/>
          <w:right w:w="108" w:type="dxa"/>
        </w:tblCellMar>
      </w:tblPr>
      <w:tblGrid>
        <w:gridCol w:w="448"/>
        <w:gridCol w:w="1460"/>
        <w:gridCol w:w="973"/>
        <w:gridCol w:w="964"/>
        <w:gridCol w:w="1140"/>
        <w:gridCol w:w="1041"/>
        <w:gridCol w:w="951"/>
        <w:gridCol w:w="1159"/>
        <w:gridCol w:w="1113"/>
        <w:gridCol w:w="1005"/>
        <w:gridCol w:w="1223"/>
        <w:gridCol w:w="1113"/>
        <w:gridCol w:w="1256"/>
        <w:gridCol w:w="1074"/>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460" w:type="dxa"/>
            <w:vMerge w:val="restart"/>
            <w:tcBorders>
              <w:top w:val="single" w:color="auto" w:sz="4" w:space="0"/>
              <w:left w:val="nil"/>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小型企业</w:t>
            </w:r>
          </w:p>
        </w:tc>
        <w:tc>
          <w:tcPr>
            <w:tcW w:w="3443"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p>
        </w:tc>
        <w:tc>
          <w:tcPr>
            <w:tcW w:w="1460" w:type="dxa"/>
            <w:vMerge w:val="continue"/>
            <w:tcBorders>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总资产</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总资产</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58" w:leftChars="-40" w:right="-57" w:rightChars="-27" w:hanging="142" w:hangingChars="79"/>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总资产</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营业收入</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从业人员</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07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总资产</w:t>
            </w:r>
          </w:p>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4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农、林、牧、渔业</w:t>
            </w:r>
          </w:p>
        </w:tc>
        <w:tc>
          <w:tcPr>
            <w:tcW w:w="97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25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工业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≥40000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建筑业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≥80000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≥80000</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≥5000</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7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批发业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≥40000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零售业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交通运输业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仓储业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邮政业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9</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住宿业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餐饮业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信息传输业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12</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软件和信息技术服务业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183" w:rightChars="-87"/>
              <w:jc w:val="left"/>
              <w:rPr>
                <w:rFonts w:hint="eastAsia" w:ascii="宋体" w:hAnsi="宋体" w:eastAsia="宋体" w:cs="宋体"/>
                <w:kern w:val="0"/>
                <w:sz w:val="18"/>
                <w:szCs w:val="18"/>
              </w:rPr>
            </w:pPr>
            <w:r>
              <w:rPr>
                <w:rFonts w:hint="eastAsia" w:ascii="宋体" w:hAnsi="宋体" w:eastAsia="宋体" w:cs="宋体"/>
                <w:kern w:val="0"/>
                <w:sz w:val="18"/>
                <w:szCs w:val="18"/>
              </w:rPr>
              <w:t>房地产开发经验</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≥200000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或,≥10000</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且,≥5000</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且,≥2000</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7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11" w:leftChars="-40" w:right="-57" w:rightChars="-27" w:hanging="95" w:hangingChars="53"/>
              <w:jc w:val="center"/>
              <w:rPr>
                <w:rFonts w:hint="eastAsia" w:ascii="宋体" w:hAnsi="宋体" w:eastAsia="宋体" w:cs="宋体"/>
                <w:kern w:val="0"/>
                <w:sz w:val="18"/>
                <w:szCs w:val="18"/>
              </w:rPr>
            </w:pPr>
            <w:r>
              <w:rPr>
                <w:rFonts w:hint="eastAsia" w:ascii="宋体" w:hAnsi="宋体" w:eastAsia="宋体" w:cs="宋体"/>
                <w:kern w:val="0"/>
                <w:sz w:val="18"/>
                <w:szCs w:val="18"/>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14</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物业管理</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≥5000</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≥1000</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left"/>
              <w:rPr>
                <w:rFonts w:hint="eastAsia" w:ascii="宋体" w:hAnsi="宋体" w:eastAsia="宋体" w:cs="宋体"/>
                <w:kern w:val="0"/>
                <w:sz w:val="18"/>
                <w:szCs w:val="18"/>
              </w:rPr>
            </w:pPr>
            <w:r>
              <w:rPr>
                <w:rFonts w:hint="eastAsia" w:ascii="宋体" w:hAnsi="宋体" w:eastAsia="宋体" w:cs="宋体"/>
                <w:kern w:val="0"/>
                <w:sz w:val="18"/>
                <w:szCs w:val="18"/>
              </w:rPr>
              <w:t>租赁和商务服务业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或,≥120000</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且,≥8000</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且,≥100</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16</w:t>
            </w:r>
          </w:p>
        </w:tc>
        <w:tc>
          <w:tcPr>
            <w:tcW w:w="146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183" w:rightChars="-87"/>
              <w:jc w:val="left"/>
              <w:rPr>
                <w:rFonts w:hint="eastAsia" w:ascii="宋体" w:hAnsi="宋体" w:eastAsia="宋体" w:cs="宋体"/>
                <w:kern w:val="0"/>
                <w:sz w:val="18"/>
                <w:szCs w:val="18"/>
              </w:rPr>
            </w:pPr>
            <w:r>
              <w:rPr>
                <w:rFonts w:hint="eastAsia" w:ascii="宋体" w:hAnsi="宋体" w:eastAsia="宋体" w:cs="宋体"/>
                <w:kern w:val="0"/>
                <w:sz w:val="18"/>
                <w:szCs w:val="18"/>
              </w:rPr>
              <w:t>其他未列明行业</w:t>
            </w:r>
          </w:p>
        </w:tc>
        <w:tc>
          <w:tcPr>
            <w:tcW w:w="97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6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≥300</w:t>
            </w:r>
          </w:p>
        </w:tc>
        <w:tc>
          <w:tcPr>
            <w:tcW w:w="114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4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95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00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2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1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56"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74"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line="240" w:lineRule="atLeast"/>
              <w:ind w:left="-84" w:leftChars="-40" w:right="-57" w:rightChars="-27"/>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bl>
    <w:p>
      <w:pPr>
        <w:rPr>
          <w:rFonts w:hint="eastAsia" w:ascii="宋体" w:hAnsi="宋体" w:eastAsia="宋体" w:cs="宋体"/>
          <w:sz w:val="18"/>
          <w:szCs w:val="18"/>
        </w:rPr>
        <w:sectPr>
          <w:pgSz w:w="16838" w:h="11906" w:orient="landscape"/>
          <w:pgMar w:top="1797" w:right="1440" w:bottom="1797" w:left="1440" w:header="851" w:footer="992" w:gutter="0"/>
          <w:pgNumType w:fmt="decimal"/>
          <w:cols w:space="720" w:num="1"/>
          <w:docGrid w:type="lines" w:linePitch="312" w:charSpace="0"/>
        </w:sectPr>
      </w:pPr>
    </w:p>
    <w:p>
      <w:pPr>
        <w:spacing w:line="588" w:lineRule="exact"/>
        <w:ind w:firstLine="667"/>
        <w:jc w:val="center"/>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残疾人福利性单位声明函</w:t>
      </w:r>
    </w:p>
    <w:bookmarkEnd w:id="31"/>
    <w:bookmarkEnd w:id="32"/>
    <w:p>
      <w:pPr>
        <w:spacing w:line="588" w:lineRule="exact"/>
        <w:ind w:firstLine="626"/>
        <w:rPr>
          <w:rFonts w:asciiTheme="minorEastAsia" w:hAnsiTheme="minorEastAsia" w:eastAsiaTheme="minorEastAsia" w:cstheme="minorEastAsia"/>
          <w:b/>
          <w:spacing w:val="6"/>
          <w:sz w:val="30"/>
          <w:szCs w:val="30"/>
        </w:rPr>
      </w:pPr>
    </w:p>
    <w:p>
      <w:pPr>
        <w:spacing w:line="588" w:lineRule="exact"/>
        <w:ind w:firstLine="624"/>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szCs w:val="24"/>
        </w:rPr>
        <w:t>〔2017〕 141</w:t>
      </w:r>
      <w:r>
        <w:rPr>
          <w:rFonts w:hint="eastAsia" w:asciiTheme="minorEastAsia" w:hAnsiTheme="minorEastAsia" w:eastAsia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pPr>
        <w:spacing w:line="588" w:lineRule="exact"/>
        <w:ind w:firstLine="624"/>
        <w:rPr>
          <w:rFonts w:asciiTheme="minorEastAsia" w:hAnsiTheme="minorEastAsia" w:eastAsiaTheme="minorEastAsia" w:cstheme="minorEastAsia"/>
          <w:spacing w:val="6"/>
          <w:sz w:val="24"/>
          <w:szCs w:val="24"/>
        </w:rPr>
      </w:pPr>
    </w:p>
    <w:p>
      <w:pPr>
        <w:spacing w:line="588" w:lineRule="exact"/>
        <w:ind w:firstLine="624"/>
        <w:rPr>
          <w:rFonts w:asciiTheme="minorEastAsia" w:hAnsiTheme="minorEastAsia" w:eastAsiaTheme="minorEastAsia" w:cstheme="minorEastAsia"/>
          <w:spacing w:val="6"/>
          <w:sz w:val="24"/>
          <w:szCs w:val="24"/>
        </w:rPr>
      </w:pPr>
    </w:p>
    <w:p>
      <w:pPr>
        <w:tabs>
          <w:tab w:val="left" w:pos="4860"/>
        </w:tabs>
        <w:spacing w:line="588" w:lineRule="exact"/>
        <w:ind w:right="1560" w:firstLine="624"/>
        <w:jc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               单位名称（盖章）：</w:t>
      </w:r>
    </w:p>
    <w:p>
      <w:pPr>
        <w:tabs>
          <w:tab w:val="left" w:pos="4860"/>
        </w:tabs>
        <w:spacing w:line="588" w:lineRule="exact"/>
        <w:ind w:right="1560" w:firstLine="624"/>
        <w:jc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       日  期：</w:t>
      </w:r>
    </w:p>
    <w:p>
      <w:pPr>
        <w:widowControl/>
        <w:jc w:val="left"/>
        <w:rPr>
          <w:rFonts w:ascii="宋体" w:hAnsi="宋体"/>
          <w:bCs/>
          <w:sz w:val="32"/>
          <w:szCs w:val="32"/>
        </w:rPr>
      </w:pPr>
      <w:r>
        <w:rPr>
          <w:rFonts w:ascii="宋体" w:hAnsi="宋体"/>
          <w:bCs/>
          <w:sz w:val="32"/>
          <w:szCs w:val="32"/>
        </w:rPr>
        <w:br w:type="page"/>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附件15-3</w:t>
      </w:r>
    </w:p>
    <w:p>
      <w:pPr>
        <w:jc w:val="center"/>
        <w:rPr>
          <w:sz w:val="30"/>
          <w:szCs w:val="30"/>
        </w:rPr>
      </w:pPr>
      <w:r>
        <w:rPr>
          <w:rFonts w:hint="eastAsia"/>
          <w:sz w:val="30"/>
          <w:szCs w:val="30"/>
        </w:rPr>
        <w:t>省级以上监狱管理局、戒毒管理局（含新疆生产建设兵团）</w:t>
      </w:r>
    </w:p>
    <w:p>
      <w:pPr>
        <w:jc w:val="center"/>
        <w:rPr>
          <w:sz w:val="30"/>
          <w:szCs w:val="30"/>
        </w:rPr>
      </w:pPr>
      <w:r>
        <w:rPr>
          <w:rFonts w:hint="eastAsia"/>
          <w:sz w:val="30"/>
          <w:szCs w:val="30"/>
        </w:rPr>
        <w:t>出具的属于监狱企业的证明文件</w:t>
      </w: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其他资格证明文件及资料</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磋商文件第一章“供应商资格要求”中有特殊要求的，供应商应提供其符合特殊要求的证明材料或者情况说明</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附件16</w:t>
      </w:r>
    </w:p>
    <w:p>
      <w:pPr>
        <w:spacing w:line="460" w:lineRule="exact"/>
        <w:jc w:val="center"/>
        <w:rPr>
          <w:rFonts w:ascii="宋体" w:hAnsi="宋体" w:cs="宋体"/>
          <w:b/>
          <w:bCs/>
          <w:color w:val="000000"/>
          <w:sz w:val="28"/>
          <w:szCs w:val="28"/>
        </w:rPr>
      </w:pPr>
    </w:p>
    <w:p>
      <w:pPr>
        <w:pStyle w:val="6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32"/>
          <w:szCs w:val="32"/>
          <w:shd w:val="clear" w:fill="FFFFFF"/>
        </w:rPr>
      </w:pPr>
      <w:r>
        <w:rPr>
          <w:b/>
          <w:bCs/>
          <w:sz w:val="32"/>
          <w:szCs w:val="32"/>
          <w:shd w:val="clear" w:fill="FFFFFF"/>
        </w:rPr>
        <w:t>建始县中等职业技术学校汽车运用与维修实训设备采购</w:t>
      </w:r>
    </w:p>
    <w:p>
      <w:pPr>
        <w:spacing w:line="460" w:lineRule="exact"/>
        <w:jc w:val="center"/>
        <w:rPr>
          <w:rFonts w:ascii="宋体" w:hAnsi="宋体" w:cs="宋体"/>
          <w:b/>
          <w:bCs/>
          <w:color w:val="000000"/>
          <w:sz w:val="32"/>
          <w:szCs w:val="32"/>
        </w:rPr>
      </w:pPr>
      <w:r>
        <w:rPr>
          <w:rFonts w:hint="eastAsia" w:ascii="宋体" w:hAnsi="宋体" w:cs="宋体"/>
          <w:b/>
          <w:bCs/>
          <w:color w:val="000000"/>
          <w:sz w:val="32"/>
          <w:szCs w:val="32"/>
        </w:rPr>
        <w:t>最后报价表</w:t>
      </w:r>
    </w:p>
    <w:p>
      <w:pPr>
        <w:pStyle w:val="12"/>
        <w:spacing w:line="520" w:lineRule="exact"/>
        <w:ind w:left="279" w:firstLine="6860" w:firstLineChars="2450"/>
        <w:rPr>
          <w:rFonts w:cs="宋体"/>
          <w:color w:val="000000"/>
        </w:rPr>
      </w:pPr>
      <w:r>
        <w:rPr>
          <w:rFonts w:hint="eastAsia" w:cs="宋体"/>
          <w:color w:val="000000"/>
        </w:rPr>
        <w:t>单位：元</w:t>
      </w:r>
    </w:p>
    <w:tbl>
      <w:tblPr>
        <w:tblStyle w:val="2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0"/>
        <w:gridCol w:w="2355"/>
        <w:gridCol w:w="1035"/>
        <w:gridCol w:w="121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860" w:type="dxa"/>
            <w:vAlign w:val="center"/>
          </w:tcPr>
          <w:p>
            <w:pPr>
              <w:pStyle w:val="12"/>
              <w:keepNext w:val="0"/>
              <w:keepLines w:val="0"/>
              <w:suppressLineNumbers w:val="0"/>
              <w:spacing w:before="0" w:beforeAutospacing="0" w:after="0" w:afterAutospacing="0" w:line="480" w:lineRule="exact"/>
              <w:ind w:left="279" w:right="0" w:firstLine="0" w:firstLineChars="0"/>
              <w:jc w:val="center"/>
              <w:rPr>
                <w:rFonts w:hint="default" w:cs="宋体"/>
              </w:rPr>
            </w:pPr>
            <w:r>
              <w:rPr>
                <w:rFonts w:hint="eastAsia" w:cs="宋体"/>
              </w:rPr>
              <w:t>项目名称</w:t>
            </w:r>
          </w:p>
        </w:tc>
        <w:tc>
          <w:tcPr>
            <w:tcW w:w="2355" w:type="dxa"/>
            <w:vAlign w:val="center"/>
          </w:tcPr>
          <w:p>
            <w:pPr>
              <w:pStyle w:val="12"/>
              <w:keepNext w:val="0"/>
              <w:keepLines w:val="0"/>
              <w:suppressLineNumbers w:val="0"/>
              <w:spacing w:before="0" w:beforeAutospacing="0" w:after="0" w:afterAutospacing="0" w:line="480" w:lineRule="exact"/>
              <w:ind w:left="279" w:right="0" w:firstLine="0" w:firstLineChars="0"/>
              <w:rPr>
                <w:rFonts w:hint="default" w:cs="宋体"/>
              </w:rPr>
            </w:pPr>
            <w:r>
              <w:rPr>
                <w:rFonts w:hint="eastAsia" w:cs="宋体"/>
              </w:rPr>
              <w:t>服务任务</w:t>
            </w:r>
          </w:p>
        </w:tc>
        <w:tc>
          <w:tcPr>
            <w:tcW w:w="1035" w:type="dxa"/>
            <w:vAlign w:val="center"/>
          </w:tcPr>
          <w:p>
            <w:pPr>
              <w:pStyle w:val="12"/>
              <w:keepNext w:val="0"/>
              <w:keepLines w:val="0"/>
              <w:suppressLineNumbers w:val="0"/>
              <w:spacing w:before="0" w:beforeAutospacing="0" w:after="0" w:afterAutospacing="0" w:line="480" w:lineRule="exact"/>
              <w:ind w:left="279" w:right="0" w:firstLine="0" w:firstLineChars="0"/>
              <w:rPr>
                <w:rFonts w:hint="default" w:cs="宋体"/>
              </w:rPr>
            </w:pPr>
            <w:r>
              <w:rPr>
                <w:rFonts w:hint="eastAsia" w:cs="宋体"/>
              </w:rPr>
              <w:t>单位</w:t>
            </w:r>
          </w:p>
        </w:tc>
        <w:tc>
          <w:tcPr>
            <w:tcW w:w="1215" w:type="dxa"/>
            <w:vAlign w:val="center"/>
          </w:tcPr>
          <w:p>
            <w:pPr>
              <w:pStyle w:val="12"/>
              <w:keepNext w:val="0"/>
              <w:keepLines w:val="0"/>
              <w:suppressLineNumbers w:val="0"/>
              <w:spacing w:before="0" w:beforeAutospacing="0" w:after="0" w:afterAutospacing="0" w:line="480" w:lineRule="exact"/>
              <w:ind w:left="279" w:right="0" w:firstLine="0" w:firstLineChars="0"/>
              <w:rPr>
                <w:rFonts w:hint="default" w:cs="宋体"/>
              </w:rPr>
            </w:pPr>
            <w:r>
              <w:rPr>
                <w:rFonts w:hint="eastAsia" w:cs="宋体"/>
              </w:rPr>
              <w:t>数量</w:t>
            </w:r>
          </w:p>
        </w:tc>
        <w:tc>
          <w:tcPr>
            <w:tcW w:w="1555" w:type="dxa"/>
            <w:vAlign w:val="center"/>
          </w:tcPr>
          <w:p>
            <w:pPr>
              <w:pStyle w:val="12"/>
              <w:keepNext w:val="0"/>
              <w:keepLines w:val="0"/>
              <w:suppressLineNumbers w:val="0"/>
              <w:spacing w:before="0" w:beforeAutospacing="0" w:after="0" w:afterAutospacing="0" w:line="480" w:lineRule="exact"/>
              <w:ind w:left="279" w:right="0" w:firstLine="0" w:firstLineChars="0"/>
              <w:rPr>
                <w:rFonts w:hint="default" w:cs="宋体"/>
              </w:rPr>
            </w:pPr>
            <w:r>
              <w:rPr>
                <w:rFonts w:hint="eastAsia" w:cs="宋体"/>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860" w:type="dxa"/>
          </w:tcPr>
          <w:p>
            <w:pPr>
              <w:keepNext w:val="0"/>
              <w:keepLines w:val="0"/>
              <w:suppressLineNumbers w:val="0"/>
              <w:bidi w:val="0"/>
              <w:spacing w:before="0" w:beforeAutospacing="0" w:after="0" w:afterAutospacing="0"/>
              <w:ind w:left="0" w:right="0"/>
              <w:rPr>
                <w:rFonts w:hint="default" w:ascii="宋体" w:hAnsi="宋体" w:cs="宋体"/>
                <w:sz w:val="28"/>
                <w:szCs w:val="28"/>
              </w:rPr>
            </w:pPr>
            <w:r>
              <w:rPr>
                <w:rFonts w:hint="default"/>
                <w:sz w:val="28"/>
                <w:szCs w:val="28"/>
              </w:rPr>
              <w:t>建始县中等职业技术学校汽车运用与维修实训设备采购</w:t>
            </w:r>
          </w:p>
        </w:tc>
        <w:tc>
          <w:tcPr>
            <w:tcW w:w="2355" w:type="dxa"/>
            <w:vAlign w:val="center"/>
          </w:tcPr>
          <w:p>
            <w:pPr>
              <w:pStyle w:val="12"/>
              <w:keepNext w:val="0"/>
              <w:keepLines w:val="0"/>
              <w:suppressLineNumbers w:val="0"/>
              <w:spacing w:before="0" w:beforeAutospacing="0" w:after="0" w:afterAutospacing="0" w:line="480" w:lineRule="exact"/>
              <w:ind w:left="279" w:right="0" w:firstLine="0" w:firstLineChars="0"/>
              <w:rPr>
                <w:rFonts w:hint="default" w:cs="宋体"/>
              </w:rPr>
            </w:pPr>
            <w:r>
              <w:rPr>
                <w:rFonts w:hint="eastAsia" w:cs="宋体"/>
              </w:rPr>
              <w:t>磋商项目要求</w:t>
            </w:r>
          </w:p>
        </w:tc>
        <w:tc>
          <w:tcPr>
            <w:tcW w:w="1035" w:type="dxa"/>
            <w:vAlign w:val="center"/>
          </w:tcPr>
          <w:p>
            <w:pPr>
              <w:pStyle w:val="12"/>
              <w:keepNext w:val="0"/>
              <w:keepLines w:val="0"/>
              <w:suppressLineNumbers w:val="0"/>
              <w:spacing w:before="0" w:beforeAutospacing="0" w:after="0" w:afterAutospacing="0" w:line="480" w:lineRule="exact"/>
              <w:ind w:left="279" w:right="0" w:firstLine="0" w:firstLineChars="0"/>
              <w:jc w:val="center"/>
              <w:rPr>
                <w:rFonts w:hint="default" w:cs="宋体"/>
              </w:rPr>
            </w:pPr>
            <w:r>
              <w:rPr>
                <w:rFonts w:hint="eastAsia" w:cs="宋体"/>
              </w:rPr>
              <w:t>项</w:t>
            </w:r>
          </w:p>
        </w:tc>
        <w:tc>
          <w:tcPr>
            <w:tcW w:w="1215" w:type="dxa"/>
            <w:vAlign w:val="center"/>
          </w:tcPr>
          <w:p>
            <w:pPr>
              <w:pStyle w:val="12"/>
              <w:keepNext w:val="0"/>
              <w:keepLines w:val="0"/>
              <w:suppressLineNumbers w:val="0"/>
              <w:spacing w:before="0" w:beforeAutospacing="0" w:after="0" w:afterAutospacing="0" w:line="480" w:lineRule="exact"/>
              <w:ind w:left="279" w:right="0" w:firstLine="0" w:firstLineChars="0"/>
              <w:rPr>
                <w:rFonts w:hint="default" w:cs="宋体"/>
              </w:rPr>
            </w:pPr>
            <w:r>
              <w:rPr>
                <w:rFonts w:hint="eastAsia" w:cs="宋体"/>
              </w:rPr>
              <w:t>1</w:t>
            </w:r>
          </w:p>
        </w:tc>
        <w:tc>
          <w:tcPr>
            <w:tcW w:w="1555" w:type="dxa"/>
            <w:vAlign w:val="center"/>
          </w:tcPr>
          <w:p>
            <w:pPr>
              <w:pStyle w:val="12"/>
              <w:keepNext w:val="0"/>
              <w:keepLines w:val="0"/>
              <w:suppressLineNumbers w:val="0"/>
              <w:spacing w:before="0" w:beforeAutospacing="0" w:after="0" w:afterAutospacing="0" w:line="480" w:lineRule="exact"/>
              <w:ind w:left="279" w:right="0" w:firstLine="0" w:firstLineChars="0"/>
              <w:rPr>
                <w:rFonts w:hint="default"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860" w:type="dxa"/>
          </w:tcPr>
          <w:p>
            <w:pPr>
              <w:pStyle w:val="12"/>
              <w:keepNext w:val="0"/>
              <w:keepLines w:val="0"/>
              <w:suppressLineNumbers w:val="0"/>
              <w:spacing w:before="0" w:beforeAutospacing="0" w:after="0" w:afterAutospacing="0" w:line="480" w:lineRule="exact"/>
              <w:ind w:left="279" w:right="0" w:firstLine="0" w:firstLineChars="0"/>
              <w:jc w:val="center"/>
              <w:rPr>
                <w:rFonts w:hint="default" w:cs="宋体"/>
              </w:rPr>
            </w:pPr>
            <w:r>
              <w:rPr>
                <w:rFonts w:hint="eastAsia" w:cs="宋体"/>
              </w:rPr>
              <w:t>合 计</w:t>
            </w:r>
          </w:p>
        </w:tc>
        <w:tc>
          <w:tcPr>
            <w:tcW w:w="6160" w:type="dxa"/>
            <w:gridSpan w:val="4"/>
          </w:tcPr>
          <w:p>
            <w:pPr>
              <w:pStyle w:val="12"/>
              <w:keepNext w:val="0"/>
              <w:keepLines w:val="0"/>
              <w:suppressLineNumbers w:val="0"/>
              <w:spacing w:before="0" w:beforeAutospacing="0" w:after="0" w:afterAutospacing="0" w:line="480" w:lineRule="exact"/>
              <w:ind w:left="279" w:right="0" w:firstLine="0" w:firstLineChars="0"/>
              <w:rPr>
                <w:rFonts w:hint="default" w:cs="宋体"/>
              </w:rPr>
            </w:pPr>
            <w:r>
              <w:rPr>
                <w:rFonts w:hint="eastAsia" w:cs="宋体"/>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9020" w:type="dxa"/>
            <w:gridSpan w:val="5"/>
          </w:tcPr>
          <w:p>
            <w:pPr>
              <w:keepNext w:val="0"/>
              <w:keepLines w:val="0"/>
              <w:suppressLineNumbers w:val="0"/>
              <w:spacing w:before="0" w:beforeAutospacing="0" w:after="0" w:afterAutospacing="0" w:line="480" w:lineRule="exact"/>
              <w:ind w:left="0" w:right="0"/>
              <w:rPr>
                <w:rFonts w:hint="default" w:ascii="宋体" w:hAnsi="宋体" w:cs="宋体"/>
                <w:sz w:val="28"/>
                <w:szCs w:val="28"/>
              </w:rPr>
            </w:pPr>
            <w:r>
              <w:rPr>
                <w:rFonts w:hint="eastAsia" w:ascii="宋体" w:hAnsi="宋体" w:cs="宋体"/>
                <w:sz w:val="28"/>
                <w:szCs w:val="28"/>
              </w:rPr>
              <w:t>供应商（公章）：</w:t>
            </w:r>
            <w:r>
              <w:rPr>
                <w:rFonts w:hint="eastAsia" w:ascii="宋体" w:hAnsi="宋体" w:cs="宋体"/>
                <w:sz w:val="28"/>
                <w:szCs w:val="28"/>
                <w:u w:val="single"/>
              </w:rPr>
              <w:t xml:space="preserve">                             </w:t>
            </w:r>
          </w:p>
          <w:p>
            <w:pPr>
              <w:keepNext w:val="0"/>
              <w:keepLines w:val="0"/>
              <w:suppressLineNumbers w:val="0"/>
              <w:spacing w:before="0" w:beforeAutospacing="0" w:after="0" w:afterAutospacing="0" w:line="480" w:lineRule="exact"/>
              <w:ind w:left="0" w:right="0"/>
              <w:rPr>
                <w:rFonts w:hint="default" w:ascii="宋体" w:hAnsi="宋体" w:cs="宋体"/>
                <w:sz w:val="28"/>
                <w:szCs w:val="28"/>
              </w:rPr>
            </w:pPr>
            <w:r>
              <w:rPr>
                <w:rFonts w:hint="eastAsia" w:ascii="宋体" w:hAnsi="宋体" w:cs="宋体"/>
                <w:sz w:val="28"/>
                <w:szCs w:val="28"/>
              </w:rPr>
              <w:t>法定代表人或授权代表（签字）：</w:t>
            </w:r>
            <w:r>
              <w:rPr>
                <w:rFonts w:hint="eastAsia" w:ascii="宋体" w:hAnsi="宋体" w:cs="宋体"/>
                <w:sz w:val="28"/>
                <w:szCs w:val="28"/>
                <w:u w:val="single"/>
              </w:rPr>
              <w:t>　　　　　　　　</w:t>
            </w:r>
          </w:p>
          <w:p>
            <w:pPr>
              <w:keepNext w:val="0"/>
              <w:keepLines w:val="0"/>
              <w:suppressLineNumbers w:val="0"/>
              <w:spacing w:before="0" w:beforeAutospacing="0" w:after="0" w:afterAutospacing="0" w:line="480" w:lineRule="exact"/>
              <w:ind w:left="0" w:right="0"/>
              <w:rPr>
                <w:rFonts w:hint="default"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p>
        </w:tc>
      </w:tr>
    </w:tbl>
    <w:p>
      <w:pPr>
        <w:pStyle w:val="12"/>
        <w:spacing w:line="520" w:lineRule="exact"/>
        <w:ind w:left="279" w:firstLine="6860" w:firstLineChars="2450"/>
        <w:rPr>
          <w:rFonts w:cs="宋体"/>
          <w:color w:val="000000"/>
        </w:rPr>
      </w:pPr>
    </w:p>
    <w:p>
      <w:pPr>
        <w:spacing w:line="480" w:lineRule="exact"/>
        <w:rPr>
          <w:rFonts w:ascii="宋体" w:hAnsi="宋体" w:cs="宋体"/>
          <w:b/>
          <w:bCs/>
          <w:color w:val="000000"/>
          <w:sz w:val="36"/>
          <w:szCs w:val="36"/>
        </w:rPr>
      </w:pPr>
    </w:p>
    <w:p>
      <w:pPr>
        <w:spacing w:line="480" w:lineRule="exact"/>
        <w:rPr>
          <w:rFonts w:ascii="宋体" w:hAnsi="宋体" w:cs="宋体"/>
          <w:b/>
          <w:bCs/>
          <w:color w:val="000000"/>
          <w:sz w:val="28"/>
          <w:szCs w:val="28"/>
        </w:rPr>
      </w:pPr>
      <w:r>
        <w:rPr>
          <w:rFonts w:hint="eastAsia" w:ascii="宋体" w:hAnsi="宋体" w:cs="宋体"/>
          <w:b/>
          <w:bCs/>
          <w:color w:val="000000"/>
          <w:sz w:val="28"/>
          <w:szCs w:val="28"/>
        </w:rPr>
        <w:t>注：最后报价表仅在提交最后报价时使用，无需编入磋商响应文件中。</w:t>
      </w:r>
    </w:p>
    <w:p>
      <w:pPr>
        <w:spacing w:line="480" w:lineRule="exact"/>
        <w:rPr>
          <w:rFonts w:ascii="宋体" w:hAnsi="宋体" w:cs="宋体"/>
          <w:color w:val="000000"/>
        </w:rPr>
      </w:pPr>
    </w:p>
    <w:p>
      <w:pPr>
        <w:pStyle w:val="5"/>
        <w:rPr>
          <w:rFonts w:asciiTheme="minorEastAsia" w:hAnsiTheme="minorEastAsia" w:eastAsiaTheme="minorEastAsia" w:cstheme="minorEastAsia"/>
          <w:sz w:val="24"/>
        </w:rPr>
      </w:pPr>
    </w:p>
    <w:p/>
    <w:p>
      <w:pPr>
        <w:pStyle w:val="5"/>
      </w:pPr>
    </w:p>
    <w:sectPr>
      <w:headerReference r:id="rId16" w:type="default"/>
      <w:footerReference r:id="rId17" w:type="default"/>
      <w:pgSz w:w="11906" w:h="16838"/>
      <w:pgMar w:top="1134" w:right="1191" w:bottom="1134" w:left="1191" w:header="851" w:footer="85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auto"/>
    <w:pitch w:val="default"/>
    <w:sig w:usb0="E10002FF" w:usb1="4000FCFF" w:usb2="00000009"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b/>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宋体"/>
        <w:b/>
        <w:bCs/>
      </w:rPr>
    </w:pPr>
    <w:r>
      <w:rPr>
        <w:rFonts w:hint="eastAsia" w:ascii="宋体" w:hAnsi="宋体"/>
        <w:bCs/>
      </w:rPr>
      <w:t>湖北省政府采购中心编制</w:t>
    </w:r>
    <w:r>
      <w:rPr>
        <w:rFonts w:ascii="宋体" w:hAnsi="宋体"/>
        <w:bCs/>
      </w:rPr>
      <w:t>V3.0.2017.0930</w:t>
    </w:r>
  </w:p>
  <w:p>
    <w:pPr>
      <w:pStyle w:val="15"/>
      <w:tabs>
        <w:tab w:val="clear" w:pos="4153"/>
        <w:tab w:val="clear" w:pos="8306"/>
      </w:tabs>
      <w:jc w:val="center"/>
      <w:rPr>
        <w:rFonts w:ascii="宋体"/>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66</w:t>
    </w:r>
    <w:r>
      <w:rPr>
        <w:rFonts w:ascii="宋体" w:hAnsi="宋体"/>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8483379"/>
    </w:sdtPr>
    <w:sdtContent>
      <w:sdt>
        <w:sdtPr>
          <w:id w:val="171357217"/>
        </w:sdtPr>
        <w:sdtContent>
          <w:p>
            <w:pPr>
              <w:pStyle w:val="15"/>
              <w:jc w:val="center"/>
            </w:pPr>
          </w:p>
        </w:sdtContent>
      </w:sdt>
    </w:sdtContent>
  </w:sdt>
  <w:p>
    <w:pPr>
      <w:pStyle w:val="15"/>
      <w:pBdr>
        <w:top w:val="single" w:color="000000" w:sz="4" w:space="1"/>
      </w:pBdr>
      <w:tabs>
        <w:tab w:val="clear" w:pos="4153"/>
        <w:tab w:val="clear" w:pos="8306"/>
      </w:tabs>
      <w:ind w:right="-9"/>
      <w:jc w:val="both"/>
    </w:pPr>
    <w:r>
      <w:rPr>
        <w:rFonts w:hint="eastAsia" w:ascii="宋体" w:hAnsi="宋体" w:cs="宋体"/>
        <w:b/>
        <w:bCs/>
      </w:rPr>
      <w:t xml:space="preserve">建始县政府采购中心   </w:t>
    </w:r>
    <w:r>
      <w:rPr>
        <w:rFonts w:ascii="宋体" w:hAnsi="宋体" w:cs="宋体"/>
      </w:rPr>
      <w:t xml:space="preserve">                                                                  </w:t>
    </w:r>
  </w:p>
  <w:p>
    <w:pPr>
      <w:pStyle w:val="15"/>
      <w:pBdr>
        <w:top w:val="single" w:color="000000" w:sz="4" w:space="1"/>
      </w:pBdr>
      <w:tabs>
        <w:tab w:val="clear" w:pos="4153"/>
        <w:tab w:val="clear" w:pos="8306"/>
      </w:tabs>
      <w:ind w:right="-9"/>
      <w:jc w:val="center"/>
      <w:rPr>
        <w:rFonts w:ascii="宋体"/>
        <w:b/>
        <w:bCs/>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Bdr>
                              <w:top w:val="single" w:color="000000" w:sz="4" w:space="1"/>
                            </w:pBdr>
                            <w:tabs>
                              <w:tab w:val="clear" w:pos="4153"/>
                              <w:tab w:val="clear" w:pos="8306"/>
                            </w:tabs>
                            <w:ind w:right="-9"/>
                            <w:jc w:val="center"/>
                          </w:pPr>
                          <w:r>
                            <w:rPr>
                              <w:rFonts w:ascii="宋体" w:hAnsi="宋体" w:cs="宋体"/>
                              <w:b/>
                              <w:bCs/>
                            </w:rPr>
                            <w:fldChar w:fldCharType="begin"/>
                          </w:r>
                          <w:r>
                            <w:rPr>
                              <w:rFonts w:ascii="宋体" w:hAnsi="宋体" w:cs="宋体"/>
                              <w:b/>
                              <w:bCs/>
                            </w:rPr>
                            <w:instrText xml:space="preserve">PAGE</w:instrText>
                          </w:r>
                          <w:r>
                            <w:rPr>
                              <w:rFonts w:ascii="宋体" w:hAnsi="宋体" w:cs="宋体"/>
                              <w:b/>
                              <w:bCs/>
                            </w:rPr>
                            <w:fldChar w:fldCharType="separate"/>
                          </w:r>
                          <w:r>
                            <w:rPr>
                              <w:rFonts w:ascii="宋体" w:hAnsi="宋体" w:cs="宋体"/>
                              <w:b/>
                              <w:bCs/>
                            </w:rPr>
                            <w:t>16</w:t>
                          </w:r>
                          <w:r>
                            <w:rPr>
                              <w:rFonts w:ascii="宋体" w:hAnsi="宋体" w:cs="宋体"/>
                              <w:b/>
                              <w:bCs/>
                            </w:rPr>
                            <w:fldChar w:fldCharType="end"/>
                          </w:r>
                          <w:r>
                            <w:rPr>
                              <w:rFonts w:ascii="宋体" w:hAnsi="宋体" w:cs="宋体"/>
                              <w:b/>
                              <w:bCs/>
                              <w:lang w:val="zh-CN"/>
                            </w:rPr>
                            <w:t xml:space="preserve"> / </w:t>
                          </w:r>
                          <w:r>
                            <w:rPr>
                              <w:rFonts w:ascii="宋体" w:hAnsi="宋体" w:cs="宋体"/>
                              <w:b/>
                              <w:bCs/>
                            </w:rPr>
                            <w:fldChar w:fldCharType="begin"/>
                          </w:r>
                          <w:r>
                            <w:rPr>
                              <w:rFonts w:ascii="宋体" w:hAnsi="宋体" w:cs="宋体"/>
                              <w:b/>
                              <w:bCs/>
                            </w:rPr>
                            <w:instrText xml:space="preserve">NUMPAGES</w:instrText>
                          </w:r>
                          <w:r>
                            <w:rPr>
                              <w:rFonts w:ascii="宋体" w:hAnsi="宋体" w:cs="宋体"/>
                              <w:b/>
                              <w:bCs/>
                            </w:rPr>
                            <w:fldChar w:fldCharType="separate"/>
                          </w:r>
                          <w:r>
                            <w:rPr>
                              <w:rFonts w:ascii="宋体" w:hAnsi="宋体" w:cs="宋体"/>
                              <w:b/>
                              <w:bCs/>
                            </w:rPr>
                            <w:t>48</w:t>
                          </w:r>
                          <w:r>
                            <w:rPr>
                              <w:rFonts w:ascii="宋体" w:hAnsi="宋体" w:cs="宋体"/>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Bdr>
                        <w:top w:val="single" w:color="000000" w:sz="4" w:space="1"/>
                      </w:pBdr>
                      <w:tabs>
                        <w:tab w:val="clear" w:pos="4153"/>
                        <w:tab w:val="clear" w:pos="8306"/>
                      </w:tabs>
                      <w:ind w:right="-9"/>
                      <w:jc w:val="center"/>
                    </w:pPr>
                    <w:r>
                      <w:rPr>
                        <w:rFonts w:ascii="宋体" w:hAnsi="宋体" w:cs="宋体"/>
                        <w:b/>
                        <w:bCs/>
                      </w:rPr>
                      <w:fldChar w:fldCharType="begin"/>
                    </w:r>
                    <w:r>
                      <w:rPr>
                        <w:rFonts w:ascii="宋体" w:hAnsi="宋体" w:cs="宋体"/>
                        <w:b/>
                        <w:bCs/>
                      </w:rPr>
                      <w:instrText xml:space="preserve">PAGE</w:instrText>
                    </w:r>
                    <w:r>
                      <w:rPr>
                        <w:rFonts w:ascii="宋体" w:hAnsi="宋体" w:cs="宋体"/>
                        <w:b/>
                        <w:bCs/>
                      </w:rPr>
                      <w:fldChar w:fldCharType="separate"/>
                    </w:r>
                    <w:r>
                      <w:rPr>
                        <w:rFonts w:ascii="宋体" w:hAnsi="宋体" w:cs="宋体"/>
                        <w:b/>
                        <w:bCs/>
                      </w:rPr>
                      <w:t>16</w:t>
                    </w:r>
                    <w:r>
                      <w:rPr>
                        <w:rFonts w:ascii="宋体" w:hAnsi="宋体" w:cs="宋体"/>
                        <w:b/>
                        <w:bCs/>
                      </w:rPr>
                      <w:fldChar w:fldCharType="end"/>
                    </w:r>
                    <w:r>
                      <w:rPr>
                        <w:rFonts w:ascii="宋体" w:hAnsi="宋体" w:cs="宋体"/>
                        <w:b/>
                        <w:bCs/>
                        <w:lang w:val="zh-CN"/>
                      </w:rPr>
                      <w:t xml:space="preserve"> / </w:t>
                    </w:r>
                    <w:r>
                      <w:rPr>
                        <w:rFonts w:ascii="宋体" w:hAnsi="宋体" w:cs="宋体"/>
                        <w:b/>
                        <w:bCs/>
                      </w:rPr>
                      <w:fldChar w:fldCharType="begin"/>
                    </w:r>
                    <w:r>
                      <w:rPr>
                        <w:rFonts w:ascii="宋体" w:hAnsi="宋体" w:cs="宋体"/>
                        <w:b/>
                        <w:bCs/>
                      </w:rPr>
                      <w:instrText xml:space="preserve">NUMPAGES</w:instrText>
                    </w:r>
                    <w:r>
                      <w:rPr>
                        <w:rFonts w:ascii="宋体" w:hAnsi="宋体" w:cs="宋体"/>
                        <w:b/>
                        <w:bCs/>
                      </w:rPr>
                      <w:fldChar w:fldCharType="separate"/>
                    </w:r>
                    <w:r>
                      <w:rPr>
                        <w:rFonts w:ascii="宋体" w:hAnsi="宋体" w:cs="宋体"/>
                        <w:b/>
                        <w:bCs/>
                      </w:rPr>
                      <w:t>48</w:t>
                    </w:r>
                    <w:r>
                      <w:rPr>
                        <w:rFonts w:ascii="宋体" w:hAnsi="宋体" w:cs="宋体"/>
                        <w:b/>
                        <w:bC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宋体"/>
        <w:b/>
        <w:bCs/>
      </w:rPr>
    </w:pPr>
    <w:r>
      <w:rPr>
        <w:rFonts w:hint="eastAsia" w:ascii="宋体" w:hAnsi="宋体" w:cs="宋体"/>
      </w:rPr>
      <w:t>建始县政府采购中心编制</w:t>
    </w:r>
    <w:r>
      <w:t xml:space="preserve">                                                                     </w:t>
    </w:r>
    <w:r>
      <w:rPr>
        <w:rFonts w:ascii="宋体" w:hAnsi="宋体" w:cs="宋体"/>
      </w:rPr>
      <w:t>V3.0.2017.0930</w:t>
    </w:r>
  </w:p>
  <w:p>
    <w:pPr>
      <w:pStyle w:val="15"/>
      <w:tabs>
        <w:tab w:val="clear" w:pos="4153"/>
        <w:tab w:val="clear" w:pos="8306"/>
      </w:tabs>
      <w:jc w:val="center"/>
      <w:rPr>
        <w:rFonts w:ascii="宋体"/>
      </w:rPr>
    </w:pPr>
    <w:r>
      <w:rPr>
        <w:rFonts w:ascii="宋体" w:hAnsi="宋体" w:cs="宋体"/>
        <w:b/>
        <w:bCs/>
      </w:rPr>
      <w:fldChar w:fldCharType="begin"/>
    </w:r>
    <w:r>
      <w:rPr>
        <w:rFonts w:ascii="宋体" w:hAnsi="宋体" w:cs="宋体"/>
        <w:b/>
        <w:bCs/>
      </w:rPr>
      <w:instrText xml:space="preserve">PAGE</w:instrText>
    </w:r>
    <w:r>
      <w:rPr>
        <w:rFonts w:ascii="宋体" w:hAnsi="宋体" w:cs="宋体"/>
        <w:b/>
        <w:bCs/>
      </w:rPr>
      <w:fldChar w:fldCharType="separate"/>
    </w:r>
    <w:r>
      <w:rPr>
        <w:rFonts w:ascii="宋体" w:hAnsi="宋体" w:cs="宋体"/>
        <w:b/>
        <w:bCs/>
      </w:rPr>
      <w:t>22</w:t>
    </w:r>
    <w:r>
      <w:rPr>
        <w:rFonts w:ascii="宋体" w:hAnsi="宋体" w:cs="宋体"/>
        <w:b/>
        <w:bCs/>
      </w:rPr>
      <w:fldChar w:fldCharType="end"/>
    </w:r>
    <w:r>
      <w:rPr>
        <w:rFonts w:ascii="宋体" w:hAnsi="宋体" w:cs="宋体"/>
        <w:b/>
        <w:bCs/>
        <w:lang w:val="zh-CN"/>
      </w:rPr>
      <w:t xml:space="preserve"> / </w:t>
    </w:r>
    <w:r>
      <w:rPr>
        <w:rFonts w:ascii="宋体" w:hAnsi="宋体" w:cs="宋体"/>
        <w:b/>
        <w:bCs/>
      </w:rPr>
      <w:fldChar w:fldCharType="begin"/>
    </w:r>
    <w:r>
      <w:rPr>
        <w:rFonts w:ascii="宋体" w:hAnsi="宋体" w:cs="宋体"/>
        <w:b/>
        <w:bCs/>
      </w:rPr>
      <w:instrText xml:space="preserve">NUMPAGES</w:instrText>
    </w:r>
    <w:r>
      <w:rPr>
        <w:rFonts w:ascii="宋体" w:hAnsi="宋体" w:cs="宋体"/>
        <w:b/>
        <w:bCs/>
      </w:rPr>
      <w:fldChar w:fldCharType="separate"/>
    </w:r>
    <w:r>
      <w:rPr>
        <w:rFonts w:ascii="宋体" w:hAnsi="宋体" w:cs="宋体"/>
        <w:b/>
        <w:bCs/>
      </w:rPr>
      <w:t>64</w:t>
    </w:r>
    <w:r>
      <w:rPr>
        <w:rFonts w:ascii="宋体" w:hAnsi="宋体" w:cs="宋体"/>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ascii="宋体" w:hAnsi="宋体"/>
      </w:rPr>
      <w:t xml:space="preserve">                                                     </w:t>
    </w:r>
  </w:p>
  <w:p>
    <w:pPr>
      <w:pStyle w:val="15"/>
      <w:pBdr>
        <w:top w:val="single" w:color="000000" w:sz="4" w:space="1"/>
      </w:pBdr>
      <w:tabs>
        <w:tab w:val="clear" w:pos="4153"/>
        <w:tab w:val="clear" w:pos="8306"/>
      </w:tabs>
      <w:ind w:right="-9"/>
      <w:jc w:val="center"/>
      <w:rPr>
        <w:rFonts w:ascii="宋体"/>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r>
      <w:rPr>
        <w:rFonts w:ascii="宋体" w:hAnsi="宋体" w:cs="宋体"/>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jc w:val="center"/>
                          </w:pPr>
                        </w:p>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5"/>
                      <w:jc w:val="center"/>
                    </w:pPr>
                  </w:p>
                  <w:p>
                    <w:pPr>
                      <w:pStyle w:val="5"/>
                    </w:pPr>
                  </w:p>
                </w:txbxContent>
              </v:textbox>
            </v:shape>
          </w:pict>
        </mc:Fallback>
      </mc:AlternateContent>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p>
  <w:p>
    <w:pPr>
      <w:pStyle w:val="15"/>
      <w:pBdr>
        <w:top w:val="single" w:color="000000" w:sz="4" w:space="1"/>
      </w:pBdr>
      <w:tabs>
        <w:tab w:val="clear" w:pos="4153"/>
        <w:tab w:val="clear" w:pos="8306"/>
      </w:tabs>
      <w:ind w:right="-9"/>
      <w:jc w:val="both"/>
      <w:rPr>
        <w:rFonts w:ascii="宋体"/>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宋体"/>
        <w:b/>
      </w:rPr>
    </w:pPr>
    <w:r>
      <w:rPr>
        <w:rFonts w:hint="eastAsia" w:ascii="宋体" w:hAnsi="宋体"/>
        <w:b/>
      </w:rPr>
      <w:t>项目名称：</w:t>
    </w:r>
    <w:r>
      <w:rPr>
        <w:rFonts w:ascii="宋体" w:hAnsi="宋体"/>
        <w:b/>
      </w:rPr>
      <w:t>XXXXXXXXXXXX</w:t>
    </w:r>
    <w:r>
      <w:rPr>
        <w:rFonts w:hint="eastAsia" w:ascii="宋体" w:hAnsi="宋体"/>
        <w:b/>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宋体"/>
        <w:b/>
        <w:bCs/>
      </w:rPr>
    </w:pPr>
    <w:r>
      <w:rPr>
        <w:rFonts w:hint="eastAsia" w:ascii="宋体" w:hAnsi="宋体" w:cs="宋体"/>
        <w:b/>
        <w:bCs/>
      </w:rPr>
      <w:t>项目名称：</w:t>
    </w:r>
    <w:r>
      <w:rPr>
        <w:rFonts w:ascii="宋体" w:hAnsi="宋体" w:cs="宋体"/>
        <w:b/>
        <w:bCs/>
      </w:rPr>
      <w:t>XXXXXXXXXXXX</w:t>
    </w:r>
    <w:r>
      <w:rPr>
        <w:rFonts w:hint="eastAsia" w:ascii="宋体" w:hAnsi="宋体" w:cs="宋体"/>
        <w:b/>
        <w:bCs/>
      </w:rPr>
      <w:t>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center" w:pos="4762"/>
        <w:tab w:val="clear" w:pos="4153"/>
        <w:tab w:val="clear" w:pos="8306"/>
      </w:tabs>
      <w:jc w:val="left"/>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2336"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2336;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9dBt2NwIAAG8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MUB0szDAREp96dEK&#10;7b4d+OxNcQZNZ/o58ZZvapSyZT48MIfBQPl4OuEeSykNUprBoqQy7su/zmM8+gUvJQ0GLaca74oS&#10;+V6jjwAMo+FGYz8a+qjuDCYXvUEtnYkLLsjRLJ1Rn/GeVjEHXExzZMppGM270A873iMXq1UXdLSu&#10;PlT9BUyhZWGrd5bHNFEqb1fHAGk7xaNAvSroVNxgDrueDW8mDvqf+y7q8T+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xHBL1AAAAAgBAAAPAAAAAAAAAAEAIAAAACIAAABkcnMvZG93bnJldi54&#10;bWxQSwECFAAUAAAACACHTuJAvXQbdjcCAABvBAAADgAAAAAAAAABACAAAAAjAQAAZHJzL2Uyb0Rv&#10;Yy54bWxQSwUGAAAAAAYABgBZAQAAzA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6"/>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000000" w:sz="4" w:space="1"/>
      </w:pBdr>
      <w:tabs>
        <w:tab w:val="clear" w:pos="4153"/>
      </w:tabs>
      <w:jc w:val="left"/>
      <w:rPr>
        <w:rFonts w:ascii="宋体" w:hAnsi="宋体" w:cs="宋体"/>
        <w:b/>
        <w:bCs/>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6"/>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76287"/>
    <w:multiLevelType w:val="singleLevel"/>
    <w:tmpl w:val="81476287"/>
    <w:lvl w:ilvl="0" w:tentative="0">
      <w:start w:val="1"/>
      <w:numFmt w:val="chineseCounting"/>
      <w:suff w:val="nothing"/>
      <w:lvlText w:val="%1、"/>
      <w:lvlJc w:val="left"/>
      <w:pPr>
        <w:ind w:left="0" w:firstLine="420"/>
      </w:pPr>
      <w:rPr>
        <w:rFonts w:hint="eastAsia"/>
      </w:rPr>
    </w:lvl>
  </w:abstractNum>
  <w:abstractNum w:abstractNumId="1">
    <w:nsid w:val="B615CB8D"/>
    <w:multiLevelType w:val="singleLevel"/>
    <w:tmpl w:val="B615CB8D"/>
    <w:lvl w:ilvl="0" w:tentative="0">
      <w:start w:val="1"/>
      <w:numFmt w:val="decimal"/>
      <w:suff w:val="nothing"/>
      <w:lvlText w:val="（%1）"/>
      <w:lvlJc w:val="left"/>
      <w:pPr>
        <w:ind w:left="420" w:firstLine="0"/>
      </w:pPr>
    </w:lvl>
  </w:abstractNum>
  <w:abstractNum w:abstractNumId="2">
    <w:nsid w:val="DF0C34BD"/>
    <w:multiLevelType w:val="singleLevel"/>
    <w:tmpl w:val="DF0C34BD"/>
    <w:lvl w:ilvl="0" w:tentative="0">
      <w:start w:val="1"/>
      <w:numFmt w:val="decimal"/>
      <w:suff w:val="nothing"/>
      <w:lvlText w:val="（%1）"/>
      <w:lvlJc w:val="left"/>
    </w:lvl>
  </w:abstractNum>
  <w:abstractNum w:abstractNumId="3">
    <w:nsid w:val="FB3A8A22"/>
    <w:multiLevelType w:val="singleLevel"/>
    <w:tmpl w:val="FB3A8A22"/>
    <w:lvl w:ilvl="0" w:tentative="0">
      <w:start w:val="1"/>
      <w:numFmt w:val="decimal"/>
      <w:lvlText w:val="%1."/>
      <w:lvlJc w:val="left"/>
      <w:pPr>
        <w:ind w:left="425" w:hanging="425"/>
      </w:pPr>
      <w:rPr>
        <w:rFonts w:hint="default"/>
      </w:rPr>
    </w:lvl>
  </w:abstractNum>
  <w:abstractNum w:abstractNumId="4">
    <w:nsid w:val="177A2E9B"/>
    <w:multiLevelType w:val="singleLevel"/>
    <w:tmpl w:val="177A2E9B"/>
    <w:lvl w:ilvl="0" w:tentative="0">
      <w:start w:val="1"/>
      <w:numFmt w:val="chineseCounting"/>
      <w:suff w:val="nothing"/>
      <w:lvlText w:val="（%1）"/>
      <w:lvlJc w:val="left"/>
      <w:rPr>
        <w:rFonts w:hint="eastAsia"/>
      </w:rPr>
    </w:lvl>
  </w:abstractNum>
  <w:abstractNum w:abstractNumId="5">
    <w:nsid w:val="21F5F552"/>
    <w:multiLevelType w:val="singleLevel"/>
    <w:tmpl w:val="21F5F552"/>
    <w:lvl w:ilvl="0" w:tentative="0">
      <w:start w:val="1"/>
      <w:numFmt w:val="chineseCounting"/>
      <w:suff w:val="nothing"/>
      <w:lvlText w:val="%1、"/>
      <w:lvlJc w:val="left"/>
      <w:pPr>
        <w:ind w:left="420"/>
      </w:pPr>
      <w:rPr>
        <w:rFonts w:hint="eastAsia"/>
      </w:rPr>
    </w:lvl>
  </w:abstractNum>
  <w:abstractNum w:abstractNumId="6">
    <w:nsid w:val="24CA1C3B"/>
    <w:multiLevelType w:val="multilevel"/>
    <w:tmpl w:val="24CA1C3B"/>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020AE6"/>
    <w:multiLevelType w:val="multilevel"/>
    <w:tmpl w:val="33020AE6"/>
    <w:lvl w:ilvl="0" w:tentative="0">
      <w:start w:val="1"/>
      <w:numFmt w:val="decimal"/>
      <w:lvlText w:val="%1"/>
      <w:lvlJc w:val="left"/>
      <w:pPr>
        <w:ind w:left="63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69FF4E"/>
    <w:multiLevelType w:val="singleLevel"/>
    <w:tmpl w:val="5169FF4E"/>
    <w:lvl w:ilvl="0" w:tentative="0">
      <w:start w:val="41"/>
      <w:numFmt w:val="decimal"/>
      <w:lvlText w:val="%1."/>
      <w:lvlJc w:val="left"/>
      <w:pPr>
        <w:tabs>
          <w:tab w:val="left" w:pos="312"/>
        </w:tabs>
      </w:pPr>
    </w:lvl>
  </w:abstractNum>
  <w:abstractNum w:abstractNumId="9">
    <w:nsid w:val="5C2A95C9"/>
    <w:multiLevelType w:val="singleLevel"/>
    <w:tmpl w:val="5C2A95C9"/>
    <w:lvl w:ilvl="0" w:tentative="0">
      <w:start w:val="25"/>
      <w:numFmt w:val="decimal"/>
      <w:lvlText w:val="%1."/>
      <w:lvlJc w:val="left"/>
      <w:pPr>
        <w:tabs>
          <w:tab w:val="left" w:pos="312"/>
        </w:tabs>
      </w:pPr>
    </w:lvl>
  </w:abstractNum>
  <w:abstractNum w:abstractNumId="10">
    <w:nsid w:val="65048E7F"/>
    <w:multiLevelType w:val="singleLevel"/>
    <w:tmpl w:val="65048E7F"/>
    <w:lvl w:ilvl="0" w:tentative="0">
      <w:start w:val="1"/>
      <w:numFmt w:val="decimal"/>
      <w:suff w:val="nothing"/>
      <w:lvlText w:val="%1、"/>
      <w:lvlJc w:val="left"/>
      <w:pPr>
        <w:ind w:left="700" w:firstLine="0"/>
      </w:pPr>
    </w:lvl>
  </w:abstractNum>
  <w:num w:numId="1">
    <w:abstractNumId w:val="7"/>
  </w:num>
  <w:num w:numId="2">
    <w:abstractNumId w:val="3"/>
  </w:num>
  <w:num w:numId="3">
    <w:abstractNumId w:val="0"/>
  </w:num>
  <w:num w:numId="4">
    <w:abstractNumId w:val="9"/>
  </w:num>
  <w:num w:numId="5">
    <w:abstractNumId w:val="8"/>
  </w:num>
  <w:num w:numId="6">
    <w:abstractNumId w:val="5"/>
  </w:num>
  <w:num w:numId="7">
    <w:abstractNumId w:val="4"/>
  </w:num>
  <w:num w:numId="8">
    <w:abstractNumId w:val="10"/>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6562"/>
    <w:rsid w:val="00017BE8"/>
    <w:rsid w:val="0002541D"/>
    <w:rsid w:val="00040B72"/>
    <w:rsid w:val="00046CAA"/>
    <w:rsid w:val="000658A4"/>
    <w:rsid w:val="00077E85"/>
    <w:rsid w:val="000812D6"/>
    <w:rsid w:val="000855FE"/>
    <w:rsid w:val="00092450"/>
    <w:rsid w:val="00095415"/>
    <w:rsid w:val="000B0280"/>
    <w:rsid w:val="000B1EA5"/>
    <w:rsid w:val="000B3053"/>
    <w:rsid w:val="000B42CE"/>
    <w:rsid w:val="000B56A3"/>
    <w:rsid w:val="000C1DBB"/>
    <w:rsid w:val="000C2224"/>
    <w:rsid w:val="000C46E9"/>
    <w:rsid w:val="000D274B"/>
    <w:rsid w:val="000E0271"/>
    <w:rsid w:val="000E4686"/>
    <w:rsid w:val="000F64E0"/>
    <w:rsid w:val="00100585"/>
    <w:rsid w:val="00122C84"/>
    <w:rsid w:val="00133220"/>
    <w:rsid w:val="001338E8"/>
    <w:rsid w:val="001641C9"/>
    <w:rsid w:val="0017043F"/>
    <w:rsid w:val="00177C62"/>
    <w:rsid w:val="00185E9A"/>
    <w:rsid w:val="001A0AB1"/>
    <w:rsid w:val="001A1335"/>
    <w:rsid w:val="001A2B2A"/>
    <w:rsid w:val="001B03BB"/>
    <w:rsid w:val="001B38CD"/>
    <w:rsid w:val="001C7B23"/>
    <w:rsid w:val="001D2460"/>
    <w:rsid w:val="001D3EE7"/>
    <w:rsid w:val="001E157C"/>
    <w:rsid w:val="001E5D69"/>
    <w:rsid w:val="001E7CEA"/>
    <w:rsid w:val="00222B0D"/>
    <w:rsid w:val="00223408"/>
    <w:rsid w:val="002334D5"/>
    <w:rsid w:val="00236772"/>
    <w:rsid w:val="002446C6"/>
    <w:rsid w:val="0026342E"/>
    <w:rsid w:val="002756EF"/>
    <w:rsid w:val="00276CFD"/>
    <w:rsid w:val="00277541"/>
    <w:rsid w:val="00293211"/>
    <w:rsid w:val="00295F64"/>
    <w:rsid w:val="002B7581"/>
    <w:rsid w:val="002C38E4"/>
    <w:rsid w:val="002D07BB"/>
    <w:rsid w:val="002D412B"/>
    <w:rsid w:val="00310B7E"/>
    <w:rsid w:val="00310F98"/>
    <w:rsid w:val="00314B08"/>
    <w:rsid w:val="00316026"/>
    <w:rsid w:val="00320ACF"/>
    <w:rsid w:val="00323F1C"/>
    <w:rsid w:val="00333225"/>
    <w:rsid w:val="0033323B"/>
    <w:rsid w:val="003514A9"/>
    <w:rsid w:val="00352AE1"/>
    <w:rsid w:val="003540BC"/>
    <w:rsid w:val="0036309F"/>
    <w:rsid w:val="0036474B"/>
    <w:rsid w:val="00366E30"/>
    <w:rsid w:val="003706A1"/>
    <w:rsid w:val="00377B5F"/>
    <w:rsid w:val="0038225F"/>
    <w:rsid w:val="00383221"/>
    <w:rsid w:val="00393E94"/>
    <w:rsid w:val="003B4F8E"/>
    <w:rsid w:val="003B6A89"/>
    <w:rsid w:val="003B718F"/>
    <w:rsid w:val="003B7A0D"/>
    <w:rsid w:val="003C2008"/>
    <w:rsid w:val="003C6083"/>
    <w:rsid w:val="003D1759"/>
    <w:rsid w:val="003D5E80"/>
    <w:rsid w:val="003F2B92"/>
    <w:rsid w:val="003F3007"/>
    <w:rsid w:val="0040329E"/>
    <w:rsid w:val="0040679C"/>
    <w:rsid w:val="004110F8"/>
    <w:rsid w:val="00414A80"/>
    <w:rsid w:val="004161BA"/>
    <w:rsid w:val="00461DFE"/>
    <w:rsid w:val="00476E59"/>
    <w:rsid w:val="004871A8"/>
    <w:rsid w:val="004A4F81"/>
    <w:rsid w:val="004B118F"/>
    <w:rsid w:val="004B4BED"/>
    <w:rsid w:val="004B6DA5"/>
    <w:rsid w:val="004C1027"/>
    <w:rsid w:val="004C47C4"/>
    <w:rsid w:val="004C62F7"/>
    <w:rsid w:val="004D548F"/>
    <w:rsid w:val="004E40B4"/>
    <w:rsid w:val="004E48AF"/>
    <w:rsid w:val="004F43AD"/>
    <w:rsid w:val="00501A1F"/>
    <w:rsid w:val="005025B6"/>
    <w:rsid w:val="00511E96"/>
    <w:rsid w:val="00516FD7"/>
    <w:rsid w:val="00525A93"/>
    <w:rsid w:val="005437D7"/>
    <w:rsid w:val="005445A9"/>
    <w:rsid w:val="00545B0F"/>
    <w:rsid w:val="00545EDA"/>
    <w:rsid w:val="00552BFE"/>
    <w:rsid w:val="00556850"/>
    <w:rsid w:val="00560FA5"/>
    <w:rsid w:val="00573437"/>
    <w:rsid w:val="0057573F"/>
    <w:rsid w:val="00580FFF"/>
    <w:rsid w:val="005813AA"/>
    <w:rsid w:val="005A58A0"/>
    <w:rsid w:val="005B12FC"/>
    <w:rsid w:val="005B6D3E"/>
    <w:rsid w:val="005B713A"/>
    <w:rsid w:val="005C31D8"/>
    <w:rsid w:val="005D1921"/>
    <w:rsid w:val="005E3CD4"/>
    <w:rsid w:val="005F1588"/>
    <w:rsid w:val="005F1DC6"/>
    <w:rsid w:val="00601112"/>
    <w:rsid w:val="00601990"/>
    <w:rsid w:val="00605C0D"/>
    <w:rsid w:val="00623CBB"/>
    <w:rsid w:val="006440C5"/>
    <w:rsid w:val="00663B35"/>
    <w:rsid w:val="00666B23"/>
    <w:rsid w:val="0067786F"/>
    <w:rsid w:val="00680A96"/>
    <w:rsid w:val="00693A4D"/>
    <w:rsid w:val="00694C5F"/>
    <w:rsid w:val="00694F97"/>
    <w:rsid w:val="006A2A98"/>
    <w:rsid w:val="006A6C1D"/>
    <w:rsid w:val="006A6C51"/>
    <w:rsid w:val="006A7A3D"/>
    <w:rsid w:val="006C0B5F"/>
    <w:rsid w:val="006C1AF1"/>
    <w:rsid w:val="006C6FDC"/>
    <w:rsid w:val="006D1D6E"/>
    <w:rsid w:val="00722075"/>
    <w:rsid w:val="00725899"/>
    <w:rsid w:val="007318D6"/>
    <w:rsid w:val="00732E91"/>
    <w:rsid w:val="00737211"/>
    <w:rsid w:val="00774EB7"/>
    <w:rsid w:val="00775A96"/>
    <w:rsid w:val="00780DBA"/>
    <w:rsid w:val="00784AEB"/>
    <w:rsid w:val="00786E84"/>
    <w:rsid w:val="007A27DA"/>
    <w:rsid w:val="007A2D91"/>
    <w:rsid w:val="007A427D"/>
    <w:rsid w:val="007C0DA7"/>
    <w:rsid w:val="007C1126"/>
    <w:rsid w:val="007C132C"/>
    <w:rsid w:val="007C1D03"/>
    <w:rsid w:val="007D72CF"/>
    <w:rsid w:val="007E1088"/>
    <w:rsid w:val="007E3D3C"/>
    <w:rsid w:val="007F504A"/>
    <w:rsid w:val="007F6863"/>
    <w:rsid w:val="007F6F97"/>
    <w:rsid w:val="00802536"/>
    <w:rsid w:val="00804419"/>
    <w:rsid w:val="0081114F"/>
    <w:rsid w:val="00816910"/>
    <w:rsid w:val="00820E08"/>
    <w:rsid w:val="00863EDD"/>
    <w:rsid w:val="00871028"/>
    <w:rsid w:val="00876E59"/>
    <w:rsid w:val="00877211"/>
    <w:rsid w:val="0088586B"/>
    <w:rsid w:val="008966BE"/>
    <w:rsid w:val="008A30BA"/>
    <w:rsid w:val="008B5601"/>
    <w:rsid w:val="008B6529"/>
    <w:rsid w:val="008D35F1"/>
    <w:rsid w:val="008D3612"/>
    <w:rsid w:val="008D5777"/>
    <w:rsid w:val="008D7D59"/>
    <w:rsid w:val="008F1B81"/>
    <w:rsid w:val="008F3383"/>
    <w:rsid w:val="009020C7"/>
    <w:rsid w:val="0090222E"/>
    <w:rsid w:val="00903A2D"/>
    <w:rsid w:val="00907388"/>
    <w:rsid w:val="00914F14"/>
    <w:rsid w:val="0093723A"/>
    <w:rsid w:val="009402E6"/>
    <w:rsid w:val="00943F98"/>
    <w:rsid w:val="00947542"/>
    <w:rsid w:val="00954A2F"/>
    <w:rsid w:val="00956AAC"/>
    <w:rsid w:val="00967D22"/>
    <w:rsid w:val="0097080D"/>
    <w:rsid w:val="009714FE"/>
    <w:rsid w:val="00973398"/>
    <w:rsid w:val="00982AD3"/>
    <w:rsid w:val="009849C0"/>
    <w:rsid w:val="0098774A"/>
    <w:rsid w:val="009944A9"/>
    <w:rsid w:val="00996DEE"/>
    <w:rsid w:val="009B11C0"/>
    <w:rsid w:val="009B3048"/>
    <w:rsid w:val="009B3424"/>
    <w:rsid w:val="009D36C0"/>
    <w:rsid w:val="009E04AF"/>
    <w:rsid w:val="00A05AF5"/>
    <w:rsid w:val="00A0777C"/>
    <w:rsid w:val="00A30AE5"/>
    <w:rsid w:val="00A30DFD"/>
    <w:rsid w:val="00A33A80"/>
    <w:rsid w:val="00A35D29"/>
    <w:rsid w:val="00A36FFA"/>
    <w:rsid w:val="00A40BC9"/>
    <w:rsid w:val="00A425D1"/>
    <w:rsid w:val="00A46DEF"/>
    <w:rsid w:val="00A51203"/>
    <w:rsid w:val="00A51D8F"/>
    <w:rsid w:val="00A52A2B"/>
    <w:rsid w:val="00A62860"/>
    <w:rsid w:val="00A813D2"/>
    <w:rsid w:val="00A879DB"/>
    <w:rsid w:val="00AB2B17"/>
    <w:rsid w:val="00AB3343"/>
    <w:rsid w:val="00AC584B"/>
    <w:rsid w:val="00AD52A3"/>
    <w:rsid w:val="00AD634F"/>
    <w:rsid w:val="00AE02A5"/>
    <w:rsid w:val="00AF18BF"/>
    <w:rsid w:val="00AF4038"/>
    <w:rsid w:val="00AF7FFE"/>
    <w:rsid w:val="00B002B6"/>
    <w:rsid w:val="00B0070A"/>
    <w:rsid w:val="00B079F3"/>
    <w:rsid w:val="00B161F2"/>
    <w:rsid w:val="00B179C2"/>
    <w:rsid w:val="00B22858"/>
    <w:rsid w:val="00B35E15"/>
    <w:rsid w:val="00B36D9B"/>
    <w:rsid w:val="00B52520"/>
    <w:rsid w:val="00B67CCB"/>
    <w:rsid w:val="00B84A3B"/>
    <w:rsid w:val="00B956F2"/>
    <w:rsid w:val="00BA4681"/>
    <w:rsid w:val="00BB78CC"/>
    <w:rsid w:val="00BC386C"/>
    <w:rsid w:val="00BC3AA1"/>
    <w:rsid w:val="00BD0C54"/>
    <w:rsid w:val="00BD62C1"/>
    <w:rsid w:val="00BD681B"/>
    <w:rsid w:val="00BE3563"/>
    <w:rsid w:val="00BF5732"/>
    <w:rsid w:val="00C0257A"/>
    <w:rsid w:val="00C040D1"/>
    <w:rsid w:val="00C10EA4"/>
    <w:rsid w:val="00C1592E"/>
    <w:rsid w:val="00C37FEA"/>
    <w:rsid w:val="00C51CA3"/>
    <w:rsid w:val="00C52140"/>
    <w:rsid w:val="00C64D3E"/>
    <w:rsid w:val="00C6680F"/>
    <w:rsid w:val="00C66ACC"/>
    <w:rsid w:val="00C72415"/>
    <w:rsid w:val="00C77E82"/>
    <w:rsid w:val="00C8468C"/>
    <w:rsid w:val="00C9289E"/>
    <w:rsid w:val="00C92F51"/>
    <w:rsid w:val="00CA0F95"/>
    <w:rsid w:val="00CB10F9"/>
    <w:rsid w:val="00CB3DF8"/>
    <w:rsid w:val="00CB413B"/>
    <w:rsid w:val="00CF76A5"/>
    <w:rsid w:val="00D14E3A"/>
    <w:rsid w:val="00D204F5"/>
    <w:rsid w:val="00D5042D"/>
    <w:rsid w:val="00D541DE"/>
    <w:rsid w:val="00D64AB9"/>
    <w:rsid w:val="00D64BF4"/>
    <w:rsid w:val="00D7177A"/>
    <w:rsid w:val="00D90694"/>
    <w:rsid w:val="00DA4143"/>
    <w:rsid w:val="00DB00B6"/>
    <w:rsid w:val="00DB3C8A"/>
    <w:rsid w:val="00DC4938"/>
    <w:rsid w:val="00DD6657"/>
    <w:rsid w:val="00DE3660"/>
    <w:rsid w:val="00DE4776"/>
    <w:rsid w:val="00DE4A9E"/>
    <w:rsid w:val="00E02B75"/>
    <w:rsid w:val="00E05B42"/>
    <w:rsid w:val="00E15A50"/>
    <w:rsid w:val="00E22388"/>
    <w:rsid w:val="00E2369D"/>
    <w:rsid w:val="00E32C21"/>
    <w:rsid w:val="00E34D2C"/>
    <w:rsid w:val="00E41743"/>
    <w:rsid w:val="00E54453"/>
    <w:rsid w:val="00E7103F"/>
    <w:rsid w:val="00E971BC"/>
    <w:rsid w:val="00EA0C6D"/>
    <w:rsid w:val="00EB1306"/>
    <w:rsid w:val="00EB1E3A"/>
    <w:rsid w:val="00EB4033"/>
    <w:rsid w:val="00ED0026"/>
    <w:rsid w:val="00ED0440"/>
    <w:rsid w:val="00ED0545"/>
    <w:rsid w:val="00EE3C83"/>
    <w:rsid w:val="00EE715C"/>
    <w:rsid w:val="00F04B4C"/>
    <w:rsid w:val="00F05FC4"/>
    <w:rsid w:val="00F152FA"/>
    <w:rsid w:val="00F17360"/>
    <w:rsid w:val="00F242DA"/>
    <w:rsid w:val="00F24BF3"/>
    <w:rsid w:val="00F42684"/>
    <w:rsid w:val="00F47226"/>
    <w:rsid w:val="00F5567D"/>
    <w:rsid w:val="00F85F65"/>
    <w:rsid w:val="00FC2E73"/>
    <w:rsid w:val="00FD44A8"/>
    <w:rsid w:val="00FE2024"/>
    <w:rsid w:val="00FE51C1"/>
    <w:rsid w:val="00FF4FBA"/>
    <w:rsid w:val="01632EBF"/>
    <w:rsid w:val="017B3F56"/>
    <w:rsid w:val="01933BB3"/>
    <w:rsid w:val="01952264"/>
    <w:rsid w:val="019C2FA5"/>
    <w:rsid w:val="01A8175F"/>
    <w:rsid w:val="01AC1C26"/>
    <w:rsid w:val="01E71E19"/>
    <w:rsid w:val="01E76B28"/>
    <w:rsid w:val="026F1729"/>
    <w:rsid w:val="02926F03"/>
    <w:rsid w:val="02AD5894"/>
    <w:rsid w:val="02E12B9F"/>
    <w:rsid w:val="02EA374C"/>
    <w:rsid w:val="02FD4090"/>
    <w:rsid w:val="030C2438"/>
    <w:rsid w:val="032151A7"/>
    <w:rsid w:val="03386FB7"/>
    <w:rsid w:val="033B6105"/>
    <w:rsid w:val="03553986"/>
    <w:rsid w:val="03732962"/>
    <w:rsid w:val="03A125C1"/>
    <w:rsid w:val="04E9624B"/>
    <w:rsid w:val="04EC3190"/>
    <w:rsid w:val="05304150"/>
    <w:rsid w:val="05366823"/>
    <w:rsid w:val="053954BA"/>
    <w:rsid w:val="053E1150"/>
    <w:rsid w:val="05542430"/>
    <w:rsid w:val="0556341B"/>
    <w:rsid w:val="056A5744"/>
    <w:rsid w:val="0594564D"/>
    <w:rsid w:val="059F1AAD"/>
    <w:rsid w:val="05D752DA"/>
    <w:rsid w:val="05DC5AD4"/>
    <w:rsid w:val="05DC7041"/>
    <w:rsid w:val="05E37A4C"/>
    <w:rsid w:val="060F457F"/>
    <w:rsid w:val="06760515"/>
    <w:rsid w:val="067F0A3A"/>
    <w:rsid w:val="068B43AB"/>
    <w:rsid w:val="0691434D"/>
    <w:rsid w:val="069C7BEB"/>
    <w:rsid w:val="06C37153"/>
    <w:rsid w:val="0701540F"/>
    <w:rsid w:val="070940FF"/>
    <w:rsid w:val="07211ABD"/>
    <w:rsid w:val="07512F6A"/>
    <w:rsid w:val="07A1518B"/>
    <w:rsid w:val="07CA42C0"/>
    <w:rsid w:val="07E72E91"/>
    <w:rsid w:val="08073180"/>
    <w:rsid w:val="080B5594"/>
    <w:rsid w:val="081A6540"/>
    <w:rsid w:val="084D6020"/>
    <w:rsid w:val="08521E6F"/>
    <w:rsid w:val="086E3080"/>
    <w:rsid w:val="088C79D6"/>
    <w:rsid w:val="08B77B30"/>
    <w:rsid w:val="08D80253"/>
    <w:rsid w:val="08E42704"/>
    <w:rsid w:val="09016470"/>
    <w:rsid w:val="09374FE8"/>
    <w:rsid w:val="09BB726A"/>
    <w:rsid w:val="09C31C1E"/>
    <w:rsid w:val="09C6043A"/>
    <w:rsid w:val="09E9366F"/>
    <w:rsid w:val="09F61A00"/>
    <w:rsid w:val="0A050FAA"/>
    <w:rsid w:val="0A2C3531"/>
    <w:rsid w:val="0A345C53"/>
    <w:rsid w:val="0A3D6AC7"/>
    <w:rsid w:val="0A4C07D3"/>
    <w:rsid w:val="0A4E063D"/>
    <w:rsid w:val="0A662988"/>
    <w:rsid w:val="0ACC0A8D"/>
    <w:rsid w:val="0AF2087E"/>
    <w:rsid w:val="0B0B1DF8"/>
    <w:rsid w:val="0B150991"/>
    <w:rsid w:val="0B5670F8"/>
    <w:rsid w:val="0B575825"/>
    <w:rsid w:val="0B7B546E"/>
    <w:rsid w:val="0B993E5C"/>
    <w:rsid w:val="0BC419F2"/>
    <w:rsid w:val="0BC86948"/>
    <w:rsid w:val="0BC95175"/>
    <w:rsid w:val="0BE876D1"/>
    <w:rsid w:val="0C192B68"/>
    <w:rsid w:val="0C32678A"/>
    <w:rsid w:val="0C3A4E0B"/>
    <w:rsid w:val="0C3E38EF"/>
    <w:rsid w:val="0C636A51"/>
    <w:rsid w:val="0C735F98"/>
    <w:rsid w:val="0C905CAD"/>
    <w:rsid w:val="0C9F1AF7"/>
    <w:rsid w:val="0CA96071"/>
    <w:rsid w:val="0CB65A75"/>
    <w:rsid w:val="0CDB6B75"/>
    <w:rsid w:val="0CE86195"/>
    <w:rsid w:val="0CE94E0D"/>
    <w:rsid w:val="0D1F10AF"/>
    <w:rsid w:val="0D445EA2"/>
    <w:rsid w:val="0D5052B0"/>
    <w:rsid w:val="0D527A6E"/>
    <w:rsid w:val="0D8246A6"/>
    <w:rsid w:val="0D9A32EF"/>
    <w:rsid w:val="0DAF2AAF"/>
    <w:rsid w:val="0DBC1271"/>
    <w:rsid w:val="0DDB1F16"/>
    <w:rsid w:val="0E1048D0"/>
    <w:rsid w:val="0E5062C9"/>
    <w:rsid w:val="0EA15EE2"/>
    <w:rsid w:val="0ECE3917"/>
    <w:rsid w:val="0EEC4229"/>
    <w:rsid w:val="0F0320E9"/>
    <w:rsid w:val="0F0E4D0C"/>
    <w:rsid w:val="0F0F1953"/>
    <w:rsid w:val="0F1A2119"/>
    <w:rsid w:val="0F262AFF"/>
    <w:rsid w:val="0F3764D4"/>
    <w:rsid w:val="0F5D7863"/>
    <w:rsid w:val="0F5F0D4E"/>
    <w:rsid w:val="0F610546"/>
    <w:rsid w:val="0F9B1C20"/>
    <w:rsid w:val="0F9C44E9"/>
    <w:rsid w:val="0F9F0097"/>
    <w:rsid w:val="0FBA0EC2"/>
    <w:rsid w:val="0FBB10C1"/>
    <w:rsid w:val="0FD400D7"/>
    <w:rsid w:val="0FD92E04"/>
    <w:rsid w:val="109638F6"/>
    <w:rsid w:val="114C785A"/>
    <w:rsid w:val="115A0FCC"/>
    <w:rsid w:val="11B40CD5"/>
    <w:rsid w:val="11B51D26"/>
    <w:rsid w:val="11E614F3"/>
    <w:rsid w:val="11FE5D36"/>
    <w:rsid w:val="120330B1"/>
    <w:rsid w:val="121964AC"/>
    <w:rsid w:val="125062E5"/>
    <w:rsid w:val="12583E15"/>
    <w:rsid w:val="127B6363"/>
    <w:rsid w:val="128047E8"/>
    <w:rsid w:val="12BC529E"/>
    <w:rsid w:val="12BE21D0"/>
    <w:rsid w:val="12F509A0"/>
    <w:rsid w:val="131D4B7F"/>
    <w:rsid w:val="132F4D9F"/>
    <w:rsid w:val="133F71EE"/>
    <w:rsid w:val="13515C68"/>
    <w:rsid w:val="13AC334B"/>
    <w:rsid w:val="13AC4187"/>
    <w:rsid w:val="13D6385E"/>
    <w:rsid w:val="13EA0F3E"/>
    <w:rsid w:val="13ED6E49"/>
    <w:rsid w:val="14165D1B"/>
    <w:rsid w:val="141B09EA"/>
    <w:rsid w:val="142C6E5B"/>
    <w:rsid w:val="14382950"/>
    <w:rsid w:val="14595AE9"/>
    <w:rsid w:val="14654BB5"/>
    <w:rsid w:val="14672042"/>
    <w:rsid w:val="146D67F6"/>
    <w:rsid w:val="14720205"/>
    <w:rsid w:val="14755934"/>
    <w:rsid w:val="147C0A22"/>
    <w:rsid w:val="1483435F"/>
    <w:rsid w:val="1488264C"/>
    <w:rsid w:val="149C7C67"/>
    <w:rsid w:val="14A6386E"/>
    <w:rsid w:val="14DB1B9F"/>
    <w:rsid w:val="15121FA2"/>
    <w:rsid w:val="155334C6"/>
    <w:rsid w:val="155F01B9"/>
    <w:rsid w:val="15747952"/>
    <w:rsid w:val="15875F0F"/>
    <w:rsid w:val="15893008"/>
    <w:rsid w:val="158B1CCA"/>
    <w:rsid w:val="15BC0A78"/>
    <w:rsid w:val="15DC05F6"/>
    <w:rsid w:val="15FC2B9F"/>
    <w:rsid w:val="16017494"/>
    <w:rsid w:val="16070238"/>
    <w:rsid w:val="160F22C1"/>
    <w:rsid w:val="168A2D4E"/>
    <w:rsid w:val="16971A3A"/>
    <w:rsid w:val="16973C06"/>
    <w:rsid w:val="16AC1582"/>
    <w:rsid w:val="16D5184D"/>
    <w:rsid w:val="16E61F3E"/>
    <w:rsid w:val="16F17305"/>
    <w:rsid w:val="16FE14F9"/>
    <w:rsid w:val="173443DD"/>
    <w:rsid w:val="173E1886"/>
    <w:rsid w:val="174D2B58"/>
    <w:rsid w:val="174F53DB"/>
    <w:rsid w:val="17584F2D"/>
    <w:rsid w:val="17694EF8"/>
    <w:rsid w:val="177913B2"/>
    <w:rsid w:val="178A213A"/>
    <w:rsid w:val="17A42D81"/>
    <w:rsid w:val="17D51005"/>
    <w:rsid w:val="17F906F8"/>
    <w:rsid w:val="180E1FD7"/>
    <w:rsid w:val="182565E4"/>
    <w:rsid w:val="185B2801"/>
    <w:rsid w:val="18682D7B"/>
    <w:rsid w:val="188D3BAE"/>
    <w:rsid w:val="18D46944"/>
    <w:rsid w:val="18F94576"/>
    <w:rsid w:val="18FB0920"/>
    <w:rsid w:val="18FC4D28"/>
    <w:rsid w:val="191B4C3F"/>
    <w:rsid w:val="191D7F99"/>
    <w:rsid w:val="191E66D8"/>
    <w:rsid w:val="192B0624"/>
    <w:rsid w:val="193956A3"/>
    <w:rsid w:val="193F4ADF"/>
    <w:rsid w:val="19516EAF"/>
    <w:rsid w:val="1958145B"/>
    <w:rsid w:val="19625B65"/>
    <w:rsid w:val="19735CAF"/>
    <w:rsid w:val="19833036"/>
    <w:rsid w:val="19DE43DB"/>
    <w:rsid w:val="1A170EF0"/>
    <w:rsid w:val="1A5749AC"/>
    <w:rsid w:val="1A730E3B"/>
    <w:rsid w:val="1A7370DE"/>
    <w:rsid w:val="1A8608B8"/>
    <w:rsid w:val="1A9559A5"/>
    <w:rsid w:val="1AA40570"/>
    <w:rsid w:val="1ACB503F"/>
    <w:rsid w:val="1ADD4DD0"/>
    <w:rsid w:val="1AE85DDC"/>
    <w:rsid w:val="1AF02C71"/>
    <w:rsid w:val="1AF56043"/>
    <w:rsid w:val="1B4D519D"/>
    <w:rsid w:val="1B92361A"/>
    <w:rsid w:val="1C010479"/>
    <w:rsid w:val="1C1740AC"/>
    <w:rsid w:val="1C3571A4"/>
    <w:rsid w:val="1C4175B9"/>
    <w:rsid w:val="1C5A74EC"/>
    <w:rsid w:val="1C694C29"/>
    <w:rsid w:val="1C7B5DEE"/>
    <w:rsid w:val="1CBE1F79"/>
    <w:rsid w:val="1CC17F9E"/>
    <w:rsid w:val="1CD40F5D"/>
    <w:rsid w:val="1D05464E"/>
    <w:rsid w:val="1D236FAC"/>
    <w:rsid w:val="1D2641B4"/>
    <w:rsid w:val="1D5E7BAB"/>
    <w:rsid w:val="1D6C5ACE"/>
    <w:rsid w:val="1D870E25"/>
    <w:rsid w:val="1D961CEB"/>
    <w:rsid w:val="1D9E18D6"/>
    <w:rsid w:val="1DCE2AFA"/>
    <w:rsid w:val="1DCF7405"/>
    <w:rsid w:val="1DEC0F7F"/>
    <w:rsid w:val="1DF477AB"/>
    <w:rsid w:val="1DFF397A"/>
    <w:rsid w:val="1E237371"/>
    <w:rsid w:val="1E53449D"/>
    <w:rsid w:val="1E5C76EB"/>
    <w:rsid w:val="1E692907"/>
    <w:rsid w:val="1E966EB8"/>
    <w:rsid w:val="1F0F718E"/>
    <w:rsid w:val="1F3B0097"/>
    <w:rsid w:val="1F63017B"/>
    <w:rsid w:val="1FA77F8D"/>
    <w:rsid w:val="1FB768DF"/>
    <w:rsid w:val="1FBD642C"/>
    <w:rsid w:val="1FF86BCE"/>
    <w:rsid w:val="1FFB672F"/>
    <w:rsid w:val="20111202"/>
    <w:rsid w:val="201A53AA"/>
    <w:rsid w:val="20286211"/>
    <w:rsid w:val="202C489E"/>
    <w:rsid w:val="20415231"/>
    <w:rsid w:val="20420482"/>
    <w:rsid w:val="20917B82"/>
    <w:rsid w:val="20AB1E1B"/>
    <w:rsid w:val="20B27F94"/>
    <w:rsid w:val="20CA40D0"/>
    <w:rsid w:val="20CD358C"/>
    <w:rsid w:val="20CF4E92"/>
    <w:rsid w:val="216122BF"/>
    <w:rsid w:val="21764C92"/>
    <w:rsid w:val="21A64C24"/>
    <w:rsid w:val="21BA70A7"/>
    <w:rsid w:val="220A5660"/>
    <w:rsid w:val="221F2D90"/>
    <w:rsid w:val="223263D1"/>
    <w:rsid w:val="223860C9"/>
    <w:rsid w:val="223A5E09"/>
    <w:rsid w:val="223E0B71"/>
    <w:rsid w:val="22977F09"/>
    <w:rsid w:val="22E615D0"/>
    <w:rsid w:val="233B3498"/>
    <w:rsid w:val="234971B7"/>
    <w:rsid w:val="23560C09"/>
    <w:rsid w:val="235B0688"/>
    <w:rsid w:val="237A7C89"/>
    <w:rsid w:val="239B6832"/>
    <w:rsid w:val="23BD6C06"/>
    <w:rsid w:val="23CD6E6B"/>
    <w:rsid w:val="23D23E34"/>
    <w:rsid w:val="23E91598"/>
    <w:rsid w:val="23FF51F2"/>
    <w:rsid w:val="24085C14"/>
    <w:rsid w:val="241D705C"/>
    <w:rsid w:val="24333AFD"/>
    <w:rsid w:val="245307D8"/>
    <w:rsid w:val="24660FE0"/>
    <w:rsid w:val="24701EDD"/>
    <w:rsid w:val="24804198"/>
    <w:rsid w:val="24A777B1"/>
    <w:rsid w:val="24B05A43"/>
    <w:rsid w:val="25320AFB"/>
    <w:rsid w:val="2542634D"/>
    <w:rsid w:val="255E2E19"/>
    <w:rsid w:val="256F11AC"/>
    <w:rsid w:val="257E475A"/>
    <w:rsid w:val="258D3256"/>
    <w:rsid w:val="25A26E32"/>
    <w:rsid w:val="261A4B44"/>
    <w:rsid w:val="261A4F11"/>
    <w:rsid w:val="262D669F"/>
    <w:rsid w:val="26732027"/>
    <w:rsid w:val="267E3A4E"/>
    <w:rsid w:val="26A30D3F"/>
    <w:rsid w:val="26BC1888"/>
    <w:rsid w:val="26BE6B92"/>
    <w:rsid w:val="26D918DE"/>
    <w:rsid w:val="26EA01F9"/>
    <w:rsid w:val="26F06A23"/>
    <w:rsid w:val="271130E3"/>
    <w:rsid w:val="27174706"/>
    <w:rsid w:val="27237ADE"/>
    <w:rsid w:val="273B20C7"/>
    <w:rsid w:val="279B6B42"/>
    <w:rsid w:val="27AE1165"/>
    <w:rsid w:val="27C01D12"/>
    <w:rsid w:val="27E23FB6"/>
    <w:rsid w:val="280A3BCE"/>
    <w:rsid w:val="284712C2"/>
    <w:rsid w:val="2852156B"/>
    <w:rsid w:val="285462E7"/>
    <w:rsid w:val="289746A5"/>
    <w:rsid w:val="28992DAD"/>
    <w:rsid w:val="28A16E88"/>
    <w:rsid w:val="28CA5739"/>
    <w:rsid w:val="28D63C28"/>
    <w:rsid w:val="28E854CF"/>
    <w:rsid w:val="2908791C"/>
    <w:rsid w:val="29144E9A"/>
    <w:rsid w:val="292B3195"/>
    <w:rsid w:val="293B0518"/>
    <w:rsid w:val="295710EC"/>
    <w:rsid w:val="295F413D"/>
    <w:rsid w:val="29932761"/>
    <w:rsid w:val="299520C3"/>
    <w:rsid w:val="29994B5F"/>
    <w:rsid w:val="29C14A0D"/>
    <w:rsid w:val="29E018FA"/>
    <w:rsid w:val="2A1352E6"/>
    <w:rsid w:val="2A1816AB"/>
    <w:rsid w:val="2A1D2AE5"/>
    <w:rsid w:val="2A301776"/>
    <w:rsid w:val="2A5C2E04"/>
    <w:rsid w:val="2A862CB8"/>
    <w:rsid w:val="2A8C5D59"/>
    <w:rsid w:val="2A924D76"/>
    <w:rsid w:val="2A925282"/>
    <w:rsid w:val="2AAF3AA2"/>
    <w:rsid w:val="2AE869E0"/>
    <w:rsid w:val="2AF02A86"/>
    <w:rsid w:val="2B311C82"/>
    <w:rsid w:val="2B3761C0"/>
    <w:rsid w:val="2B3B6647"/>
    <w:rsid w:val="2BA01D63"/>
    <w:rsid w:val="2BA77052"/>
    <w:rsid w:val="2BB47FAB"/>
    <w:rsid w:val="2BC15CD1"/>
    <w:rsid w:val="2BEC26A3"/>
    <w:rsid w:val="2C3B28FF"/>
    <w:rsid w:val="2C4A49E3"/>
    <w:rsid w:val="2C591F47"/>
    <w:rsid w:val="2C6E2BF7"/>
    <w:rsid w:val="2C751F0E"/>
    <w:rsid w:val="2C8D6362"/>
    <w:rsid w:val="2CD010D0"/>
    <w:rsid w:val="2CD75498"/>
    <w:rsid w:val="2CED3E95"/>
    <w:rsid w:val="2D10719F"/>
    <w:rsid w:val="2D295FF9"/>
    <w:rsid w:val="2D4E67AE"/>
    <w:rsid w:val="2DDB71AE"/>
    <w:rsid w:val="2DF57DE2"/>
    <w:rsid w:val="2E021DFA"/>
    <w:rsid w:val="2E217B74"/>
    <w:rsid w:val="2E30153E"/>
    <w:rsid w:val="2E430B94"/>
    <w:rsid w:val="2E466ADF"/>
    <w:rsid w:val="2E55646B"/>
    <w:rsid w:val="2E6B6093"/>
    <w:rsid w:val="2E6F0A6A"/>
    <w:rsid w:val="2E775719"/>
    <w:rsid w:val="2E791220"/>
    <w:rsid w:val="2EA147B3"/>
    <w:rsid w:val="2EA262E1"/>
    <w:rsid w:val="2EAB0521"/>
    <w:rsid w:val="2EDB763D"/>
    <w:rsid w:val="2F1E65E3"/>
    <w:rsid w:val="2F385C40"/>
    <w:rsid w:val="2F6840FE"/>
    <w:rsid w:val="2F795B12"/>
    <w:rsid w:val="2F7C4876"/>
    <w:rsid w:val="2F8478CA"/>
    <w:rsid w:val="2FB968AE"/>
    <w:rsid w:val="2FBD13EE"/>
    <w:rsid w:val="2FC001A4"/>
    <w:rsid w:val="2FC47113"/>
    <w:rsid w:val="300263D5"/>
    <w:rsid w:val="304468C7"/>
    <w:rsid w:val="3045009A"/>
    <w:rsid w:val="305B53CC"/>
    <w:rsid w:val="30A80350"/>
    <w:rsid w:val="30CA2329"/>
    <w:rsid w:val="30D10DCE"/>
    <w:rsid w:val="30DE58DA"/>
    <w:rsid w:val="30E76395"/>
    <w:rsid w:val="312C6430"/>
    <w:rsid w:val="313C4D8B"/>
    <w:rsid w:val="3154405E"/>
    <w:rsid w:val="315C712D"/>
    <w:rsid w:val="31A26DD0"/>
    <w:rsid w:val="31DF6EFC"/>
    <w:rsid w:val="31F8533F"/>
    <w:rsid w:val="32241505"/>
    <w:rsid w:val="323A4185"/>
    <w:rsid w:val="326D0AA8"/>
    <w:rsid w:val="32763370"/>
    <w:rsid w:val="327F543E"/>
    <w:rsid w:val="329E7029"/>
    <w:rsid w:val="32AA661D"/>
    <w:rsid w:val="32AD5A6B"/>
    <w:rsid w:val="32AF48F0"/>
    <w:rsid w:val="32B36FD6"/>
    <w:rsid w:val="32C65668"/>
    <w:rsid w:val="32DB603C"/>
    <w:rsid w:val="32DC5EF9"/>
    <w:rsid w:val="32E34D05"/>
    <w:rsid w:val="33435E6B"/>
    <w:rsid w:val="334C1143"/>
    <w:rsid w:val="335855B0"/>
    <w:rsid w:val="336451C8"/>
    <w:rsid w:val="337D05CD"/>
    <w:rsid w:val="33B43910"/>
    <w:rsid w:val="33B57EB2"/>
    <w:rsid w:val="33E3414A"/>
    <w:rsid w:val="34046238"/>
    <w:rsid w:val="342B1445"/>
    <w:rsid w:val="343C42C3"/>
    <w:rsid w:val="3487106E"/>
    <w:rsid w:val="34C8550D"/>
    <w:rsid w:val="34DC39D3"/>
    <w:rsid w:val="3548426D"/>
    <w:rsid w:val="35630792"/>
    <w:rsid w:val="356A1E37"/>
    <w:rsid w:val="3573769A"/>
    <w:rsid w:val="35AE5DDE"/>
    <w:rsid w:val="35B612DB"/>
    <w:rsid w:val="35D67AE6"/>
    <w:rsid w:val="35EB30B3"/>
    <w:rsid w:val="360F03E9"/>
    <w:rsid w:val="36214A61"/>
    <w:rsid w:val="363D1EC4"/>
    <w:rsid w:val="364654F8"/>
    <w:rsid w:val="36681F3C"/>
    <w:rsid w:val="367672D8"/>
    <w:rsid w:val="36AE105A"/>
    <w:rsid w:val="36DC2419"/>
    <w:rsid w:val="37260C24"/>
    <w:rsid w:val="377B3DE0"/>
    <w:rsid w:val="37872596"/>
    <w:rsid w:val="378D594F"/>
    <w:rsid w:val="37944942"/>
    <w:rsid w:val="380F5C29"/>
    <w:rsid w:val="382B7CAC"/>
    <w:rsid w:val="383C5AF1"/>
    <w:rsid w:val="383F75E3"/>
    <w:rsid w:val="384C7D62"/>
    <w:rsid w:val="3856428C"/>
    <w:rsid w:val="38A6033B"/>
    <w:rsid w:val="38AF7990"/>
    <w:rsid w:val="38D30253"/>
    <w:rsid w:val="38D9136D"/>
    <w:rsid w:val="390568C3"/>
    <w:rsid w:val="39064D6F"/>
    <w:rsid w:val="390E0577"/>
    <w:rsid w:val="3910729F"/>
    <w:rsid w:val="392546BE"/>
    <w:rsid w:val="3925519D"/>
    <w:rsid w:val="392868FF"/>
    <w:rsid w:val="392C371E"/>
    <w:rsid w:val="39742CB6"/>
    <w:rsid w:val="397F5D04"/>
    <w:rsid w:val="399B0A8F"/>
    <w:rsid w:val="39BB6FE8"/>
    <w:rsid w:val="39C70B69"/>
    <w:rsid w:val="39CB1957"/>
    <w:rsid w:val="39E15CD9"/>
    <w:rsid w:val="39E93628"/>
    <w:rsid w:val="39FE4CA6"/>
    <w:rsid w:val="3A02046F"/>
    <w:rsid w:val="3A0F5189"/>
    <w:rsid w:val="3A574E97"/>
    <w:rsid w:val="3A755589"/>
    <w:rsid w:val="3A8C3CF1"/>
    <w:rsid w:val="3A9F0E7E"/>
    <w:rsid w:val="3AB007A7"/>
    <w:rsid w:val="3AEA5A3D"/>
    <w:rsid w:val="3AF916E2"/>
    <w:rsid w:val="3B0F152E"/>
    <w:rsid w:val="3B1306F2"/>
    <w:rsid w:val="3B4461E6"/>
    <w:rsid w:val="3B5D0AD9"/>
    <w:rsid w:val="3B7C12F0"/>
    <w:rsid w:val="3B7D3B9D"/>
    <w:rsid w:val="3B7F45F6"/>
    <w:rsid w:val="3BB33CCC"/>
    <w:rsid w:val="3BBB4F1A"/>
    <w:rsid w:val="3C1B434C"/>
    <w:rsid w:val="3C1E004B"/>
    <w:rsid w:val="3C2C161B"/>
    <w:rsid w:val="3C453799"/>
    <w:rsid w:val="3C47240B"/>
    <w:rsid w:val="3CBA08FA"/>
    <w:rsid w:val="3CC927DB"/>
    <w:rsid w:val="3CE74085"/>
    <w:rsid w:val="3CED3A82"/>
    <w:rsid w:val="3D117E46"/>
    <w:rsid w:val="3D3A5E4E"/>
    <w:rsid w:val="3D57787E"/>
    <w:rsid w:val="3D5E5E1A"/>
    <w:rsid w:val="3D7839FF"/>
    <w:rsid w:val="3D7F39C9"/>
    <w:rsid w:val="3D90497D"/>
    <w:rsid w:val="3DB10605"/>
    <w:rsid w:val="3DB21669"/>
    <w:rsid w:val="3DCD59AA"/>
    <w:rsid w:val="3DDE49AA"/>
    <w:rsid w:val="3E01046D"/>
    <w:rsid w:val="3E1A562B"/>
    <w:rsid w:val="3E2855C1"/>
    <w:rsid w:val="3E3C74AB"/>
    <w:rsid w:val="3E434114"/>
    <w:rsid w:val="3E5837A5"/>
    <w:rsid w:val="3E631306"/>
    <w:rsid w:val="3E6E41F6"/>
    <w:rsid w:val="3E986165"/>
    <w:rsid w:val="3EDF14C3"/>
    <w:rsid w:val="3EF67C30"/>
    <w:rsid w:val="3F0603B7"/>
    <w:rsid w:val="3F0E24FE"/>
    <w:rsid w:val="3F172552"/>
    <w:rsid w:val="3F38439E"/>
    <w:rsid w:val="3F4579B3"/>
    <w:rsid w:val="3F4D429E"/>
    <w:rsid w:val="3F581F58"/>
    <w:rsid w:val="3F6C407B"/>
    <w:rsid w:val="3F970F0D"/>
    <w:rsid w:val="3FAD204A"/>
    <w:rsid w:val="3FC70013"/>
    <w:rsid w:val="3FD36869"/>
    <w:rsid w:val="3FD4424E"/>
    <w:rsid w:val="3FF82346"/>
    <w:rsid w:val="403C7725"/>
    <w:rsid w:val="40537024"/>
    <w:rsid w:val="405A2F94"/>
    <w:rsid w:val="405B58A4"/>
    <w:rsid w:val="406F0491"/>
    <w:rsid w:val="40703CFB"/>
    <w:rsid w:val="40852CC5"/>
    <w:rsid w:val="40B5641E"/>
    <w:rsid w:val="40C57DF2"/>
    <w:rsid w:val="40EC02D6"/>
    <w:rsid w:val="40F45183"/>
    <w:rsid w:val="41294CD3"/>
    <w:rsid w:val="413A1763"/>
    <w:rsid w:val="41623968"/>
    <w:rsid w:val="41634BB9"/>
    <w:rsid w:val="417D54AB"/>
    <w:rsid w:val="418E034B"/>
    <w:rsid w:val="41921788"/>
    <w:rsid w:val="42001AE1"/>
    <w:rsid w:val="4232125E"/>
    <w:rsid w:val="4268029F"/>
    <w:rsid w:val="426D40C4"/>
    <w:rsid w:val="42A11519"/>
    <w:rsid w:val="42CA3F7E"/>
    <w:rsid w:val="42D55262"/>
    <w:rsid w:val="42F37276"/>
    <w:rsid w:val="4310572F"/>
    <w:rsid w:val="435239FD"/>
    <w:rsid w:val="43583D2B"/>
    <w:rsid w:val="435E2966"/>
    <w:rsid w:val="44076C59"/>
    <w:rsid w:val="442D0BCF"/>
    <w:rsid w:val="443D6F7B"/>
    <w:rsid w:val="445027D1"/>
    <w:rsid w:val="44624AA7"/>
    <w:rsid w:val="44712B17"/>
    <w:rsid w:val="44E34317"/>
    <w:rsid w:val="4505136B"/>
    <w:rsid w:val="451213FC"/>
    <w:rsid w:val="453938A2"/>
    <w:rsid w:val="455856C1"/>
    <w:rsid w:val="455F0256"/>
    <w:rsid w:val="45600B79"/>
    <w:rsid w:val="4580733B"/>
    <w:rsid w:val="45FC5E8A"/>
    <w:rsid w:val="46432E96"/>
    <w:rsid w:val="466F7841"/>
    <w:rsid w:val="468517BA"/>
    <w:rsid w:val="46B82956"/>
    <w:rsid w:val="46C37554"/>
    <w:rsid w:val="46D233E5"/>
    <w:rsid w:val="46DD4391"/>
    <w:rsid w:val="46DE5BA9"/>
    <w:rsid w:val="470537B0"/>
    <w:rsid w:val="471C16EB"/>
    <w:rsid w:val="472D69C0"/>
    <w:rsid w:val="474412AB"/>
    <w:rsid w:val="474C29DF"/>
    <w:rsid w:val="47682490"/>
    <w:rsid w:val="479A1F9D"/>
    <w:rsid w:val="479B5A06"/>
    <w:rsid w:val="47C05355"/>
    <w:rsid w:val="47C21635"/>
    <w:rsid w:val="47D83522"/>
    <w:rsid w:val="47F5594D"/>
    <w:rsid w:val="48155573"/>
    <w:rsid w:val="48281F9F"/>
    <w:rsid w:val="48570776"/>
    <w:rsid w:val="4869779A"/>
    <w:rsid w:val="48BD1D5C"/>
    <w:rsid w:val="48BF4248"/>
    <w:rsid w:val="49076CCD"/>
    <w:rsid w:val="490E12AF"/>
    <w:rsid w:val="49485AEF"/>
    <w:rsid w:val="49592CC7"/>
    <w:rsid w:val="495A3600"/>
    <w:rsid w:val="49757920"/>
    <w:rsid w:val="49764D37"/>
    <w:rsid w:val="497B7CE0"/>
    <w:rsid w:val="4993567C"/>
    <w:rsid w:val="499A3427"/>
    <w:rsid w:val="49A83DBD"/>
    <w:rsid w:val="49B535BD"/>
    <w:rsid w:val="4A2F27FE"/>
    <w:rsid w:val="4A450410"/>
    <w:rsid w:val="4A632429"/>
    <w:rsid w:val="4A650A61"/>
    <w:rsid w:val="4AA94308"/>
    <w:rsid w:val="4AD81743"/>
    <w:rsid w:val="4B065FFA"/>
    <w:rsid w:val="4B623CBA"/>
    <w:rsid w:val="4B632F2C"/>
    <w:rsid w:val="4BA24CEA"/>
    <w:rsid w:val="4BBE50A6"/>
    <w:rsid w:val="4BD40196"/>
    <w:rsid w:val="4BDC2E50"/>
    <w:rsid w:val="4C1F7F95"/>
    <w:rsid w:val="4C237592"/>
    <w:rsid w:val="4C341AA4"/>
    <w:rsid w:val="4C6E6A85"/>
    <w:rsid w:val="4C7B67E1"/>
    <w:rsid w:val="4C8133DD"/>
    <w:rsid w:val="4C8756F7"/>
    <w:rsid w:val="4CC81A66"/>
    <w:rsid w:val="4CC86EC0"/>
    <w:rsid w:val="4CD91B8E"/>
    <w:rsid w:val="4CEA5216"/>
    <w:rsid w:val="4CED295C"/>
    <w:rsid w:val="4D3E0989"/>
    <w:rsid w:val="4D551A24"/>
    <w:rsid w:val="4D596E67"/>
    <w:rsid w:val="4D616BC7"/>
    <w:rsid w:val="4D6E023E"/>
    <w:rsid w:val="4D8A69C5"/>
    <w:rsid w:val="4DAA2772"/>
    <w:rsid w:val="4DDF48A3"/>
    <w:rsid w:val="4E045BA9"/>
    <w:rsid w:val="4E055E74"/>
    <w:rsid w:val="4E0A1540"/>
    <w:rsid w:val="4E0D1546"/>
    <w:rsid w:val="4E4D78F1"/>
    <w:rsid w:val="4E6B4455"/>
    <w:rsid w:val="4EB04622"/>
    <w:rsid w:val="4EED2CA4"/>
    <w:rsid w:val="4F255FE9"/>
    <w:rsid w:val="4F2F32E6"/>
    <w:rsid w:val="4F4208D0"/>
    <w:rsid w:val="4F4D6A0D"/>
    <w:rsid w:val="4F530F3F"/>
    <w:rsid w:val="4F5D2D98"/>
    <w:rsid w:val="4F642DC5"/>
    <w:rsid w:val="4F890C26"/>
    <w:rsid w:val="4F9A3F28"/>
    <w:rsid w:val="4FBC1889"/>
    <w:rsid w:val="50112169"/>
    <w:rsid w:val="501D43F9"/>
    <w:rsid w:val="502E7C36"/>
    <w:rsid w:val="50785510"/>
    <w:rsid w:val="508E2796"/>
    <w:rsid w:val="50A01633"/>
    <w:rsid w:val="50B47B18"/>
    <w:rsid w:val="50BC4C0F"/>
    <w:rsid w:val="50C0329E"/>
    <w:rsid w:val="50F2530F"/>
    <w:rsid w:val="51094082"/>
    <w:rsid w:val="512617AF"/>
    <w:rsid w:val="513C3C23"/>
    <w:rsid w:val="51792708"/>
    <w:rsid w:val="518C09FB"/>
    <w:rsid w:val="518C3C17"/>
    <w:rsid w:val="51A434B6"/>
    <w:rsid w:val="51A86789"/>
    <w:rsid w:val="51BE34CC"/>
    <w:rsid w:val="51C4706D"/>
    <w:rsid w:val="51DD558C"/>
    <w:rsid w:val="51E04871"/>
    <w:rsid w:val="51F764E1"/>
    <w:rsid w:val="51FF58EA"/>
    <w:rsid w:val="525459F8"/>
    <w:rsid w:val="526632A7"/>
    <w:rsid w:val="52704EE7"/>
    <w:rsid w:val="528139F1"/>
    <w:rsid w:val="528168F5"/>
    <w:rsid w:val="52CA238E"/>
    <w:rsid w:val="52FC7BBE"/>
    <w:rsid w:val="52FF1114"/>
    <w:rsid w:val="53824E3A"/>
    <w:rsid w:val="53827111"/>
    <w:rsid w:val="53891A64"/>
    <w:rsid w:val="53F451DC"/>
    <w:rsid w:val="53FA2810"/>
    <w:rsid w:val="54054627"/>
    <w:rsid w:val="54157E19"/>
    <w:rsid w:val="543201CE"/>
    <w:rsid w:val="545861AF"/>
    <w:rsid w:val="545F46FD"/>
    <w:rsid w:val="54606F7C"/>
    <w:rsid w:val="546C0A32"/>
    <w:rsid w:val="54727D2C"/>
    <w:rsid w:val="54972A85"/>
    <w:rsid w:val="55424D83"/>
    <w:rsid w:val="554B16D2"/>
    <w:rsid w:val="55587FAA"/>
    <w:rsid w:val="556E43C4"/>
    <w:rsid w:val="55872C26"/>
    <w:rsid w:val="5593288A"/>
    <w:rsid w:val="5608028F"/>
    <w:rsid w:val="560F161F"/>
    <w:rsid w:val="563C5D6B"/>
    <w:rsid w:val="56415486"/>
    <w:rsid w:val="564C087C"/>
    <w:rsid w:val="56610A6E"/>
    <w:rsid w:val="5661739F"/>
    <w:rsid w:val="567540AE"/>
    <w:rsid w:val="56BA602A"/>
    <w:rsid w:val="56CE572F"/>
    <w:rsid w:val="56D61379"/>
    <w:rsid w:val="56E04BB6"/>
    <w:rsid w:val="57070A27"/>
    <w:rsid w:val="570C1116"/>
    <w:rsid w:val="57393CF3"/>
    <w:rsid w:val="575D3893"/>
    <w:rsid w:val="57691E50"/>
    <w:rsid w:val="579C671E"/>
    <w:rsid w:val="57A2573D"/>
    <w:rsid w:val="57F7186A"/>
    <w:rsid w:val="57F8000E"/>
    <w:rsid w:val="57FD7A55"/>
    <w:rsid w:val="58197140"/>
    <w:rsid w:val="583A7F52"/>
    <w:rsid w:val="589720A9"/>
    <w:rsid w:val="58C5653A"/>
    <w:rsid w:val="58D0018E"/>
    <w:rsid w:val="590D4A4C"/>
    <w:rsid w:val="592753F2"/>
    <w:rsid w:val="592A6C42"/>
    <w:rsid w:val="592D78F6"/>
    <w:rsid w:val="596C77DE"/>
    <w:rsid w:val="59995E2D"/>
    <w:rsid w:val="5A403C96"/>
    <w:rsid w:val="5A512E99"/>
    <w:rsid w:val="5A737DC0"/>
    <w:rsid w:val="5A8A25C0"/>
    <w:rsid w:val="5AAF1904"/>
    <w:rsid w:val="5ABF2943"/>
    <w:rsid w:val="5B011C35"/>
    <w:rsid w:val="5B082D7D"/>
    <w:rsid w:val="5B0847A8"/>
    <w:rsid w:val="5B447712"/>
    <w:rsid w:val="5BAF1D24"/>
    <w:rsid w:val="5BB34AE0"/>
    <w:rsid w:val="5BB90B6B"/>
    <w:rsid w:val="5BC25B66"/>
    <w:rsid w:val="5BD0504B"/>
    <w:rsid w:val="5BE95B7F"/>
    <w:rsid w:val="5BFC7758"/>
    <w:rsid w:val="5C0D0D55"/>
    <w:rsid w:val="5C352AEC"/>
    <w:rsid w:val="5C606F98"/>
    <w:rsid w:val="5C6143FB"/>
    <w:rsid w:val="5C656887"/>
    <w:rsid w:val="5C77522F"/>
    <w:rsid w:val="5C921FE8"/>
    <w:rsid w:val="5CBC4FD0"/>
    <w:rsid w:val="5CBF283C"/>
    <w:rsid w:val="5CCB0E20"/>
    <w:rsid w:val="5CD634C8"/>
    <w:rsid w:val="5CD76CB1"/>
    <w:rsid w:val="5CDA2975"/>
    <w:rsid w:val="5CE170F3"/>
    <w:rsid w:val="5CF77F0C"/>
    <w:rsid w:val="5CFE4184"/>
    <w:rsid w:val="5D2066CE"/>
    <w:rsid w:val="5D3A39DC"/>
    <w:rsid w:val="5D924FD0"/>
    <w:rsid w:val="5DAD3A7C"/>
    <w:rsid w:val="5E392FAE"/>
    <w:rsid w:val="5E67114C"/>
    <w:rsid w:val="5E690FBC"/>
    <w:rsid w:val="5E6F335A"/>
    <w:rsid w:val="5E7D1734"/>
    <w:rsid w:val="5EB86A8F"/>
    <w:rsid w:val="5EBC69ED"/>
    <w:rsid w:val="5EDE6787"/>
    <w:rsid w:val="5EFD5FD8"/>
    <w:rsid w:val="5F010BE8"/>
    <w:rsid w:val="5F3A11F1"/>
    <w:rsid w:val="5F7D5B41"/>
    <w:rsid w:val="5F875222"/>
    <w:rsid w:val="5FC400BB"/>
    <w:rsid w:val="5FD720A7"/>
    <w:rsid w:val="5FE1268E"/>
    <w:rsid w:val="5FFE06D0"/>
    <w:rsid w:val="602F51EA"/>
    <w:rsid w:val="605220DE"/>
    <w:rsid w:val="60524131"/>
    <w:rsid w:val="6072548F"/>
    <w:rsid w:val="60AD4845"/>
    <w:rsid w:val="60AE6170"/>
    <w:rsid w:val="60B67D16"/>
    <w:rsid w:val="60BD4D88"/>
    <w:rsid w:val="60E85FB2"/>
    <w:rsid w:val="60F70F1B"/>
    <w:rsid w:val="610A7E5E"/>
    <w:rsid w:val="611077E2"/>
    <w:rsid w:val="611766A2"/>
    <w:rsid w:val="616153F5"/>
    <w:rsid w:val="61692C50"/>
    <w:rsid w:val="61D00D3D"/>
    <w:rsid w:val="61F63EE6"/>
    <w:rsid w:val="62021CAF"/>
    <w:rsid w:val="6223510D"/>
    <w:rsid w:val="625E17FE"/>
    <w:rsid w:val="627B0990"/>
    <w:rsid w:val="629D7BF2"/>
    <w:rsid w:val="62A257F6"/>
    <w:rsid w:val="62C619A5"/>
    <w:rsid w:val="62DD1010"/>
    <w:rsid w:val="62E0583D"/>
    <w:rsid w:val="62EC6CA1"/>
    <w:rsid w:val="631E13A2"/>
    <w:rsid w:val="63397F37"/>
    <w:rsid w:val="634104E7"/>
    <w:rsid w:val="637C5454"/>
    <w:rsid w:val="63AD5447"/>
    <w:rsid w:val="63FD6AC3"/>
    <w:rsid w:val="640578D6"/>
    <w:rsid w:val="6414380D"/>
    <w:rsid w:val="642641F2"/>
    <w:rsid w:val="64411B19"/>
    <w:rsid w:val="64A46B22"/>
    <w:rsid w:val="64B12881"/>
    <w:rsid w:val="64BF4013"/>
    <w:rsid w:val="64CC7A95"/>
    <w:rsid w:val="64CF171F"/>
    <w:rsid w:val="64D50F3C"/>
    <w:rsid w:val="64E600B0"/>
    <w:rsid w:val="64EB792E"/>
    <w:rsid w:val="64F27CA0"/>
    <w:rsid w:val="64F967DA"/>
    <w:rsid w:val="64FA3ABD"/>
    <w:rsid w:val="64FE0A8D"/>
    <w:rsid w:val="655E6443"/>
    <w:rsid w:val="65713F13"/>
    <w:rsid w:val="65D5566C"/>
    <w:rsid w:val="65E85D3B"/>
    <w:rsid w:val="66055E27"/>
    <w:rsid w:val="663B103D"/>
    <w:rsid w:val="66407980"/>
    <w:rsid w:val="664654F2"/>
    <w:rsid w:val="666150EA"/>
    <w:rsid w:val="66962F9F"/>
    <w:rsid w:val="66DC3465"/>
    <w:rsid w:val="671230CB"/>
    <w:rsid w:val="67165B1B"/>
    <w:rsid w:val="67247729"/>
    <w:rsid w:val="672969F8"/>
    <w:rsid w:val="6740672A"/>
    <w:rsid w:val="67440188"/>
    <w:rsid w:val="67697760"/>
    <w:rsid w:val="67A16C33"/>
    <w:rsid w:val="67A92FBE"/>
    <w:rsid w:val="67B3394F"/>
    <w:rsid w:val="67D26D35"/>
    <w:rsid w:val="67F61A9F"/>
    <w:rsid w:val="685779E1"/>
    <w:rsid w:val="687468B7"/>
    <w:rsid w:val="68927249"/>
    <w:rsid w:val="689A16E3"/>
    <w:rsid w:val="68A53574"/>
    <w:rsid w:val="68B27EB9"/>
    <w:rsid w:val="68C65FC0"/>
    <w:rsid w:val="68FF32D2"/>
    <w:rsid w:val="69100FB2"/>
    <w:rsid w:val="691D420B"/>
    <w:rsid w:val="694A7DE1"/>
    <w:rsid w:val="69964A63"/>
    <w:rsid w:val="69B40879"/>
    <w:rsid w:val="69BD07BD"/>
    <w:rsid w:val="69D63598"/>
    <w:rsid w:val="6A045AE5"/>
    <w:rsid w:val="6A293D42"/>
    <w:rsid w:val="6A921300"/>
    <w:rsid w:val="6AA430A4"/>
    <w:rsid w:val="6AC820EA"/>
    <w:rsid w:val="6ADF73A8"/>
    <w:rsid w:val="6AFF4B1D"/>
    <w:rsid w:val="6B2C7820"/>
    <w:rsid w:val="6B37206C"/>
    <w:rsid w:val="6BE0470C"/>
    <w:rsid w:val="6BF763AA"/>
    <w:rsid w:val="6C0711A8"/>
    <w:rsid w:val="6C35794A"/>
    <w:rsid w:val="6C765280"/>
    <w:rsid w:val="6C775290"/>
    <w:rsid w:val="6C8F7F0A"/>
    <w:rsid w:val="6CA36794"/>
    <w:rsid w:val="6CA722A8"/>
    <w:rsid w:val="6CCD7FCC"/>
    <w:rsid w:val="6CD53549"/>
    <w:rsid w:val="6CF45FC8"/>
    <w:rsid w:val="6CFD6163"/>
    <w:rsid w:val="6D0B6029"/>
    <w:rsid w:val="6D2659BD"/>
    <w:rsid w:val="6D2F5333"/>
    <w:rsid w:val="6D401F17"/>
    <w:rsid w:val="6D523F02"/>
    <w:rsid w:val="6D7F5F7D"/>
    <w:rsid w:val="6D9A74ED"/>
    <w:rsid w:val="6DBB4234"/>
    <w:rsid w:val="6DC52BA4"/>
    <w:rsid w:val="6DF729F8"/>
    <w:rsid w:val="6E546104"/>
    <w:rsid w:val="6EC459EA"/>
    <w:rsid w:val="6ED040B0"/>
    <w:rsid w:val="6EE82DA8"/>
    <w:rsid w:val="6F0D716F"/>
    <w:rsid w:val="6F4F6901"/>
    <w:rsid w:val="6F61105F"/>
    <w:rsid w:val="6F9307F4"/>
    <w:rsid w:val="6F9D220C"/>
    <w:rsid w:val="6FA50628"/>
    <w:rsid w:val="6FB72FC0"/>
    <w:rsid w:val="6FC82903"/>
    <w:rsid w:val="6FEC649F"/>
    <w:rsid w:val="70002AE5"/>
    <w:rsid w:val="700F1AA8"/>
    <w:rsid w:val="70165737"/>
    <w:rsid w:val="70254D06"/>
    <w:rsid w:val="70544894"/>
    <w:rsid w:val="70763553"/>
    <w:rsid w:val="70970F86"/>
    <w:rsid w:val="70A26513"/>
    <w:rsid w:val="70B2378A"/>
    <w:rsid w:val="70B7361F"/>
    <w:rsid w:val="70FA529E"/>
    <w:rsid w:val="71093D82"/>
    <w:rsid w:val="713543C0"/>
    <w:rsid w:val="716250DC"/>
    <w:rsid w:val="71710191"/>
    <w:rsid w:val="718307DD"/>
    <w:rsid w:val="71926E7E"/>
    <w:rsid w:val="71FE34B1"/>
    <w:rsid w:val="720200E3"/>
    <w:rsid w:val="720A0AB7"/>
    <w:rsid w:val="72342161"/>
    <w:rsid w:val="723F4C76"/>
    <w:rsid w:val="726E304D"/>
    <w:rsid w:val="729A0091"/>
    <w:rsid w:val="72D82278"/>
    <w:rsid w:val="72E97BAF"/>
    <w:rsid w:val="72F309C0"/>
    <w:rsid w:val="732C38F1"/>
    <w:rsid w:val="732D4258"/>
    <w:rsid w:val="733D5E2B"/>
    <w:rsid w:val="7348581B"/>
    <w:rsid w:val="73630020"/>
    <w:rsid w:val="73DC3CA7"/>
    <w:rsid w:val="74032439"/>
    <w:rsid w:val="741C3774"/>
    <w:rsid w:val="743C78E7"/>
    <w:rsid w:val="744070AB"/>
    <w:rsid w:val="747F14CE"/>
    <w:rsid w:val="748D61CE"/>
    <w:rsid w:val="74946794"/>
    <w:rsid w:val="749E3984"/>
    <w:rsid w:val="74A62737"/>
    <w:rsid w:val="74EE7E53"/>
    <w:rsid w:val="75294CB7"/>
    <w:rsid w:val="75743FB2"/>
    <w:rsid w:val="757A4361"/>
    <w:rsid w:val="762022C1"/>
    <w:rsid w:val="76203A37"/>
    <w:rsid w:val="76212EEA"/>
    <w:rsid w:val="76981854"/>
    <w:rsid w:val="769D3AFD"/>
    <w:rsid w:val="76AA1CE4"/>
    <w:rsid w:val="76C746B2"/>
    <w:rsid w:val="77354C05"/>
    <w:rsid w:val="776453D6"/>
    <w:rsid w:val="776B2BF4"/>
    <w:rsid w:val="77811A80"/>
    <w:rsid w:val="77A80B3C"/>
    <w:rsid w:val="77B622AB"/>
    <w:rsid w:val="77BE5334"/>
    <w:rsid w:val="77C470D6"/>
    <w:rsid w:val="77DE7C1E"/>
    <w:rsid w:val="77E059C5"/>
    <w:rsid w:val="78057E8D"/>
    <w:rsid w:val="782963D1"/>
    <w:rsid w:val="78A37155"/>
    <w:rsid w:val="78FC62F3"/>
    <w:rsid w:val="794B486F"/>
    <w:rsid w:val="794C594C"/>
    <w:rsid w:val="794E12ED"/>
    <w:rsid w:val="795D73D8"/>
    <w:rsid w:val="79AC2678"/>
    <w:rsid w:val="79D02746"/>
    <w:rsid w:val="79D36050"/>
    <w:rsid w:val="79E40CC9"/>
    <w:rsid w:val="7A010800"/>
    <w:rsid w:val="7A1F22E3"/>
    <w:rsid w:val="7A4A3E59"/>
    <w:rsid w:val="7A5E445D"/>
    <w:rsid w:val="7AA41605"/>
    <w:rsid w:val="7AA50F38"/>
    <w:rsid w:val="7AC119D3"/>
    <w:rsid w:val="7ACA6B86"/>
    <w:rsid w:val="7B10613A"/>
    <w:rsid w:val="7BAA6026"/>
    <w:rsid w:val="7BB30B42"/>
    <w:rsid w:val="7BB34CA9"/>
    <w:rsid w:val="7BD77F44"/>
    <w:rsid w:val="7C2F1F9B"/>
    <w:rsid w:val="7C3653C0"/>
    <w:rsid w:val="7C465D23"/>
    <w:rsid w:val="7C690CDE"/>
    <w:rsid w:val="7C880BDD"/>
    <w:rsid w:val="7C923D58"/>
    <w:rsid w:val="7CF12D2F"/>
    <w:rsid w:val="7D210CD1"/>
    <w:rsid w:val="7D4539DB"/>
    <w:rsid w:val="7D46171A"/>
    <w:rsid w:val="7DA067E8"/>
    <w:rsid w:val="7DDB6D39"/>
    <w:rsid w:val="7DFC7FFB"/>
    <w:rsid w:val="7DFF7434"/>
    <w:rsid w:val="7E03433E"/>
    <w:rsid w:val="7E6D3BE6"/>
    <w:rsid w:val="7E984923"/>
    <w:rsid w:val="7E9A502B"/>
    <w:rsid w:val="7EB15670"/>
    <w:rsid w:val="7EC50403"/>
    <w:rsid w:val="7F125E73"/>
    <w:rsid w:val="7F1A4606"/>
    <w:rsid w:val="7F1C2C02"/>
    <w:rsid w:val="7F3628B6"/>
    <w:rsid w:val="7F9C7C16"/>
    <w:rsid w:val="7FA83801"/>
    <w:rsid w:val="7FAB3D06"/>
    <w:rsid w:val="7FCC0D0B"/>
    <w:rsid w:val="7FF80E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6"/>
    <w:qFormat/>
    <w:uiPriority w:val="99"/>
    <w:pPr>
      <w:keepNext/>
      <w:keepLines/>
      <w:spacing w:before="260" w:after="260" w:line="416" w:lineRule="auto"/>
      <w:outlineLvl w:val="1"/>
    </w:pPr>
    <w:rPr>
      <w:rFonts w:ascii="Cambria" w:hAnsi="Cambria" w:cs="Cambria"/>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First Indent 2"/>
    <w:basedOn w:val="3"/>
    <w:link w:val="61"/>
    <w:unhideWhenUsed/>
    <w:qFormat/>
    <w:uiPriority w:val="99"/>
    <w:pPr>
      <w:snapToGrid w:val="0"/>
      <w:spacing w:line="360" w:lineRule="auto"/>
      <w:ind w:firstLine="420" w:firstLineChars="200"/>
    </w:pPr>
    <w:rPr>
      <w:rFonts w:ascii="宋体" w:hAnsi="宋体"/>
      <w:sz w:val="24"/>
      <w:szCs w:val="24"/>
    </w:rPr>
  </w:style>
  <w:style w:type="paragraph" w:styleId="3">
    <w:name w:val="Body Text Indent"/>
    <w:basedOn w:val="1"/>
    <w:link w:val="62"/>
    <w:qFormat/>
    <w:uiPriority w:val="0"/>
    <w:pPr>
      <w:ind w:firstLine="600"/>
    </w:pPr>
    <w:rPr>
      <w:sz w:val="32"/>
      <w:szCs w:val="20"/>
    </w:rPr>
  </w:style>
  <w:style w:type="paragraph" w:styleId="6">
    <w:name w:val="Normal Indent"/>
    <w:basedOn w:val="1"/>
    <w:link w:val="48"/>
    <w:qFormat/>
    <w:uiPriority w:val="99"/>
    <w:pPr>
      <w:ind w:firstLine="420"/>
    </w:pPr>
  </w:style>
  <w:style w:type="paragraph" w:styleId="7">
    <w:name w:val="annotation text"/>
    <w:basedOn w:val="1"/>
    <w:link w:val="37"/>
    <w:semiHidden/>
    <w:qFormat/>
    <w:uiPriority w:val="99"/>
    <w:pPr>
      <w:jc w:val="left"/>
    </w:pPr>
  </w:style>
  <w:style w:type="paragraph" w:styleId="8">
    <w:name w:val="Body Text"/>
    <w:basedOn w:val="1"/>
    <w:next w:val="9"/>
    <w:qFormat/>
    <w:uiPriority w:val="99"/>
    <w:pPr>
      <w:snapToGrid w:val="0"/>
      <w:spacing w:line="440" w:lineRule="exact"/>
    </w:pPr>
    <w:rPr>
      <w:rFonts w:ascii="Times New Roman" w:eastAsia="Times New Roman"/>
      <w:sz w:val="20"/>
    </w:rPr>
  </w:style>
  <w:style w:type="paragraph" w:styleId="9">
    <w:name w:val="Body Text First Indent"/>
    <w:basedOn w:val="8"/>
    <w:qFormat/>
    <w:uiPriority w:val="0"/>
    <w:pPr>
      <w:ind w:firstLine="420" w:firstLineChars="100"/>
    </w:pPr>
  </w:style>
  <w:style w:type="paragraph" w:styleId="10">
    <w:name w:val="toc 3"/>
    <w:basedOn w:val="1"/>
    <w:next w:val="1"/>
    <w:semiHidden/>
    <w:qFormat/>
    <w:uiPriority w:val="99"/>
    <w:pPr>
      <w:widowControl/>
      <w:spacing w:after="100" w:line="276" w:lineRule="auto"/>
      <w:ind w:left="440"/>
      <w:jc w:val="left"/>
    </w:pPr>
    <w:rPr>
      <w:kern w:val="0"/>
      <w:sz w:val="22"/>
      <w:szCs w:val="22"/>
    </w:rPr>
  </w:style>
  <w:style w:type="paragraph" w:styleId="11">
    <w:name w:val="Plain Text"/>
    <w:basedOn w:val="1"/>
    <w:link w:val="39"/>
    <w:qFormat/>
    <w:uiPriority w:val="99"/>
    <w:rPr>
      <w:rFonts w:ascii="宋体" w:hAnsi="Courier New" w:cs="宋体"/>
      <w:kern w:val="0"/>
      <w:sz w:val="20"/>
      <w:szCs w:val="20"/>
    </w:rPr>
  </w:style>
  <w:style w:type="paragraph" w:styleId="12">
    <w:name w:val="Body Text Indent 2"/>
    <w:basedOn w:val="1"/>
    <w:qFormat/>
    <w:uiPriority w:val="0"/>
    <w:pPr>
      <w:spacing w:line="480" w:lineRule="atLeast"/>
      <w:ind w:left="133" w:leftChars="133" w:firstLine="560" w:firstLineChars="200"/>
    </w:pPr>
    <w:rPr>
      <w:rFonts w:ascii="宋体" w:hAnsi="宋体"/>
      <w:sz w:val="28"/>
    </w:rPr>
  </w:style>
  <w:style w:type="paragraph" w:styleId="13">
    <w:name w:val="endnote text"/>
    <w:basedOn w:val="1"/>
    <w:link w:val="40"/>
    <w:semiHidden/>
    <w:qFormat/>
    <w:uiPriority w:val="99"/>
    <w:pPr>
      <w:snapToGrid w:val="0"/>
      <w:jc w:val="left"/>
    </w:pPr>
  </w:style>
  <w:style w:type="paragraph" w:styleId="14">
    <w:name w:val="Balloon Text"/>
    <w:basedOn w:val="1"/>
    <w:link w:val="41"/>
    <w:semiHidden/>
    <w:qFormat/>
    <w:uiPriority w:val="99"/>
    <w:rPr>
      <w:sz w:val="18"/>
      <w:szCs w:val="18"/>
    </w:rPr>
  </w:style>
  <w:style w:type="paragraph" w:styleId="15">
    <w:name w:val="footer"/>
    <w:basedOn w:val="1"/>
    <w:link w:val="42"/>
    <w:qFormat/>
    <w:uiPriority w:val="99"/>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8"/>
    <w:next w:val="4"/>
    <w:semiHidden/>
    <w:qFormat/>
    <w:uiPriority w:val="99"/>
    <w:pPr>
      <w:widowControl/>
      <w:spacing w:line="440" w:lineRule="exact"/>
      <w:jc w:val="left"/>
    </w:pPr>
    <w:rPr>
      <w:rFonts w:eastAsia="黑体"/>
      <w:b/>
      <w:bCs/>
      <w:i w:val="0"/>
      <w:iCs w:val="0"/>
      <w:kern w:val="0"/>
      <w:sz w:val="28"/>
      <w:szCs w:val="28"/>
    </w:rPr>
  </w:style>
  <w:style w:type="paragraph" w:customStyle="1" w:styleId="18">
    <w:name w:val="Quote1"/>
    <w:basedOn w:val="1"/>
    <w:next w:val="1"/>
    <w:link w:val="47"/>
    <w:qFormat/>
    <w:uiPriority w:val="99"/>
    <w:rPr>
      <w:i/>
      <w:iCs/>
      <w:color w:val="000000"/>
    </w:rPr>
  </w:style>
  <w:style w:type="paragraph" w:styleId="19">
    <w:name w:val="Body Text Indent 3"/>
    <w:basedOn w:val="1"/>
    <w:link w:val="63"/>
    <w:semiHidden/>
    <w:unhideWhenUsed/>
    <w:qFormat/>
    <w:uiPriority w:val="99"/>
    <w:pPr>
      <w:keepNext w:val="0"/>
      <w:keepLines w:val="0"/>
      <w:widowControl w:val="0"/>
      <w:suppressLineNumbers w:val="0"/>
      <w:spacing w:before="0" w:beforeAutospacing="1" w:after="0" w:afterAutospacing="0"/>
      <w:ind w:left="420" w:leftChars="200" w:right="0"/>
      <w:jc w:val="both"/>
    </w:pPr>
    <w:rPr>
      <w:rFonts w:hint="default" w:ascii="Calibri" w:hAnsi="Calibri" w:eastAsia="黑体" w:cs="黑体"/>
      <w:kern w:val="2"/>
      <w:sz w:val="16"/>
      <w:szCs w:val="16"/>
      <w:lang w:val="en-US" w:eastAsia="zh-CN" w:bidi="ar"/>
    </w:rPr>
  </w:style>
  <w:style w:type="paragraph" w:styleId="20">
    <w:name w:val="toc 2"/>
    <w:basedOn w:val="18"/>
    <w:next w:val="5"/>
    <w:semiHidden/>
    <w:qFormat/>
    <w:uiPriority w:val="99"/>
    <w:pPr>
      <w:widowControl/>
      <w:tabs>
        <w:tab w:val="left" w:pos="756"/>
        <w:tab w:val="left" w:pos="966"/>
        <w:tab w:val="left" w:pos="1204"/>
        <w:tab w:val="left" w:pos="1442"/>
        <w:tab w:val="right" w:leader="dot" w:pos="9514"/>
      </w:tabs>
      <w:spacing w:line="276" w:lineRule="auto"/>
      <w:ind w:left="220"/>
      <w:jc w:val="left"/>
    </w:pPr>
    <w:rPr>
      <w:rFonts w:ascii="宋体" w:hAnsi="宋体" w:cs="宋体"/>
      <w:i w:val="0"/>
      <w:iCs w:val="0"/>
      <w:kern w:val="0"/>
      <w:sz w:val="24"/>
      <w:szCs w:val="24"/>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7"/>
    <w:next w:val="7"/>
    <w:link w:val="38"/>
    <w:semiHidden/>
    <w:qFormat/>
    <w:uiPriority w:val="99"/>
    <w:rPr>
      <w:b/>
      <w:bCs/>
    </w:rPr>
  </w:style>
  <w:style w:type="table" w:styleId="24">
    <w:name w:val="Table Grid"/>
    <w:basedOn w:val="23"/>
    <w:qFormat/>
    <w:uiPriority w:val="5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99"/>
    <w:rPr>
      <w:b/>
      <w:bCs/>
    </w:rPr>
  </w:style>
  <w:style w:type="character" w:styleId="27">
    <w:name w:val="endnote reference"/>
    <w:basedOn w:val="25"/>
    <w:semiHidden/>
    <w:qFormat/>
    <w:uiPriority w:val="99"/>
    <w:rPr>
      <w:vertAlign w:val="superscript"/>
    </w:rPr>
  </w:style>
  <w:style w:type="character" w:styleId="28">
    <w:name w:val="FollowedHyperlink"/>
    <w:basedOn w:val="25"/>
    <w:unhideWhenUsed/>
    <w:qFormat/>
    <w:uiPriority w:val="99"/>
    <w:rPr>
      <w:color w:val="800080"/>
      <w:u w:val="single"/>
    </w:rPr>
  </w:style>
  <w:style w:type="character" w:styleId="29">
    <w:name w:val="HTML Definition"/>
    <w:basedOn w:val="25"/>
    <w:semiHidden/>
    <w:unhideWhenUsed/>
    <w:qFormat/>
    <w:uiPriority w:val="99"/>
    <w:rPr>
      <w:i/>
      <w:iCs/>
    </w:rPr>
  </w:style>
  <w:style w:type="character" w:styleId="30">
    <w:name w:val="Hyperlink"/>
    <w:basedOn w:val="25"/>
    <w:qFormat/>
    <w:uiPriority w:val="99"/>
    <w:rPr>
      <w:color w:val="0000FF"/>
      <w:u w:val="single"/>
    </w:rPr>
  </w:style>
  <w:style w:type="character" w:styleId="31">
    <w:name w:val="HTML Code"/>
    <w:basedOn w:val="25"/>
    <w:semiHidden/>
    <w:unhideWhenUsed/>
    <w:qFormat/>
    <w:uiPriority w:val="99"/>
    <w:rPr>
      <w:rFonts w:ascii="Consolas" w:hAnsi="Consolas" w:eastAsia="Consolas" w:cs="Consolas"/>
      <w:color w:val="C7254E"/>
      <w:sz w:val="21"/>
      <w:szCs w:val="21"/>
      <w:shd w:val="clear" w:fill="F9F2F4"/>
    </w:rPr>
  </w:style>
  <w:style w:type="character" w:styleId="32">
    <w:name w:val="annotation reference"/>
    <w:basedOn w:val="25"/>
    <w:semiHidden/>
    <w:qFormat/>
    <w:uiPriority w:val="99"/>
    <w:rPr>
      <w:sz w:val="21"/>
      <w:szCs w:val="21"/>
    </w:rPr>
  </w:style>
  <w:style w:type="character" w:styleId="33">
    <w:name w:val="HTML Keyboard"/>
    <w:basedOn w:val="25"/>
    <w:semiHidden/>
    <w:unhideWhenUsed/>
    <w:qFormat/>
    <w:uiPriority w:val="99"/>
    <w:rPr>
      <w:rFonts w:hint="default" w:ascii="Consolas" w:hAnsi="Consolas" w:eastAsia="Consolas" w:cs="Consolas"/>
      <w:color w:val="FFFFFF"/>
      <w:sz w:val="21"/>
      <w:szCs w:val="21"/>
      <w:shd w:val="clear" w:fill="333333"/>
    </w:rPr>
  </w:style>
  <w:style w:type="character" w:styleId="34">
    <w:name w:val="HTML Sample"/>
    <w:basedOn w:val="25"/>
    <w:semiHidden/>
    <w:unhideWhenUsed/>
    <w:qFormat/>
    <w:uiPriority w:val="99"/>
    <w:rPr>
      <w:rFonts w:hint="default" w:ascii="Consolas" w:hAnsi="Consolas" w:eastAsia="Consolas" w:cs="Consolas"/>
      <w:sz w:val="21"/>
      <w:szCs w:val="21"/>
    </w:rPr>
  </w:style>
  <w:style w:type="character" w:customStyle="1" w:styleId="35">
    <w:name w:val="标题 1 Char"/>
    <w:basedOn w:val="25"/>
    <w:link w:val="4"/>
    <w:qFormat/>
    <w:uiPriority w:val="99"/>
    <w:rPr>
      <w:b/>
      <w:bCs/>
      <w:kern w:val="44"/>
      <w:sz w:val="44"/>
      <w:szCs w:val="44"/>
    </w:rPr>
  </w:style>
  <w:style w:type="character" w:customStyle="1" w:styleId="36">
    <w:name w:val="标题 2 Char"/>
    <w:basedOn w:val="25"/>
    <w:link w:val="5"/>
    <w:qFormat/>
    <w:uiPriority w:val="99"/>
    <w:rPr>
      <w:rFonts w:ascii="Cambria" w:hAnsi="Cambria" w:eastAsia="宋体" w:cs="Cambria"/>
      <w:b/>
      <w:bCs/>
      <w:sz w:val="32"/>
      <w:szCs w:val="32"/>
    </w:rPr>
  </w:style>
  <w:style w:type="character" w:customStyle="1" w:styleId="37">
    <w:name w:val="批注文字 Char"/>
    <w:basedOn w:val="25"/>
    <w:link w:val="7"/>
    <w:qFormat/>
    <w:uiPriority w:val="99"/>
  </w:style>
  <w:style w:type="character" w:customStyle="1" w:styleId="38">
    <w:name w:val="批注主题 Char"/>
    <w:basedOn w:val="37"/>
    <w:link w:val="22"/>
    <w:semiHidden/>
    <w:qFormat/>
    <w:uiPriority w:val="99"/>
    <w:rPr>
      <w:b/>
      <w:bCs/>
    </w:rPr>
  </w:style>
  <w:style w:type="character" w:customStyle="1" w:styleId="39">
    <w:name w:val="纯文本 Char"/>
    <w:basedOn w:val="25"/>
    <w:link w:val="11"/>
    <w:qFormat/>
    <w:uiPriority w:val="99"/>
    <w:rPr>
      <w:rFonts w:ascii="宋体" w:hAnsi="Courier New" w:cs="宋体"/>
      <w:sz w:val="21"/>
      <w:szCs w:val="21"/>
    </w:rPr>
  </w:style>
  <w:style w:type="character" w:customStyle="1" w:styleId="40">
    <w:name w:val="尾注文本 Char"/>
    <w:basedOn w:val="25"/>
    <w:link w:val="13"/>
    <w:semiHidden/>
    <w:qFormat/>
    <w:uiPriority w:val="99"/>
  </w:style>
  <w:style w:type="character" w:customStyle="1" w:styleId="41">
    <w:name w:val="批注框文本 Char"/>
    <w:basedOn w:val="25"/>
    <w:link w:val="14"/>
    <w:semiHidden/>
    <w:qFormat/>
    <w:uiPriority w:val="99"/>
    <w:rPr>
      <w:sz w:val="18"/>
      <w:szCs w:val="18"/>
    </w:rPr>
  </w:style>
  <w:style w:type="character" w:customStyle="1" w:styleId="42">
    <w:name w:val="页脚 Char"/>
    <w:basedOn w:val="25"/>
    <w:link w:val="15"/>
    <w:qFormat/>
    <w:uiPriority w:val="99"/>
    <w:rPr>
      <w:sz w:val="18"/>
      <w:szCs w:val="18"/>
    </w:rPr>
  </w:style>
  <w:style w:type="character" w:customStyle="1" w:styleId="43">
    <w:name w:val="页眉 Char"/>
    <w:basedOn w:val="25"/>
    <w:link w:val="16"/>
    <w:qFormat/>
    <w:uiPriority w:val="99"/>
    <w:rPr>
      <w:sz w:val="18"/>
      <w:szCs w:val="18"/>
    </w:rPr>
  </w:style>
  <w:style w:type="paragraph" w:customStyle="1" w:styleId="44">
    <w:name w:val="List Paragraph1"/>
    <w:basedOn w:val="1"/>
    <w:qFormat/>
    <w:uiPriority w:val="99"/>
    <w:pPr>
      <w:ind w:firstLine="420" w:firstLineChars="200"/>
    </w:pPr>
  </w:style>
  <w:style w:type="paragraph" w:customStyle="1" w:styleId="45">
    <w:name w:val="TOC Heading1"/>
    <w:basedOn w:val="4"/>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46">
    <w:name w:val="纯文本 Char1"/>
    <w:basedOn w:val="25"/>
    <w:semiHidden/>
    <w:qFormat/>
    <w:uiPriority w:val="99"/>
    <w:rPr>
      <w:rFonts w:ascii="宋体" w:hAnsi="Courier New" w:eastAsia="宋体" w:cs="宋体"/>
      <w:sz w:val="21"/>
      <w:szCs w:val="21"/>
    </w:rPr>
  </w:style>
  <w:style w:type="character" w:customStyle="1" w:styleId="47">
    <w:name w:val="引用 Char"/>
    <w:basedOn w:val="25"/>
    <w:link w:val="18"/>
    <w:qFormat/>
    <w:uiPriority w:val="99"/>
    <w:rPr>
      <w:i/>
      <w:iCs/>
      <w:color w:val="000000"/>
    </w:rPr>
  </w:style>
  <w:style w:type="character" w:customStyle="1" w:styleId="48">
    <w:name w:val="正文缩进 Char"/>
    <w:link w:val="6"/>
    <w:qFormat/>
    <w:uiPriority w:val="99"/>
  </w:style>
  <w:style w:type="paragraph" w:customStyle="1" w:styleId="49">
    <w:name w:val="列出段落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0">
    <w:name w:val="列出段落2"/>
    <w:basedOn w:val="1"/>
    <w:qFormat/>
    <w:uiPriority w:val="0"/>
    <w:pPr>
      <w:ind w:firstLine="420" w:firstLineChars="200"/>
    </w:pPr>
  </w:style>
  <w:style w:type="paragraph" w:customStyle="1" w:styleId="51">
    <w:name w:val="列出段落3"/>
    <w:basedOn w:val="1"/>
    <w:qFormat/>
    <w:uiPriority w:val="0"/>
    <w:pPr>
      <w:ind w:firstLine="420"/>
    </w:pPr>
    <w:rPr>
      <w:rFonts w:hint="eastAsia"/>
    </w:rPr>
  </w:style>
  <w:style w:type="paragraph" w:customStyle="1" w:styleId="52">
    <w:name w:val="普通(网站)1"/>
    <w:basedOn w:val="1"/>
    <w:qFormat/>
    <w:uiPriority w:val="0"/>
    <w:pPr>
      <w:jc w:val="left"/>
    </w:pPr>
    <w:rPr>
      <w:sz w:val="24"/>
      <w:szCs w:val="24"/>
    </w:rPr>
  </w:style>
  <w:style w:type="paragraph" w:customStyle="1" w:styleId="53">
    <w:name w:val="正文2"/>
    <w:basedOn w:val="1"/>
    <w:qFormat/>
    <w:uiPriority w:val="0"/>
    <w:pPr>
      <w:widowControl/>
      <w:spacing w:before="156"/>
      <w:ind w:firstLine="510"/>
    </w:pPr>
    <w:rPr>
      <w:rFonts w:ascii="宋体" w:hAnsi="宋体" w:cs="宋体"/>
      <w:sz w:val="24"/>
      <w:szCs w:val="24"/>
    </w:rPr>
  </w:style>
  <w:style w:type="paragraph" w:customStyle="1" w:styleId="54">
    <w:name w:val="正文_0"/>
    <w:basedOn w:val="1"/>
    <w:qFormat/>
    <w:uiPriority w:val="0"/>
    <w:pPr>
      <w:ind w:firstLine="560" w:firstLineChars="200"/>
    </w:pPr>
    <w:rPr>
      <w:sz w:val="28"/>
      <w:szCs w:val="28"/>
    </w:rPr>
  </w:style>
  <w:style w:type="character" w:customStyle="1" w:styleId="55">
    <w:name w:val="font71"/>
    <w:basedOn w:val="25"/>
    <w:qFormat/>
    <w:uiPriority w:val="0"/>
    <w:rPr>
      <w:rFonts w:hint="eastAsia" w:ascii="宋体" w:hAnsi="宋体" w:eastAsia="宋体" w:cs="宋体"/>
      <w:color w:val="000000"/>
      <w:sz w:val="28"/>
      <w:szCs w:val="28"/>
      <w:u w:val="none"/>
    </w:rPr>
  </w:style>
  <w:style w:type="character" w:customStyle="1" w:styleId="56">
    <w:name w:val="font51"/>
    <w:basedOn w:val="25"/>
    <w:qFormat/>
    <w:uiPriority w:val="0"/>
    <w:rPr>
      <w:rFonts w:hint="default" w:ascii="serif" w:eastAsia="serif" w:cs="serif"/>
      <w:color w:val="000000"/>
      <w:sz w:val="28"/>
      <w:szCs w:val="28"/>
      <w:u w:val="none"/>
    </w:rPr>
  </w:style>
  <w:style w:type="paragraph" w:styleId="57">
    <w:name w:val="List Paragraph"/>
    <w:basedOn w:val="1"/>
    <w:qFormat/>
    <w:uiPriority w:val="34"/>
    <w:pPr>
      <w:ind w:firstLine="420" w:firstLineChars="200"/>
    </w:pPr>
  </w:style>
  <w:style w:type="character" w:customStyle="1" w:styleId="58">
    <w:name w:val="font01"/>
    <w:basedOn w:val="25"/>
    <w:qFormat/>
    <w:uiPriority w:val="0"/>
    <w:rPr>
      <w:rFonts w:hint="eastAsia" w:ascii="宋体" w:hAnsi="宋体" w:eastAsia="宋体" w:cs="宋体"/>
      <w:color w:val="000000"/>
      <w:sz w:val="20"/>
      <w:szCs w:val="20"/>
      <w:u w:val="none"/>
    </w:rPr>
  </w:style>
  <w:style w:type="character" w:customStyle="1" w:styleId="59">
    <w:name w:val="lemmawgt-lemmatitle-title1"/>
    <w:basedOn w:val="25"/>
    <w:qFormat/>
    <w:uiPriority w:val="0"/>
  </w:style>
  <w:style w:type="character" w:customStyle="1" w:styleId="60">
    <w:name w:val="time4"/>
    <w:basedOn w:val="25"/>
    <w:qFormat/>
    <w:uiPriority w:val="0"/>
    <w:rPr>
      <w:color w:val="484848"/>
    </w:rPr>
  </w:style>
  <w:style w:type="character" w:customStyle="1" w:styleId="61">
    <w:name w:val="正文首行缩进 2 Char"/>
    <w:basedOn w:val="62"/>
    <w:link w:val="2"/>
    <w:qFormat/>
    <w:uiPriority w:val="0"/>
  </w:style>
  <w:style w:type="character" w:customStyle="1" w:styleId="62">
    <w:name w:val="正文文本缩进 Char"/>
    <w:basedOn w:val="25"/>
    <w:link w:val="3"/>
    <w:qFormat/>
    <w:uiPriority w:val="0"/>
  </w:style>
  <w:style w:type="character" w:customStyle="1" w:styleId="63">
    <w:name w:val="正文文本缩进 3 Char"/>
    <w:basedOn w:val="25"/>
    <w:link w:val="19"/>
    <w:qFormat/>
    <w:uiPriority w:val="0"/>
    <w:rPr>
      <w:rFonts w:hint="default" w:ascii="Calibri" w:hAnsi="Calibri" w:eastAsia="黑体" w:cs="黑体"/>
      <w:sz w:val="16"/>
      <w:szCs w:val="16"/>
    </w:rPr>
  </w:style>
  <w:style w:type="paragraph" w:customStyle="1" w:styleId="64">
    <w:name w:val="Table Paragraph"/>
    <w:basedOn w:val="1"/>
    <w:qFormat/>
    <w:uiPriority w:val="1"/>
    <w:rPr>
      <w:rFonts w:ascii="宋体" w:hAnsi="宋体" w:eastAsia="宋体" w:cs="宋体"/>
      <w:lang w:val="zh-CN" w:eastAsia="zh-CN" w:bidi="zh-CN"/>
    </w:rPr>
  </w:style>
  <w:style w:type="paragraph" w:customStyle="1" w:styleId="65">
    <w:name w:val="page_title"/>
    <w:basedOn w:val="1"/>
    <w:qFormat/>
    <w:uiPriority w:val="0"/>
    <w:pPr>
      <w:spacing w:before="360" w:beforeAutospacing="0"/>
      <w:jc w:val="center"/>
    </w:pPr>
    <w:rPr>
      <w:color w:val="333333"/>
      <w:kern w:val="0"/>
      <w:sz w:val="36"/>
      <w:szCs w:val="36"/>
      <w:lang w:val="en-US" w:eastAsia="zh-CN" w:bidi="ar"/>
    </w:rPr>
  </w:style>
  <w:style w:type="paragraph" w:customStyle="1" w:styleId="66">
    <w:name w:val="_Style 3"/>
    <w:basedOn w:val="4"/>
    <w:next w:val="1"/>
    <w:qFormat/>
    <w:uiPriority w:val="39"/>
    <w:pPr>
      <w:tabs>
        <w:tab w:val="left" w:pos="432"/>
      </w:tabs>
      <w:spacing w:before="480" w:after="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48</Pages>
  <Words>3487</Words>
  <Characters>19882</Characters>
  <Lines>165</Lines>
  <Paragraphs>46</Paragraphs>
  <TotalTime>7</TotalTime>
  <ScaleCrop>false</ScaleCrop>
  <LinksUpToDate>false</LinksUpToDate>
  <CharactersWithSpaces>23323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2018-11-16T06:59:00Z</dcterms:created>
  <dc:creator>Administrator</dc:creator>
  <cp:lastModifiedBy>H。</cp:lastModifiedBy>
  <cp:lastPrinted>2021-11-24T02:05:00Z</cp:lastPrinted>
  <dcterms:modified xsi:type="dcterms:W3CDTF">2022-01-05T02:52:48Z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65C56AA90E224BAABEA7F87DA280CFD8</vt:lpwstr>
  </property>
</Properties>
</file>